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October 26, 2022</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1057"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1057"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1057"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10"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9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7"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56"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On October 26, 2022, Westwood Holdings Group, Inc. (“Westwood”) announced its financial results for the quarter ended September 30, 2022, a copy of which is furnished with this Current Report on Form 8-K as Exhibit 99.1.</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76"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12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$0.15 per common share, payable on January 3, 2023 to stockholders of record on December 2, 2022.</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5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u w:val="single" w:color="auto"/>
          <w:color w:val="0000FF"/>
        </w:rPr>
        <w:t>Press Release Dated October 26, 2022</w:t>
      </w:r>
    </w:p>
    <w:p>
      <w:pPr>
        <w:spacing w:after="0" w:line="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1478915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56"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Date: October 26, 2022</w:t>
      </w:r>
    </w:p>
    <w:p>
      <w:pPr>
        <w:spacing w:after="0" w:line="200" w:lineRule="exact"/>
        <w:rPr>
          <w:sz w:val="20"/>
          <w:szCs w:val="20"/>
          <w:color w:val="auto"/>
        </w:rPr>
      </w:pPr>
    </w:p>
    <w:p>
      <w:pPr>
        <w:spacing w:after="0" w:line="329"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20" w:top="892"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Westwood Holdings Group, Inc. Reports Third Quarter 2022 Results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Strong Performances Delivered Across Multiple Products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Peer Rankings Enhanced by Benchmark-Beating Performances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Integration Planning for Salient Acquisition Remains on Track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Dallas, TX, October 26, 2022 – Westwood Holdings Group, Inc. (NYSE: WHG) today reported third quarter 2022 earnings.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Significant items for the quarter include:</w:t>
      </w:r>
    </w:p>
    <w:p>
      <w:pPr>
        <w:spacing w:after="0" w:line="188" w:lineRule="exact"/>
        <w:rPr>
          <w:sz w:val="20"/>
          <w:szCs w:val="20"/>
          <w:color w:val="auto"/>
        </w:rPr>
      </w:pPr>
    </w:p>
    <w:p>
      <w:pPr>
        <w:ind w:left="660" w:right="10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Proxy solicitation process to move Salient’s mutual funds to our platform is well underway and we continue to expect the Salient acquisition to close later this year.</w:t>
      </w:r>
    </w:p>
    <w:p>
      <w:pPr>
        <w:spacing w:after="0" w:line="12" w:lineRule="exact"/>
        <w:rPr>
          <w:rFonts w:ascii="Arial" w:cs="Arial" w:eastAsia="Arial" w:hAnsi="Arial"/>
          <w:sz w:val="22"/>
          <w:szCs w:val="22"/>
          <w:color w:val="auto"/>
        </w:rPr>
      </w:pPr>
    </w:p>
    <w:p>
      <w:pPr>
        <w:jc w:val="both"/>
        <w:ind w:left="660" w:right="140" w:hanging="328"/>
        <w:spacing w:after="0" w:line="259"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Nearly all of our strategies beat their primary benchmarks, including LargeCap Value, SmidCap, AllCap Value, MidCap Value, High Alpha, Dividend Select, Income Opportunity, Total Return, High Income, Alternative Income and Enhanced Balanced.</w:t>
      </w:r>
    </w:p>
    <w:p>
      <w:pPr>
        <w:spacing w:after="0" w:line="72" w:lineRule="exact"/>
        <w:rPr>
          <w:rFonts w:ascii="Arial" w:cs="Arial" w:eastAsia="Arial" w:hAnsi="Arial"/>
          <w:sz w:val="22"/>
          <w:szCs w:val="22"/>
          <w:color w:val="auto"/>
        </w:rPr>
      </w:pPr>
    </w:p>
    <w:p>
      <w:pPr>
        <w:jc w:val="both"/>
        <w:ind w:left="660" w:hanging="328"/>
        <w:spacing w:after="0" w:line="253" w:lineRule="auto"/>
        <w:tabs>
          <w:tab w:leader="none" w:pos="669" w:val="left"/>
        </w:tabs>
        <w:numPr>
          <w:ilvl w:val="0"/>
          <w:numId w:val="2"/>
        </w:numPr>
        <w:rPr>
          <w:rFonts w:ascii="Arial" w:cs="Arial" w:eastAsia="Arial" w:hAnsi="Arial"/>
          <w:sz w:val="22"/>
          <w:szCs w:val="22"/>
          <w:color w:val="auto"/>
        </w:rPr>
      </w:pPr>
      <w:r>
        <w:rPr>
          <w:rFonts w:ascii="Arial" w:cs="Arial" w:eastAsia="Arial" w:hAnsi="Arial"/>
          <w:sz w:val="22"/>
          <w:szCs w:val="22"/>
          <w:color w:val="auto"/>
        </w:rPr>
        <w:t>Quarterly peer rankings benefited from our strong investment performance as High Alpha achieved a top three ranking, MidCap Value scored a top 10th percentile ranking, and LargeCap Value, Alternative Income, Total Return and Enhanced Balanced all posted top quartile rankings.</w:t>
      </w:r>
    </w:p>
    <w:p>
      <w:pPr>
        <w:spacing w:after="0" w:line="77" w:lineRule="exact"/>
        <w:rPr>
          <w:rFonts w:ascii="Arial" w:cs="Arial" w:eastAsia="Arial" w:hAnsi="Arial"/>
          <w:sz w:val="22"/>
          <w:szCs w:val="22"/>
          <w:color w:val="auto"/>
        </w:rPr>
      </w:pPr>
    </w:p>
    <w:p>
      <w:pPr>
        <w:jc w:val="both"/>
        <w:ind w:left="660" w:hanging="328"/>
        <w:spacing w:after="0" w:line="278" w:lineRule="auto"/>
        <w:tabs>
          <w:tab w:leader="none" w:pos="656" w:val="left"/>
        </w:tabs>
        <w:numPr>
          <w:ilvl w:val="0"/>
          <w:numId w:val="2"/>
        </w:numPr>
        <w:rPr>
          <w:rFonts w:ascii="Arial" w:cs="Arial" w:eastAsia="Arial" w:hAnsi="Arial"/>
          <w:sz w:val="21"/>
          <w:szCs w:val="21"/>
          <w:color w:val="auto"/>
        </w:rPr>
      </w:pPr>
      <w:r>
        <w:rPr>
          <w:rFonts w:ascii="Arial" w:cs="Arial" w:eastAsia="Arial" w:hAnsi="Arial"/>
          <w:sz w:val="21"/>
          <w:szCs w:val="21"/>
          <w:color w:val="auto"/>
        </w:rPr>
        <w:t>Reflecting the effects of global market downturns on Assets Under Management ("AUM"), we reported revenues totaling $15.4 million vs. the second quarter's $15.6 million and $17.9 million a year ago and a net loss of $1.2 million vs. $0.4 million in the second quarter and net income of $1.9 million in last year's third quarter.</w:t>
      </w:r>
    </w:p>
    <w:p>
      <w:pPr>
        <w:spacing w:after="0" w:line="51" w:lineRule="exact"/>
        <w:rPr>
          <w:rFonts w:ascii="Arial" w:cs="Arial" w:eastAsia="Arial" w:hAnsi="Arial"/>
          <w:sz w:val="21"/>
          <w:szCs w:val="21"/>
          <w:color w:val="auto"/>
        </w:rPr>
      </w:pPr>
    </w:p>
    <w:p>
      <w:pPr>
        <w:ind w:left="660" w:right="20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Economic Earnings of $0.8 million compared with the second quarter's $1.6 million and $3.7 million a year ago.</w:t>
      </w:r>
    </w:p>
    <w:p>
      <w:pPr>
        <w:spacing w:after="0" w:line="66" w:lineRule="exact"/>
        <w:rPr>
          <w:rFonts w:ascii="Arial" w:cs="Arial" w:eastAsia="Arial" w:hAnsi="Arial"/>
          <w:sz w:val="22"/>
          <w:szCs w:val="22"/>
          <w:color w:val="auto"/>
        </w:rPr>
      </w:pPr>
    </w:p>
    <w:p>
      <w:pPr>
        <w:jc w:val="both"/>
        <w:ind w:left="660" w:right="300" w:hanging="328"/>
        <w:spacing w:after="0" w:line="348" w:lineRule="auto"/>
        <w:tabs>
          <w:tab w:leader="none" w:pos="656" w:val="left"/>
        </w:tabs>
        <w:numPr>
          <w:ilvl w:val="0"/>
          <w:numId w:val="2"/>
        </w:numPr>
        <w:rPr>
          <w:rFonts w:ascii="Arial" w:cs="Arial" w:eastAsia="Arial" w:hAnsi="Arial"/>
          <w:sz w:val="19"/>
          <w:szCs w:val="19"/>
          <w:color w:val="auto"/>
        </w:rPr>
      </w:pPr>
      <w:r>
        <w:rPr>
          <w:rFonts w:ascii="Arial" w:cs="Arial" w:eastAsia="Arial" w:hAnsi="Arial"/>
          <w:sz w:val="19"/>
          <w:szCs w:val="19"/>
          <w:color w:val="auto"/>
        </w:rPr>
        <w:t>Westwood held $74.0 million in cash and short-term investments as of September 30, 2022, consistent with the second quarter of 2022, stockholders' equity totaled $113.5 million as of September 30, 2022 and we continue to have no debt.</w:t>
      </w:r>
    </w:p>
    <w:p>
      <w:pPr>
        <w:ind w:left="660" w:right="74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declared a cash dividend of $0.15 per common share, payable on January 3, 2023 to stockholders of record on December 2, 2022.</w:t>
      </w:r>
    </w:p>
    <w:p>
      <w:pPr>
        <w:spacing w:after="0" w:line="67"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Brian Casey, Westwood’s President and CEO, commented, "Markets worldwide were extremely challenging in the third quarter as central banks continued the path of higher rates in an attempt to curb inflation. Despite this backdrop, I am very pleased to report that the vast majority of our strategies beat their benchmarks for the quarter and our relative performance versus eVestment and Morningstar and similar universes positively reflected the efforts of our investment teams. In addition to compiling strong performances across our suite of products, we also devoted a lot of effort to advance the acquisition of Salient Partners, whose complementary products focused on Energy Infrastructure, Real Estate and Tactical Allocation are expected to be important sources of growth in the years ahead. As part of the final steps in this process we have begun soliciting proxies to move Salient’s five mutual funds to our Ultimus platform and the transaction is anticipated to close by the end of this year."</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22"/>
          <w:szCs w:val="22"/>
          <w:color w:val="auto"/>
        </w:rPr>
        <w:t>Revenues were lower than the second quarter and last year's third quarter reflecting lower average AUM mainly attributable to the downdraft affecting global markets.</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AUM of $11.5 billion decreased from $12.1 billion at June 30, 2022, primarily due to market depreciation across most asset classes and geographies.</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third quarter net loss of $1.2 million compared to the second quarter's $0.4 million due to lower revenues and higher expenses, primarily employee compensation and benefits. Diluted earnings (loss) per share ("EPS") of $(0.15) compared with $(0.05) for the second quarter. Non-GAAP Economic Earnings of $0.8 million, or $0.10 per share, compared with $1.6 million, or $0.20 per share, in the second quarter.</w:t>
      </w:r>
    </w:p>
    <w:p>
      <w:pPr>
        <w:spacing w:after="0" w:line="9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third quarter net loss of $1.2 million compared to last year's third quarter net income of $1.9 million due to lower revenues and higher expenses, related to our acquisition of Salient Partners' asset management business. Diluted EPS was $(0.15) compared with $0.24 per share for the third quarter of 2021. Non-GAAP Economic Earnings were $0.8 million, or $0.10 per share, compared with $3.7 million, or $0.47 per share, in the third quarter of 2021.</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Westwood will host a conference call to discuss third quarter 2022 results and other business matters at 4:30 p.m. Eastern time today. To join the conference call, please register here: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https://register.vevent.com/register/BI6142df3bd66e49e38e120ebd62a20610</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After registering, you will be provided with a dial-in number containing a personalized PIN.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Webcast Link: </w:t>
      </w:r>
      <w:r>
        <w:rPr>
          <w:rFonts w:ascii="Arial" w:cs="Arial" w:eastAsia="Arial" w:hAnsi="Arial"/>
          <w:sz w:val="22"/>
          <w:szCs w:val="22"/>
          <w:u w:val="single" w:color="auto"/>
          <w:color w:val="auto"/>
        </w:rPr>
        <w:t>https://edge.media-server.com/mmc/p/2tq66869</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 HOLDINGS GROUP</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Westwood Holdings Group, Inc. is an investment management boutique and wealth management firm. Westwood offers high-conviction equity and outcome-oriented solutions to institutional investors, private wealth clients and financial intermediaries. The firm specializes in the following distinct investment capabilities: U.S. Value Equity, Multi-Asset, and Liquid Alternatives, available through separate accounts, the Westwood Funds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family of mutual funds and other pooled vehicles. Westwood benefits from significant, broad-based employee ownership and trades on the New York Stock Exchange under the symbol “WHG.” Based in Dallas, Westwood also maintains offices in Houston.</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jc w:val="both"/>
        <w:spacing w:after="0" w:line="244" w:lineRule="auto"/>
        <w:rPr>
          <w:sz w:val="20"/>
          <w:szCs w:val="20"/>
          <w:color w:val="auto"/>
        </w:rPr>
      </w:pPr>
      <w:r>
        <w:rPr>
          <w:rFonts w:ascii="Arial" w:cs="Arial" w:eastAsia="Arial" w:hAnsi="Arial"/>
          <w:sz w:val="21"/>
          <w:szCs w:val="21"/>
          <w:color w:val="auto"/>
        </w:rPr>
        <w:t>the composition and market value of our AUM;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w:t>
      </w:r>
    </w:p>
    <w:p>
      <w:pPr>
        <w:sectPr>
          <w:pgSz w:w="11900" w:h="16838" w:orient="portrait"/>
          <w:cols w:equalWidth="0" w:num="1">
            <w:col w:w="11240"/>
          </w:cols>
          <w:pgMar w:left="320" w:top="1009" w:right="339" w:bottom="1440" w:gutter="0" w:footer="0" w:header="0"/>
        </w:sectPr>
      </w:pPr>
    </w:p>
    <w:bookmarkStart w:id="5" w:name="page6"/>
    <w:bookmarkEnd w:id="5"/>
    <w:p>
      <w:pPr>
        <w:jc w:val="both"/>
        <w:spacing w:after="0" w:line="270" w:lineRule="auto"/>
        <w:rPr>
          <w:sz w:val="20"/>
          <w:szCs w:val="20"/>
          <w:color w:val="auto"/>
        </w:rPr>
      </w:pPr>
      <w:r>
        <w:rPr>
          <w:rFonts w:ascii="Arial" w:cs="Arial" w:eastAsia="Arial" w:hAnsi="Arial"/>
          <w:sz w:val="19"/>
          <w:szCs w:val="19"/>
          <w:color w:val="auto"/>
        </w:rPr>
        <w:t>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our organizational 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continuing effects of the COVID-19 pandemic;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2021 and its quarterly reports on Form 10-Q for the quarters ended March 31, 2022, June 30, 2022 and September 30, 2022.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240"/>
          </w:cols>
          <w:pgMar w:left="320" w:top="88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2022</w:t>
            </w:r>
          </w:p>
        </w:tc>
        <w:tc>
          <w:tcPr>
            <w:tcW w:w="160" w:type="dxa"/>
            <w:vAlign w:val="bottom"/>
          </w:tcPr>
          <w:p>
            <w:pPr>
              <w:spacing w:after="0"/>
              <w:rPr>
                <w:sz w:val="18"/>
                <w:szCs w:val="18"/>
                <w:color w:val="auto"/>
              </w:rPr>
            </w:pPr>
          </w:p>
        </w:tc>
        <w:tc>
          <w:tcPr>
            <w:tcW w:w="1640" w:type="dxa"/>
            <w:vAlign w:val="bottom"/>
          </w:tcPr>
          <w:p>
            <w:pPr>
              <w:jc w:val="right"/>
              <w:ind w:right="148"/>
              <w:spacing w:after="0"/>
              <w:rPr>
                <w:sz w:val="20"/>
                <w:szCs w:val="20"/>
                <w:color w:val="auto"/>
              </w:rPr>
            </w:pPr>
            <w:r>
              <w:rPr>
                <w:rFonts w:ascii="Arial" w:cs="Arial" w:eastAsia="Arial" w:hAnsi="Arial"/>
                <w:sz w:val="16"/>
                <w:szCs w:val="16"/>
                <w:b w:val="1"/>
                <w:bCs w:val="1"/>
                <w:color w:val="auto"/>
                <w:w w:val="93"/>
              </w:rPr>
              <w:t>September 30, 2021</w:t>
            </w:r>
          </w:p>
        </w:tc>
      </w:tr>
      <w:tr>
        <w:trPr>
          <w:trHeight w:val="185"/>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182"/>
        </w:trPr>
        <w:tc>
          <w:tcPr>
            <w:tcW w:w="564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3"/>
        </w:trPr>
        <w:tc>
          <w:tcPr>
            <w:tcW w:w="56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10,980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12,011</w:t>
            </w:r>
          </w:p>
        </w:tc>
      </w:tr>
      <w:tr>
        <w:trPr>
          <w:trHeight w:val="182"/>
        </w:trPr>
        <w:tc>
          <w:tcPr>
            <w:tcW w:w="5640" w:type="dxa"/>
            <w:vAlign w:val="bottom"/>
          </w:tcPr>
          <w:p>
            <w:pPr>
              <w:ind w:left="360"/>
              <w:spacing w:after="0"/>
              <w:rPr>
                <w:sz w:val="20"/>
                <w:szCs w:val="20"/>
                <w:color w:val="auto"/>
              </w:rPr>
            </w:pPr>
            <w:r>
              <w:rPr>
                <w:rFonts w:ascii="Arial" w:cs="Arial" w:eastAsia="Arial" w:hAnsi="Arial"/>
                <w:sz w:val="14"/>
                <w:szCs w:val="14"/>
                <w:color w:val="auto"/>
              </w:rPr>
              <w:t>Trust fees</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5,177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5,365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5,952</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76"/>
        </w:trPr>
        <w:tc>
          <w:tcPr>
            <w:tcW w:w="564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15,406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15,603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17,860</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82"/>
        </w:trPr>
        <w:tc>
          <w:tcPr>
            <w:tcW w:w="5640" w:type="dxa"/>
            <w:vAlign w:val="bottom"/>
          </w:tcPr>
          <w:p>
            <w:pPr>
              <w:ind w:left="36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9,526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9,133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10,268</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Sales and marketing</w:t>
            </w:r>
          </w:p>
        </w:tc>
        <w:tc>
          <w:tcPr>
            <w:tcW w:w="1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82"/>
        </w:trPr>
        <w:tc>
          <w:tcPr>
            <w:tcW w:w="5640" w:type="dxa"/>
            <w:vAlign w:val="bottom"/>
          </w:tcPr>
          <w:p>
            <w:pPr>
              <w:ind w:left="360"/>
              <w:spacing w:after="0"/>
              <w:rPr>
                <w:sz w:val="20"/>
                <w:szCs w:val="20"/>
                <w:color w:val="auto"/>
              </w:rPr>
            </w:pPr>
            <w:r>
              <w:rPr>
                <w:rFonts w:ascii="Arial" w:cs="Arial" w:eastAsia="Arial" w:hAnsi="Arial"/>
                <w:sz w:val="14"/>
                <w:szCs w:val="14"/>
                <w:color w:val="auto"/>
              </w:rPr>
              <w:t>Westwood mutual funds</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814</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Information technology</w:t>
            </w:r>
          </w:p>
        </w:tc>
        <w:tc>
          <w:tcPr>
            <w:tcW w:w="1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1,937</w:t>
            </w:r>
          </w:p>
        </w:tc>
      </w:tr>
      <w:tr>
        <w:trPr>
          <w:trHeight w:val="182"/>
        </w:trPr>
        <w:tc>
          <w:tcPr>
            <w:tcW w:w="5640" w:type="dxa"/>
            <w:vAlign w:val="bottom"/>
          </w:tcPr>
          <w:p>
            <w:pPr>
              <w:ind w:left="360"/>
              <w:spacing w:after="0"/>
              <w:rPr>
                <w:sz w:val="20"/>
                <w:szCs w:val="20"/>
                <w:color w:val="auto"/>
              </w:rPr>
            </w:pPr>
            <w:r>
              <w:rPr>
                <w:rFonts w:ascii="Arial" w:cs="Arial" w:eastAsia="Arial" w:hAnsi="Arial"/>
                <w:sz w:val="14"/>
                <w:szCs w:val="14"/>
                <w:color w:val="auto"/>
              </w:rPr>
              <w:t>Professional services</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726</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1,779</w:t>
            </w:r>
          </w:p>
        </w:tc>
      </w:tr>
      <w:tr>
        <w:trPr>
          <w:trHeight w:val="176"/>
        </w:trPr>
        <w:tc>
          <w:tcPr>
            <w:tcW w:w="5640" w:type="dxa"/>
            <w:vAlign w:val="bottom"/>
          </w:tcPr>
          <w:p>
            <w:pPr>
              <w:ind w:left="68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16,488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16,001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15,816</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 (loss)</w:t>
            </w: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2,044</w:t>
            </w:r>
          </w:p>
        </w:tc>
      </w:tr>
      <w:tr>
        <w:trPr>
          <w:trHeight w:val="176"/>
        </w:trPr>
        <w:tc>
          <w:tcPr>
            <w:tcW w:w="5640" w:type="dxa"/>
            <w:vAlign w:val="bottom"/>
          </w:tcPr>
          <w:p>
            <w:pPr>
              <w:ind w:left="360"/>
              <w:spacing w:after="0"/>
              <w:rPr>
                <w:sz w:val="20"/>
                <w:szCs w:val="20"/>
                <w:color w:val="auto"/>
              </w:rPr>
            </w:pPr>
            <w:r>
              <w:rPr>
                <w:rFonts w:ascii="Arial" w:cs="Arial" w:eastAsia="Arial" w:hAnsi="Arial"/>
                <w:sz w:val="14"/>
                <w:szCs w:val="14"/>
                <w:color w:val="auto"/>
              </w:rPr>
              <w:t>Realized gains on private investments</w:t>
            </w: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1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2"/>
        </w:trPr>
        <w:tc>
          <w:tcPr>
            <w:tcW w:w="5640" w:type="dxa"/>
            <w:vAlign w:val="bottom"/>
          </w:tcPr>
          <w:p>
            <w:pPr>
              <w:ind w:left="36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w:t>
            </w:r>
          </w:p>
        </w:tc>
      </w:tr>
      <w:tr>
        <w:trPr>
          <w:trHeight w:val="176"/>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2,360</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6"/>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 provision</w:t>
            </w: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w:t>
            </w:r>
          </w:p>
        </w:tc>
      </w:tr>
      <w:tr>
        <w:trPr>
          <w:trHeight w:val="169"/>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1,879</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income (loss)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82"/>
        </w:trPr>
        <w:tc>
          <w:tcPr>
            <w:tcW w:w="5640" w:type="dxa"/>
            <w:vAlign w:val="bottom"/>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0.24</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0.24</w:t>
            </w:r>
          </w:p>
        </w:tc>
      </w:tr>
      <w:tr>
        <w:trPr>
          <w:trHeight w:val="95"/>
        </w:trPr>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82"/>
        </w:trPr>
        <w:tc>
          <w:tcPr>
            <w:tcW w:w="5640" w:type="dxa"/>
            <w:vAlign w:val="bottom"/>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7,794,060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7,944,212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7,887,259</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7,794,060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7,944,212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7,956,081</w:t>
            </w:r>
          </w:p>
        </w:tc>
      </w:tr>
      <w:tr>
        <w:trPr>
          <w:trHeight w:val="95"/>
        </w:trPr>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18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Earnings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3,706</w:t>
            </w:r>
          </w:p>
        </w:tc>
      </w:tr>
      <w:tr>
        <w:trPr>
          <w:trHeight w:val="182"/>
        </w:trPr>
        <w:tc>
          <w:tcPr>
            <w:tcW w:w="5640" w:type="dxa"/>
            <w:vAlign w:val="bottom"/>
          </w:tcPr>
          <w:p>
            <w:pPr>
              <w:ind w:left="20"/>
              <w:spacing w:after="0"/>
              <w:rPr>
                <w:sz w:val="20"/>
                <w:szCs w:val="20"/>
                <w:color w:val="auto"/>
              </w:rPr>
            </w:pPr>
            <w:r>
              <w:rPr>
                <w:rFonts w:ascii="Arial" w:cs="Arial" w:eastAsia="Arial" w:hAnsi="Arial"/>
                <w:sz w:val="14"/>
                <w:szCs w:val="14"/>
                <w:color w:val="auto"/>
              </w:rPr>
              <w:t>Economic EPS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0.47</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94"/>
        </w:trPr>
        <w:tc>
          <w:tcPr>
            <w:tcW w:w="5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r>
      <w:tr>
        <w:trPr>
          <w:trHeight w:val="182"/>
        </w:trPr>
        <w:tc>
          <w:tcPr>
            <w:tcW w:w="5640" w:type="dxa"/>
            <w:vAlign w:val="bottom"/>
          </w:tcPr>
          <w:p>
            <w:pPr>
              <w:ind w:left="20"/>
              <w:spacing w:after="0"/>
              <w:rPr>
                <w:sz w:val="20"/>
                <w:szCs w:val="20"/>
                <w:color w:val="auto"/>
              </w:rPr>
            </w:pPr>
            <w:r>
              <w:rPr>
                <w:rFonts w:ascii="Arial" w:cs="Arial" w:eastAsia="Arial" w:hAnsi="Arial"/>
                <w:sz w:val="14"/>
                <w:szCs w:val="14"/>
                <w:color w:val="auto"/>
              </w:rPr>
              <w:t>Dividends declared per share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2.60</w:t>
            </w:r>
          </w:p>
        </w:tc>
      </w:tr>
    </w:tbl>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10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Arial" w:cs="Arial" w:eastAsia="Arial" w:hAnsi="Arial"/>
                <w:sz w:val="16"/>
                <w:szCs w:val="16"/>
                <w:b w:val="1"/>
                <w:bCs w:val="1"/>
                <w:color w:val="auto"/>
                <w:w w:val="93"/>
              </w:rPr>
              <w:t>September 30, 2021</w:t>
            </w:r>
          </w:p>
        </w:tc>
        <w:tc>
          <w:tcPr>
            <w:tcW w:w="0" w:type="dxa"/>
            <w:vAlign w:val="bottom"/>
          </w:tcPr>
          <w:p>
            <w:pPr>
              <w:spacing w:after="0"/>
              <w:rPr>
                <w:sz w:val="1"/>
                <w:szCs w:val="1"/>
                <w:color w:val="auto"/>
              </w:rPr>
            </w:pPr>
          </w:p>
        </w:tc>
      </w:tr>
      <w:tr>
        <w:trPr>
          <w:trHeight w:val="185"/>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33,244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33,846</w:t>
            </w:r>
          </w:p>
        </w:tc>
        <w:tc>
          <w:tcPr>
            <w:tcW w:w="0" w:type="dxa"/>
            <w:vAlign w:val="bottom"/>
          </w:tcPr>
          <w:p>
            <w:pPr>
              <w:spacing w:after="0"/>
              <w:rPr>
                <w:sz w:val="1"/>
                <w:szCs w:val="1"/>
                <w:color w:val="auto"/>
              </w:rPr>
            </w:pPr>
          </w:p>
        </w:tc>
      </w:tr>
      <w:tr>
        <w:trPr>
          <w:trHeight w:val="182"/>
        </w:trPr>
        <w:tc>
          <w:tcPr>
            <w:tcW w:w="7480" w:type="dxa"/>
            <w:vAlign w:val="bottom"/>
          </w:tcPr>
          <w:p>
            <w:pPr>
              <w:ind w:left="680"/>
              <w:spacing w:after="0"/>
              <w:rPr>
                <w:sz w:val="20"/>
                <w:szCs w:val="20"/>
                <w:color w:val="auto"/>
              </w:rPr>
            </w:pPr>
            <w:r>
              <w:rPr>
                <w:rFonts w:ascii="Arial" w:cs="Arial" w:eastAsia="Arial" w:hAnsi="Arial"/>
                <w:sz w:val="14"/>
                <w:szCs w:val="14"/>
                <w:color w:val="auto"/>
              </w:rPr>
              <w:t>Performance-based</w:t>
            </w:r>
          </w:p>
        </w:tc>
        <w:tc>
          <w:tcPr>
            <w:tcW w:w="160" w:type="dxa"/>
            <w:vAlign w:val="bottom"/>
          </w:tcPr>
          <w:p>
            <w:pPr>
              <w:spacing w:after="0"/>
              <w:rPr>
                <w:sz w:val="15"/>
                <w:szCs w:val="15"/>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1,959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Trust fees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16,257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18,233</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48,225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53,663</w:t>
            </w:r>
          </w:p>
        </w:tc>
        <w:tc>
          <w:tcPr>
            <w:tcW w:w="0" w:type="dxa"/>
            <w:vAlign w:val="bottom"/>
          </w:tcPr>
          <w:p>
            <w:pPr>
              <w:spacing w:after="0"/>
              <w:rPr>
                <w:sz w:val="1"/>
                <w:szCs w:val="1"/>
                <w:color w:val="auto"/>
              </w:rPr>
            </w:pPr>
          </w:p>
        </w:tc>
      </w:tr>
      <w:tr>
        <w:trPr>
          <w:trHeight w:val="194"/>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28,993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32,053</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Westwood mutual funds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Information technology</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5,934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6,190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Professional services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3,471</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6,570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expenses</w:t>
            </w: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49,290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50,072</w:t>
            </w:r>
          </w:p>
        </w:tc>
        <w:tc>
          <w:tcPr>
            <w:tcW w:w="0" w:type="dxa"/>
            <w:vAlign w:val="bottom"/>
          </w:tcPr>
          <w:p>
            <w:pPr>
              <w:spacing w:after="0"/>
              <w:rPr>
                <w:sz w:val="1"/>
                <w:szCs w:val="1"/>
                <w:color w:val="auto"/>
              </w:rPr>
            </w:pPr>
          </w:p>
        </w:tc>
      </w:tr>
      <w:tr>
        <w:trPr>
          <w:trHeight w:val="176"/>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 (loss)</w:t>
            </w: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3,591</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Realized gains on private investments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8,371</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(2,124)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investment income</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10,790</w:t>
            </w:r>
          </w:p>
        </w:tc>
        <w:tc>
          <w:tcPr>
            <w:tcW w:w="0" w:type="dxa"/>
            <w:vAlign w:val="bottom"/>
          </w:tcPr>
          <w:p>
            <w:pPr>
              <w:spacing w:after="0"/>
              <w:rPr>
                <w:sz w:val="1"/>
                <w:szCs w:val="1"/>
                <w:color w:val="auto"/>
              </w:rPr>
            </w:pPr>
          </w:p>
        </w:tc>
      </w:tr>
      <w:tr>
        <w:trPr>
          <w:trHeight w:val="176"/>
        </w:trPr>
        <w:tc>
          <w:tcPr>
            <w:tcW w:w="7480" w:type="dxa"/>
            <w:vAlign w:val="bottom"/>
          </w:tcPr>
          <w:p>
            <w:pPr>
              <w:ind w:left="360"/>
              <w:spacing w:after="0"/>
              <w:rPr>
                <w:sz w:val="20"/>
                <w:szCs w:val="20"/>
                <w:color w:val="auto"/>
              </w:rPr>
            </w:pPr>
            <w:r>
              <w:rPr>
                <w:rFonts w:ascii="Arial" w:cs="Arial" w:eastAsia="Arial" w:hAnsi="Arial"/>
                <w:sz w:val="14"/>
                <w:szCs w:val="14"/>
                <w:color w:val="auto"/>
              </w:rPr>
              <w:t>Income tax expense</w:t>
            </w: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3,840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Total comprehensive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8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660" w:type="dxa"/>
            <w:vAlign w:val="bottom"/>
          </w:tcPr>
          <w:p>
            <w:pPr>
              <w:jc w:val="right"/>
              <w:spacing w:after="0" w:line="156" w:lineRule="exact"/>
              <w:rPr>
                <w:sz w:val="20"/>
                <w:szCs w:val="20"/>
                <w:color w:val="auto"/>
              </w:rPr>
            </w:pPr>
            <w:r>
              <w:rPr>
                <w:rFonts w:ascii="Arial" w:cs="Arial" w:eastAsia="Arial" w:hAnsi="Arial"/>
                <w:sz w:val="14"/>
                <w:szCs w:val="14"/>
                <w:color w:val="auto"/>
              </w:rPr>
              <w:t>(1,503)</w:t>
            </w:r>
          </w:p>
        </w:tc>
        <w:tc>
          <w:tcPr>
            <w:tcW w:w="120" w:type="dxa"/>
            <w:vAlign w:val="bottom"/>
          </w:tcPr>
          <w:p>
            <w:pPr>
              <w:spacing w:after="0"/>
              <w:rPr>
                <w:sz w:val="13"/>
                <w:szCs w:val="13"/>
                <w:color w:val="auto"/>
              </w:rPr>
            </w:pPr>
          </w:p>
        </w:tc>
        <w:tc>
          <w:tcPr>
            <w:tcW w:w="160" w:type="dxa"/>
            <w:vAlign w:val="bottom"/>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line="156" w:lineRule="exact"/>
              <w:rPr>
                <w:sz w:val="20"/>
                <w:szCs w:val="20"/>
                <w:color w:val="auto"/>
              </w:rPr>
            </w:pPr>
            <w:r>
              <w:rPr>
                <w:rFonts w:ascii="Arial" w:cs="Arial" w:eastAsia="Arial" w:hAnsi="Arial"/>
                <w:sz w:val="14"/>
                <w:szCs w:val="14"/>
                <w:color w:val="auto"/>
              </w:rPr>
              <w:t>6,950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7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7,867,555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7,886,359</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7,867,555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7,933,860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480" w:type="dxa"/>
            <w:vAlign w:val="bottom"/>
          </w:tcPr>
          <w:p>
            <w:pPr>
              <w:ind w:left="20"/>
              <w:spacing w:after="0"/>
              <w:rPr>
                <w:sz w:val="20"/>
                <w:szCs w:val="20"/>
                <w:color w:val="auto"/>
              </w:rPr>
            </w:pPr>
            <w:r>
              <w:rPr>
                <w:rFonts w:ascii="Arial" w:cs="Arial" w:eastAsia="Arial" w:hAnsi="Arial"/>
                <w:sz w:val="14"/>
                <w:szCs w:val="14"/>
                <w:color w:val="auto"/>
              </w:rPr>
              <w:t>Economic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4,302</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12,804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EPS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95"/>
        </w:trPr>
        <w:tc>
          <w:tcPr>
            <w:tcW w:w="7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0"/>
        </w:trPr>
        <w:tc>
          <w:tcPr>
            <w:tcW w:w="7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38" w:right="339" w:bottom="1440" w:gutter="0" w:footer="0" w:header="0"/>
        </w:sectPr>
      </w:pPr>
    </w:p>
    <w:bookmarkStart w:id="8" w:name="page9"/>
    <w:bookmarkEnd w:id="8"/>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Arial" w:cs="Arial" w:eastAsia="Arial" w:hAnsi="Arial"/>
                <w:sz w:val="16"/>
                <w:szCs w:val="16"/>
                <w:b w:val="1"/>
                <w:bCs w:val="1"/>
                <w:color w:val="auto"/>
                <w:w w:val="92"/>
              </w:rPr>
              <w:t>December 31, 2021</w:t>
            </w:r>
          </w:p>
        </w:tc>
      </w:tr>
      <w:tr>
        <w:trPr>
          <w:trHeight w:val="212"/>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15,206</w:t>
            </w: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11,152</w:t>
            </w: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at fair value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65,024</w:t>
            </w: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86,540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93,861</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Noncurrent investments at fair value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4,513</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11,911</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$9,096 and $8,637</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45,744</w:t>
            </w: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139,605</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 payable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15,842</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dividends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r>
      <w:tr>
        <w:trPr>
          <w:trHeight w:val="22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21,699</w:t>
            </w:r>
          </w:p>
        </w:tc>
      </w:tr>
      <w:tr>
        <w:trPr>
          <w:trHeight w:val="21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75"/>
        </w:trPr>
        <w:tc>
          <w:tcPr>
            <w:tcW w:w="7480" w:type="dxa"/>
            <w:vAlign w:val="bottom"/>
          </w:tcPr>
          <w:p>
            <w:pPr>
              <w:ind w:left="180"/>
              <w:spacing w:after="0" w:line="176" w:lineRule="exact"/>
              <w:rPr>
                <w:sz w:val="20"/>
                <w:szCs w:val="20"/>
                <w:color w:val="auto"/>
              </w:rPr>
            </w:pPr>
            <w:r>
              <w:rPr>
                <w:rFonts w:ascii="Arial" w:cs="Arial" w:eastAsia="Arial" w:hAnsi="Arial"/>
                <w:sz w:val="18"/>
                <w:szCs w:val="18"/>
                <w:color w:val="auto"/>
                <w:w w:val="91"/>
              </w:rPr>
              <w:t>Common stock, $0.01 par value, authorized 25,000,000 shares, issued 11,058,937 and outstanding</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7480" w:type="dxa"/>
            <w:vAlign w:val="bottom"/>
          </w:tcPr>
          <w:p>
            <w:pPr>
              <w:ind w:left="360"/>
              <w:spacing w:after="0" w:line="176" w:lineRule="exact"/>
              <w:rPr>
                <w:sz w:val="20"/>
                <w:szCs w:val="20"/>
                <w:color w:val="auto"/>
              </w:rPr>
            </w:pPr>
            <w:r>
              <w:rPr>
                <w:rFonts w:ascii="Arial" w:cs="Arial" w:eastAsia="Arial" w:hAnsi="Arial"/>
                <w:sz w:val="18"/>
                <w:szCs w:val="18"/>
                <w:color w:val="auto"/>
                <w:w w:val="90"/>
              </w:rPr>
              <w:t>8,410,659 shares at September 30, 2022; issued 10,658,644 and outstanding 8,253,491 shares at</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3"/>
        </w:trPr>
        <w:tc>
          <w:tcPr>
            <w:tcW w:w="7480" w:type="dxa"/>
            <w:vAlign w:val="bottom"/>
          </w:tcPr>
          <w:p>
            <w:pPr>
              <w:ind w:left="360"/>
              <w:spacing w:after="0"/>
              <w:rPr>
                <w:sz w:val="20"/>
                <w:szCs w:val="20"/>
                <w:color w:val="auto"/>
              </w:rPr>
            </w:pPr>
            <w:r>
              <w:rPr>
                <w:rFonts w:ascii="Arial" w:cs="Arial" w:eastAsia="Arial" w:hAnsi="Arial"/>
                <w:sz w:val="18"/>
                <w:szCs w:val="18"/>
                <w:color w:val="auto"/>
              </w:rPr>
              <w:t>December 31, 2021</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195,187</w:t>
            </w: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8"/>
                <w:szCs w:val="18"/>
                <w:color w:val="auto"/>
                <w:w w:val="89"/>
              </w:rPr>
              <w:t>Treasury stock, at cost - 2,648,278 shares at September 30, 2022; 2,405,154 shares at December 31,</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3"/>
        </w:trPr>
        <w:tc>
          <w:tcPr>
            <w:tcW w:w="7480" w:type="dxa"/>
            <w:vAlign w:val="bottom"/>
          </w:tcPr>
          <w:p>
            <w:pPr>
              <w:ind w:left="36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(81,750)</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2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117,906</w:t>
            </w:r>
          </w:p>
        </w:tc>
      </w:tr>
      <w:tr>
        <w:trPr>
          <w:trHeight w:val="248"/>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38" w:right="339" w:bottom="1440" w:gutter="0" w:footer="0" w:header="0"/>
        </w:sectPr>
      </w:pPr>
    </w:p>
    <w:bookmarkStart w:id="9" w:name="page10"/>
    <w:bookmarkEnd w:id="9"/>
    <w:p>
      <w:pPr>
        <w:ind w:right="4740"/>
        <w:spacing w:after="0"/>
        <w:rPr>
          <w:sz w:val="20"/>
          <w:szCs w:val="20"/>
          <w:color w:val="auto"/>
        </w:rPr>
      </w:pPr>
      <w:r>
        <w:rPr>
          <w:rFonts w:ascii="Arial" w:cs="Arial" w:eastAsia="Arial" w:hAnsi="Arial"/>
          <w:sz w:val="22"/>
          <w:szCs w:val="22"/>
          <w:b w:val="1"/>
          <w:bCs w:val="1"/>
          <w:color w:val="auto"/>
        </w:rPr>
        <w:t xml:space="preserve">WESTWOOD HOLDINGS GROUP, INC. AND SUBSIDIARIES CONDENSED CONSOLIDATED STATEMENTS OF CASH FLOWS </w:t>
      </w:r>
      <w:r>
        <w:rPr>
          <w:rFonts w:ascii="Arial" w:cs="Arial" w:eastAsia="Arial" w:hAnsi="Arial"/>
          <w:sz w:val="19"/>
          <w:szCs w:val="19"/>
          <w:b w:val="1"/>
          <w:bCs w:val="1"/>
          <w:color w:val="auto"/>
        </w:rPr>
        <w:t>(in thousands)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6,950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Net change in unrealized depreciation on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on private investments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4,459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Non-cash lease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asset disposition</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sales of trading securities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12,149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Compensation and benefits payable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15,319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21,060</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Sale of investments</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9,258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 of property and equipment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investments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investing activities</w:t>
            </w: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9,630</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treasury stock</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returned for payment of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dividends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(22,125)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(25,173)</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currency rate changes on cash</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15,206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13,016</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22,470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 income taxes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Accrued dividends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2,481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operating lease right-of-use assets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0" w:name="page11"/>
    <w:bookmarkEnd w:id="10"/>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Reconciliation of Net Income (Loss) to Economic Earnings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(loss)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2022</w:t>
            </w:r>
          </w:p>
        </w:tc>
        <w:tc>
          <w:tcPr>
            <w:tcW w:w="24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September 30, 2021</w:t>
            </w:r>
          </w:p>
        </w:tc>
        <w:tc>
          <w:tcPr>
            <w:tcW w:w="0" w:type="dxa"/>
            <w:vAlign w:val="bottom"/>
          </w:tcPr>
          <w:p>
            <w:pPr>
              <w:spacing w:after="0"/>
              <w:rPr>
                <w:sz w:val="1"/>
                <w:szCs w:val="1"/>
                <w:color w:val="auto"/>
              </w:rPr>
            </w:pPr>
          </w:p>
        </w:tc>
      </w:tr>
      <w:tr>
        <w:trPr>
          <w:trHeight w:val="212"/>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amortization</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benefit from goodwill amortization</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Economic Earnings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amortization</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benefit from goodwill amortization</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Economic EPS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weighted average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7,794,060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7,944,212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7,956,081</w:t>
            </w:r>
          </w:p>
        </w:tc>
        <w:tc>
          <w:tcPr>
            <w:tcW w:w="0" w:type="dxa"/>
            <w:vAlign w:val="bottom"/>
          </w:tcPr>
          <w:p>
            <w:pPr>
              <w:spacing w:after="0"/>
              <w:rPr>
                <w:sz w:val="1"/>
                <w:szCs w:val="1"/>
                <w:color w:val="auto"/>
              </w:rPr>
            </w:pPr>
          </w:p>
        </w:tc>
      </w:tr>
      <w:tr>
        <w:trPr>
          <w:trHeight w:val="435"/>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tcPr>
          <w:p>
            <w:pPr>
              <w:jc w:val="right"/>
              <w:ind w:right="13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2022</w:t>
            </w:r>
          </w:p>
        </w:tc>
        <w:tc>
          <w:tcPr>
            <w:tcW w:w="24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September 30, 2021</w:t>
            </w:r>
          </w:p>
        </w:tc>
        <w:tc>
          <w:tcPr>
            <w:tcW w:w="0" w:type="dxa"/>
            <w:vAlign w:val="bottom"/>
          </w:tcPr>
          <w:p>
            <w:pPr>
              <w:spacing w:after="0"/>
              <w:rPr>
                <w:sz w:val="1"/>
                <w:szCs w:val="1"/>
                <w:color w:val="auto"/>
              </w:rPr>
            </w:pPr>
          </w:p>
        </w:tc>
      </w:tr>
      <w:tr>
        <w:trPr>
          <w:trHeight w:val="212"/>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6,950</w:t>
            </w: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4,410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4,459</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amortization</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benefit from goodwill amortization</w:t>
            </w:r>
          </w:p>
        </w:tc>
        <w:tc>
          <w:tcPr>
            <w:tcW w:w="2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Economic Earnings</w:t>
            </w: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amortization</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benefit from goodwill amortization</w:t>
            </w:r>
          </w:p>
        </w:tc>
        <w:tc>
          <w:tcPr>
            <w:tcW w:w="2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Economic EPS</w:t>
            </w: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weighted average shares</w:t>
            </w: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7,867,555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7,933,860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2022-10-26T15:20:35Z</dcterms:created>
  <dcterms:modified xsi:type="dcterms:W3CDTF">2022-10-26T15:20:35Z</dcterms:modified>
</cp:coreProperties>
</file>