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9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50"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WESTWOOD HLDGS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77470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to designate the rule pursuant to which this Schedule is filed:</w:t>
      </w:r>
    </w:p>
    <w:p>
      <w:pPr>
        <w:spacing w:after="0" w:line="272" w:lineRule="exact"/>
        <w:rPr>
          <w:sz w:val="24"/>
          <w:szCs w:val="24"/>
          <w:color w:val="auto"/>
        </w:rPr>
      </w:pPr>
    </w:p>
    <w:p>
      <w:pPr>
        <w:ind w:left="620" w:hanging="558"/>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0219"/>
          </w:cols>
          <w:pgMar w:left="240" w:top="1440" w:right="1440" w:bottom="148" w:gutter="0" w:footer="0" w:header="0"/>
        </w:sectPr>
      </w:pP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10" w:lineRule="exact"/>
        <w:rPr>
          <w:sz w:val="24"/>
          <w:szCs w:val="24"/>
          <w:color w:val="auto"/>
        </w:rPr>
      </w:pPr>
    </w:p>
    <w:p>
      <w:pPr>
        <w:sectPr>
          <w:pgSz w:w="11900" w:h="16838" w:orient="portrait"/>
          <w:cols w:equalWidth="0" w:num="2">
            <w:col w:w="200" w:space="420"/>
            <w:col w:w="9599"/>
          </w:cols>
          <w:pgMar w:left="240" w:top="1440" w:right="1440" w:bottom="148"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69" w:lineRule="exact"/>
        <w:rPr>
          <w:sz w:val="24"/>
          <w:szCs w:val="24"/>
          <w:color w:val="auto"/>
        </w:rPr>
      </w:pPr>
    </w:p>
    <w:p>
      <w:pPr>
        <w:sectPr>
          <w:pgSz w:w="11900" w:h="16838" w:orient="portrait"/>
          <w:cols w:equalWidth="0" w:num="2">
            <w:col w:w="200" w:space="420"/>
            <w:col w:w="9599"/>
          </w:cols>
          <w:pgMar w:left="240" w:top="1440" w:right="1440" w:bottom="148" w:gutter="0" w:footer="0" w:header="0"/>
          <w:type w:val="continuous"/>
        </w:sectPr>
      </w:pPr>
    </w:p>
    <w:p>
      <w:pPr>
        <w:jc w:val="both"/>
        <w:ind w:left="20" w:right="1259"/>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jc w:val="both"/>
        <w:ind w:left="20" w:right="1259"/>
        <w:spacing w:after="0" w:line="239"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09" w:lineRule="exact"/>
        <w:rPr>
          <w:sz w:val="24"/>
          <w:szCs w:val="24"/>
          <w:color w:val="auto"/>
        </w:rPr>
      </w:pPr>
    </w:p>
    <w:p>
      <w:pPr>
        <w:ind w:left="700" w:right="6699" w:hanging="435"/>
        <w:spacing w:after="0" w:line="282" w:lineRule="auto"/>
        <w:tabs>
          <w:tab w:leader="none" w:pos="7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Wells Fargo &amp; Company</w:t>
      </w:r>
    </w:p>
    <w:p>
      <w:pPr>
        <w:spacing w:after="0" w:line="27" w:lineRule="exact"/>
        <w:rPr>
          <w:sz w:val="24"/>
          <w:szCs w:val="24"/>
          <w:color w:val="auto"/>
        </w:rPr>
      </w:pPr>
    </w:p>
    <w:p>
      <w:pPr>
        <w:ind w:left="700" w:right="8479" w:hanging="3"/>
        <w:spacing w:after="0" w:line="282" w:lineRule="auto"/>
        <w:tabs>
          <w:tab w:leader="none" w:pos="100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41-0449260</w:t>
      </w:r>
    </w:p>
    <w:p>
      <w:pPr>
        <w:spacing w:after="0" w:line="377" w:lineRule="exact"/>
        <w:rPr>
          <w:rFonts w:ascii="Times New Roman" w:cs="Times New Roman" w:eastAsia="Times New Roman" w:hAnsi="Times New Roman"/>
          <w:sz w:val="21"/>
          <w:szCs w:val="21"/>
          <w:color w:val="auto"/>
        </w:rPr>
      </w:pPr>
    </w:p>
    <w:p>
      <w:pPr>
        <w:ind w:left="700" w:hanging="435"/>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040" w:hanging="343"/>
        <w:spacing w:after="0"/>
        <w:tabs>
          <w:tab w:leader="none" w:pos="1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63"/>
        <w:spacing w:after="0"/>
        <w:tabs>
          <w:tab w:leader="none" w:pos="10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-744855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8" w:gutter="0" w:footer="0" w:header="0"/>
          <w:type w:val="continuous"/>
        </w:sectPr>
      </w:pPr>
    </w:p>
    <w:bookmarkStart w:id="1" w:name="page2"/>
    <w:bookmarkEnd w:id="1"/>
    <w:p>
      <w:pPr>
        <w:spacing w:after="0" w:line="3" w:lineRule="exact"/>
        <w:rPr>
          <w:sz w:val="20"/>
          <w:szCs w:val="20"/>
          <w:color w:val="auto"/>
        </w:rPr>
      </w:pPr>
    </w:p>
    <w:p>
      <w:pPr>
        <w:ind w:left="640" w:hanging="43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 7,843</w:t>
            </w:r>
          </w:p>
        </w:tc>
        <w:tc>
          <w:tcPr>
            <w:tcW w:w="0" w:type="dxa"/>
            <w:vAlign w:val="bottom"/>
          </w:tcPr>
          <w:p>
            <w:pPr>
              <w:spacing w:after="0"/>
              <w:rPr>
                <w:sz w:val="1"/>
                <w:szCs w:val="1"/>
                <w:color w:val="auto"/>
              </w:rPr>
            </w:pPr>
          </w:p>
        </w:tc>
      </w:tr>
      <w:tr>
        <w:trPr>
          <w:trHeight w:val="214"/>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 528,789</w:t>
            </w:r>
          </w:p>
        </w:tc>
        <w:tc>
          <w:tcPr>
            <w:tcW w:w="0" w:type="dxa"/>
            <w:vAlign w:val="bottom"/>
          </w:tcPr>
          <w:p>
            <w:pPr>
              <w:spacing w:after="0"/>
              <w:rPr>
                <w:sz w:val="1"/>
                <w:szCs w:val="1"/>
                <w:color w:val="auto"/>
              </w:rPr>
            </w:pPr>
          </w:p>
        </w:tc>
      </w:tr>
      <w:tr>
        <w:trPr>
          <w:trHeight w:val="174"/>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420" w:type="dxa"/>
            <w:vAlign w:val="bottom"/>
            <w:vMerge w:val="continue"/>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 7,843</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20" w:type="dxa"/>
            <w:vAlign w:val="bottom"/>
            <w:vMerge w:val="continue"/>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-997585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-997585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-551815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-551815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-105410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-105410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 w:lineRule="exact"/>
        <w:rPr>
          <w:sz w:val="20"/>
          <w:szCs w:val="20"/>
          <w:color w:val="auto"/>
        </w:rPr>
      </w:pPr>
    </w:p>
    <w:p>
      <w:pPr>
        <w:ind w:left="1640" w:hanging="220"/>
        <w:spacing w:after="0"/>
        <w:tabs>
          <w:tab w:leader="none" w:pos="16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718,520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726,363</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8.05 %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-1637030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HLDGS GROUP INC</w:t>
      </w:r>
    </w:p>
    <w:p>
      <w:pPr>
        <w:spacing w:after="0" w:line="74" w:lineRule="exact"/>
        <w:rPr>
          <w:rFonts w:ascii="Times New Roman" w:cs="Times New Roman" w:eastAsia="Times New Roman" w:hAnsi="Times New Roman"/>
          <w:sz w:val="22"/>
          <w:szCs w:val="22"/>
          <w:color w:val="auto"/>
        </w:rPr>
      </w:pPr>
    </w:p>
    <w:p>
      <w:pPr>
        <w:ind w:left="700" w:right="5099" w:hanging="374"/>
        <w:spacing w:after="0" w:line="346" w:lineRule="auto"/>
        <w:tabs>
          <w:tab w:leader="none" w:pos="7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200 Crescent Court, Suite 1200, Dallas, TX 75201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right="731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Person Filing Wells Fargo &amp; Company</w:t>
      </w:r>
    </w:p>
    <w:p>
      <w:pPr>
        <w:spacing w:after="0" w:line="26" w:lineRule="exact"/>
        <w:rPr>
          <w:rFonts w:ascii="Times New Roman" w:cs="Times New Roman" w:eastAsia="Times New Roman" w:hAnsi="Times New Roman"/>
          <w:sz w:val="21"/>
          <w:szCs w:val="21"/>
          <w:color w:val="auto"/>
        </w:rPr>
      </w:pPr>
    </w:p>
    <w:p>
      <w:pPr>
        <w:ind w:left="700" w:right="433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420 Montgomery Street, San Francisco, CA 94163</w:t>
      </w:r>
    </w:p>
    <w:p>
      <w:pPr>
        <w:spacing w:after="0" w:line="26" w:lineRule="exact"/>
        <w:rPr>
          <w:rFonts w:ascii="Times New Roman" w:cs="Times New Roman" w:eastAsia="Times New Roman" w:hAnsi="Times New Roman"/>
          <w:sz w:val="21"/>
          <w:szCs w:val="21"/>
          <w:color w:val="auto"/>
        </w:rPr>
      </w:pPr>
    </w:p>
    <w:p>
      <w:pPr>
        <w:ind w:left="700" w:right="847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Delaware</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9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961765104</w:t>
      </w:r>
    </w:p>
    <w:p>
      <w:pPr>
        <w:spacing w:after="0" w:line="374" w:lineRule="exact"/>
        <w:rPr>
          <w:sz w:val="20"/>
          <w:szCs w:val="20"/>
          <w:color w:val="auto"/>
        </w:rPr>
      </w:pPr>
    </w:p>
    <w:p>
      <w:pPr>
        <w:ind w:left="780" w:right="139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120" w:right="1399" w:hanging="816"/>
        <w:spacing w:after="0" w:line="258" w:lineRule="auto"/>
        <w:tabs>
          <w:tab w:leader="none" w:pos="78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240.13d-1(b)(1)(ii)(E);</w:t>
      </w:r>
    </w:p>
    <w:p>
      <w:pPr>
        <w:spacing w:after="0" w:line="260" w:lineRule="exact"/>
        <w:rPr>
          <w:rFonts w:ascii="Times New Roman" w:cs="Times New Roman" w:eastAsia="Times New Roman" w:hAnsi="Times New Roman"/>
          <w:sz w:val="22"/>
          <w:szCs w:val="22"/>
          <w:color w:val="auto"/>
        </w:rPr>
      </w:pPr>
    </w:p>
    <w:p>
      <w:pPr>
        <w:ind w:left="780" w:hanging="440"/>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240.13d-1(b)(1)(ii)(F);</w:t>
      </w:r>
    </w:p>
    <w:p>
      <w:pPr>
        <w:sectPr>
          <w:pgSz w:w="11900" w:h="16841" w:orient="portrait"/>
          <w:cols w:equalWidth="0" w:num="1">
            <w:col w:w="10159"/>
          </w:cols>
          <w:pgMar w:left="300" w:top="111" w:right="1440" w:bottom="0" w:gutter="0" w:footer="0" w:header="0"/>
        </w:sectPr>
      </w:pPr>
    </w:p>
    <w:bookmarkStart w:id="2" w:name="page3"/>
    <w:bookmarkEnd w:id="2"/>
    <w:p>
      <w:pPr>
        <w:ind w:left="780" w:hanging="476"/>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240.13d-1(b)(1)(ii)(G);</w:t>
      </w:r>
    </w:p>
    <w:p>
      <w:pPr>
        <w:spacing w:after="0" w:line="14" w:lineRule="exact"/>
        <w:rPr>
          <w:rFonts w:ascii="Times New Roman" w:cs="Times New Roman" w:eastAsia="Times New Roman" w:hAnsi="Times New Roman"/>
          <w:sz w:val="22"/>
          <w:szCs w:val="22"/>
          <w:color w:val="auto"/>
        </w:rPr>
      </w:pPr>
    </w:p>
    <w:p>
      <w:pPr>
        <w:ind w:left="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color w:val="auto"/>
        </w:rPr>
      </w:pPr>
    </w:p>
    <w:p>
      <w:pPr>
        <w:ind w:left="1120" w:right="1559" w:hanging="816"/>
        <w:spacing w:after="0" w:line="258" w:lineRule="auto"/>
        <w:tabs>
          <w:tab w:leader="none" w:pos="78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120" w:right="1819" w:hanging="768"/>
        <w:spacing w:after="0" w:line="242" w:lineRule="auto"/>
        <w:tabs>
          <w:tab w:leader="none" w:pos="78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120" w:right="133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77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800" w:hanging="433"/>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726,363</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8.05%</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7,843</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528,789</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7,843</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718,520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09" w:lineRule="exact"/>
        <w:rPr>
          <w:sz w:val="20"/>
          <w:szCs w:val="20"/>
          <w:color w:val="auto"/>
        </w:rPr>
      </w:pPr>
    </w:p>
    <w:p>
      <w:pPr>
        <w:ind w:left="640" w:hanging="435"/>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Names of Reporting Persons.</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Capital Management Incorporated</w:t>
      </w:r>
    </w:p>
    <w:p>
      <w:pPr>
        <w:spacing w:after="0" w:line="74" w:lineRule="exact"/>
        <w:rPr>
          <w:sz w:val="20"/>
          <w:szCs w:val="20"/>
          <w:color w:val="auto"/>
        </w:rPr>
      </w:pPr>
    </w:p>
    <w:p>
      <w:pPr>
        <w:ind w:left="640" w:right="8479" w:hanging="3"/>
        <w:spacing w:after="0" w:line="282" w:lineRule="auto"/>
        <w:tabs>
          <w:tab w:leader="none" w:pos="94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95-3692822</w:t>
      </w:r>
    </w:p>
    <w:p>
      <w:pPr>
        <w:spacing w:after="0" w:line="377" w:lineRule="exact"/>
        <w:rPr>
          <w:rFonts w:ascii="Times New Roman" w:cs="Times New Roman" w:eastAsia="Times New Roman" w:hAnsi="Times New Roman"/>
          <w:sz w:val="21"/>
          <w:szCs w:val="21"/>
          <w:color w:val="auto"/>
        </w:rPr>
      </w:pPr>
    </w:p>
    <w:p>
      <w:pPr>
        <w:ind w:left="640" w:hanging="435"/>
        <w:spacing w:after="0"/>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3"/>
        <w:spacing w:after="0"/>
        <w:tabs>
          <w:tab w:leader="none" w:pos="9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3"/>
        <w:spacing w:after="0"/>
        <w:tabs>
          <w:tab w:leader="none" w:pos="10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-1190625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Times New Roman" w:cs="Times New Roman" w:eastAsia="Times New Roman" w:hAnsi="Times New Roman"/>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 0</w:t>
            </w:r>
          </w:p>
        </w:tc>
        <w:tc>
          <w:tcPr>
            <w:tcW w:w="0" w:type="dxa"/>
            <w:vAlign w:val="bottom"/>
          </w:tcPr>
          <w:p>
            <w:pPr>
              <w:spacing w:after="0"/>
              <w:rPr>
                <w:sz w:val="1"/>
                <w:szCs w:val="1"/>
                <w:color w:val="auto"/>
              </w:rPr>
            </w:pPr>
          </w:p>
        </w:tc>
      </w:tr>
      <w:tr>
        <w:trPr>
          <w:trHeight w:val="214"/>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420" w:type="dxa"/>
            <w:vAlign w:val="bottom"/>
            <w:vMerge w:val="continue"/>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 0</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20" w:type="dxa"/>
            <w:vAlign w:val="bottom"/>
            <w:vMerge w:val="continue"/>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 712,771</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-1203325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-1203325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-757555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-757555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-311150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-311150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2" w:right="1440" w:bottom="51" w:gutter="0" w:footer="0" w:header="0"/>
        </w:sectPr>
      </w:pPr>
    </w:p>
    <w:p>
      <w:pPr>
        <w:spacing w:after="0" w:line="200" w:lineRule="exact"/>
        <w:rPr>
          <w:sz w:val="20"/>
          <w:szCs w:val="20"/>
          <w:color w:val="auto"/>
        </w:rPr>
      </w:pPr>
    </w:p>
    <w:p>
      <w:pPr>
        <w:spacing w:after="0" w:line="220" w:lineRule="exact"/>
        <w:rPr>
          <w:sz w:val="20"/>
          <w:szCs w:val="20"/>
          <w:color w:val="auto"/>
        </w:rPr>
      </w:pPr>
    </w:p>
    <w:p>
      <w:pPr>
        <w:ind w:left="640" w:hanging="435"/>
        <w:spacing w:after="0"/>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Beneficially Owned by Each Reporting Person 712,771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56299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2" w:right="1440" w:bottom="51" w:gutter="0" w:footer="0" w:header="0"/>
          <w:type w:val="continuous"/>
        </w:sectPr>
      </w:pPr>
    </w:p>
    <w:bookmarkStart w:id="3" w:name="page4"/>
    <w:bookmarkEnd w:id="3"/>
    <w:p>
      <w:pPr>
        <w:ind w:left="640" w:hanging="435"/>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7.90 %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-744855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HLDGS GROUP INC</w:t>
      </w:r>
    </w:p>
    <w:p>
      <w:pPr>
        <w:spacing w:after="0" w:line="74" w:lineRule="exact"/>
        <w:rPr>
          <w:rFonts w:ascii="Times New Roman" w:cs="Times New Roman" w:eastAsia="Times New Roman" w:hAnsi="Times New Roman"/>
          <w:sz w:val="22"/>
          <w:szCs w:val="22"/>
          <w:color w:val="auto"/>
        </w:rPr>
      </w:pPr>
    </w:p>
    <w:p>
      <w:pPr>
        <w:ind w:left="700" w:right="5099" w:hanging="374"/>
        <w:spacing w:after="0" w:line="346" w:lineRule="auto"/>
        <w:tabs>
          <w:tab w:leader="none" w:pos="70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200 Crescent Court, Suite 1200, Dallas, TX 75201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Capital Management Incorporated</w:t>
      </w:r>
    </w:p>
    <w:p>
      <w:pPr>
        <w:spacing w:after="0" w:line="74" w:lineRule="exact"/>
        <w:rPr>
          <w:rFonts w:ascii="Times New Roman" w:cs="Times New Roman" w:eastAsia="Times New Roman" w:hAnsi="Times New Roman"/>
          <w:sz w:val="22"/>
          <w:szCs w:val="22"/>
          <w:color w:val="auto"/>
        </w:rPr>
      </w:pPr>
    </w:p>
    <w:p>
      <w:pPr>
        <w:ind w:left="700" w:right="433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525 Market St, 10th Floor, San Francisco, CA 94105</w:t>
      </w:r>
    </w:p>
    <w:p>
      <w:pPr>
        <w:spacing w:after="0" w:line="26" w:lineRule="exact"/>
        <w:rPr>
          <w:rFonts w:ascii="Times New Roman" w:cs="Times New Roman" w:eastAsia="Times New Roman" w:hAnsi="Times New Roman"/>
          <w:sz w:val="21"/>
          <w:szCs w:val="21"/>
          <w:color w:val="auto"/>
        </w:rPr>
      </w:pPr>
    </w:p>
    <w:p>
      <w:pPr>
        <w:ind w:left="700" w:right="847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California</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9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961765104</w:t>
      </w:r>
    </w:p>
    <w:p>
      <w:pPr>
        <w:spacing w:after="0" w:line="374" w:lineRule="exact"/>
        <w:rPr>
          <w:sz w:val="20"/>
          <w:szCs w:val="20"/>
          <w:color w:val="auto"/>
        </w:rPr>
      </w:pPr>
    </w:p>
    <w:p>
      <w:pPr>
        <w:ind w:left="780" w:right="139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120" w:right="1399" w:hanging="816"/>
        <w:spacing w:after="0" w:line="258" w:lineRule="auto"/>
        <w:tabs>
          <w:tab w:leader="none" w:pos="7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240.13d-1(b)(1)(ii)(E);</w:t>
      </w:r>
    </w:p>
    <w:p>
      <w:pPr>
        <w:spacing w:after="0" w:line="14" w:lineRule="exact"/>
        <w:rPr>
          <w:rFonts w:ascii="Times New Roman" w:cs="Times New Roman" w:eastAsia="Times New Roman" w:hAnsi="Times New Roman"/>
          <w:sz w:val="22"/>
          <w:szCs w:val="22"/>
          <w:color w:val="auto"/>
        </w:rPr>
      </w:pPr>
    </w:p>
    <w:p>
      <w:pPr>
        <w:ind w:left="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color w:val="auto"/>
        </w:rPr>
      </w:pPr>
    </w:p>
    <w:p>
      <w:pPr>
        <w:ind w:left="780" w:hanging="440"/>
        <w:spacing w:after="0"/>
        <w:tabs>
          <w:tab w:leader="none" w:pos="7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240.13d-1(b)(1)(ii)(F);</w:t>
      </w:r>
    </w:p>
    <w:p>
      <w:pPr>
        <w:spacing w:after="0" w:line="271" w:lineRule="exact"/>
        <w:rPr>
          <w:rFonts w:ascii="Times New Roman" w:cs="Times New Roman" w:eastAsia="Times New Roman" w:hAnsi="Times New Roman"/>
          <w:sz w:val="21"/>
          <w:szCs w:val="21"/>
          <w:color w:val="auto"/>
        </w:rPr>
      </w:pPr>
    </w:p>
    <w:p>
      <w:pPr>
        <w:ind w:left="780" w:hanging="476"/>
        <w:spacing w:after="0"/>
        <w:tabs>
          <w:tab w:leader="none" w:pos="7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parent holding company or control person in accordance with 240.13d-1(b)(1)(ii)(G);</w:t>
      </w:r>
    </w:p>
    <w:p>
      <w:pPr>
        <w:spacing w:after="0" w:line="271" w:lineRule="exact"/>
        <w:rPr>
          <w:rFonts w:ascii="Times New Roman" w:cs="Times New Roman" w:eastAsia="Times New Roman" w:hAnsi="Times New Roman"/>
          <w:sz w:val="21"/>
          <w:szCs w:val="21"/>
          <w:color w:val="auto"/>
        </w:rPr>
      </w:pPr>
    </w:p>
    <w:p>
      <w:pPr>
        <w:ind w:left="1120" w:right="1559" w:hanging="816"/>
        <w:spacing w:after="0" w:line="258" w:lineRule="auto"/>
        <w:tabs>
          <w:tab w:leader="none" w:pos="7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120" w:right="1819" w:hanging="768"/>
        <w:spacing w:after="0" w:line="242" w:lineRule="auto"/>
        <w:tabs>
          <w:tab w:leader="none" w:pos="7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120" w:right="133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w:t>
      </w:r>
    </w:p>
    <w:p>
      <w:pPr>
        <w:sectPr>
          <w:pgSz w:w="11900" w:h="16838" w:orient="portrait"/>
          <w:cols w:equalWidth="0" w:num="1">
            <w:col w:w="10159"/>
          </w:cols>
          <w:pgMar w:left="300" w:top="112" w:right="1440"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securities of the issuer identified in Item 1.</w:t>
      </w:r>
    </w:p>
    <w:p>
      <w:pPr>
        <w:spacing w:after="0" w:line="99" w:lineRule="exact"/>
        <w:rPr>
          <w:sz w:val="20"/>
          <w:szCs w:val="20"/>
          <w:color w:val="auto"/>
        </w:rPr>
      </w:pPr>
    </w:p>
    <w:p>
      <w:pPr>
        <w:ind w:left="800" w:hanging="433"/>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712,771</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7.90%</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712,771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562991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569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09" w:lineRule="exact"/>
        <w:rPr>
          <w:sz w:val="20"/>
          <w:szCs w:val="20"/>
          <w:color w:val="auto"/>
        </w:rPr>
      </w:pPr>
    </w:p>
    <w:p>
      <w:pPr>
        <w:ind w:left="640" w:right="6199" w:hanging="435"/>
        <w:spacing w:after="0" w:line="282" w:lineRule="auto"/>
        <w:tabs>
          <w:tab w:leader="none" w:pos="6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Wells Fargo Funds Management, LLC</w:t>
      </w:r>
    </w:p>
    <w:p>
      <w:pPr>
        <w:spacing w:after="0" w:line="27" w:lineRule="exact"/>
        <w:rPr>
          <w:sz w:val="20"/>
          <w:szCs w:val="20"/>
          <w:color w:val="auto"/>
        </w:rPr>
      </w:pPr>
    </w:p>
    <w:p>
      <w:pPr>
        <w:ind w:left="640" w:right="8479" w:hanging="3"/>
        <w:spacing w:after="0" w:line="282" w:lineRule="auto"/>
        <w:tabs>
          <w:tab w:leader="none" w:pos="946"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94-3382001</w:t>
      </w:r>
    </w:p>
    <w:p>
      <w:pPr>
        <w:spacing w:after="0" w:line="377" w:lineRule="exact"/>
        <w:rPr>
          <w:rFonts w:ascii="Times New Roman" w:cs="Times New Roman" w:eastAsia="Times New Roman" w:hAnsi="Times New Roman"/>
          <w:sz w:val="21"/>
          <w:szCs w:val="21"/>
          <w:color w:val="auto"/>
        </w:rPr>
      </w:pPr>
    </w:p>
    <w:p>
      <w:pPr>
        <w:ind w:left="640" w:hanging="435"/>
        <w:spacing w:after="0"/>
        <w:tabs>
          <w:tab w:leader="none" w:pos="6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3"/>
        <w:spacing w:after="0"/>
        <w:tabs>
          <w:tab w:leader="none" w:pos="9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3"/>
        <w:spacing w:after="0"/>
        <w:tabs>
          <w:tab w:leader="none" w:pos="10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-1637030</wp:posOffset>
            </wp:positionV>
            <wp:extent cx="562991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991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 0</w:t>
            </w:r>
          </w:p>
        </w:tc>
        <w:tc>
          <w:tcPr>
            <w:tcW w:w="0" w:type="dxa"/>
            <w:vAlign w:val="bottom"/>
          </w:tcPr>
          <w:p>
            <w:pPr>
              <w:spacing w:after="0"/>
              <w:rPr>
                <w:sz w:val="1"/>
                <w:szCs w:val="1"/>
                <w:color w:val="auto"/>
              </w:rPr>
            </w:pPr>
          </w:p>
        </w:tc>
      </w:tr>
      <w:tr>
        <w:trPr>
          <w:trHeight w:val="214"/>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 519,608</w:t>
            </w:r>
          </w:p>
        </w:tc>
        <w:tc>
          <w:tcPr>
            <w:tcW w:w="0" w:type="dxa"/>
            <w:vAlign w:val="bottom"/>
          </w:tcPr>
          <w:p>
            <w:pPr>
              <w:spacing w:after="0"/>
              <w:rPr>
                <w:sz w:val="1"/>
                <w:szCs w:val="1"/>
                <w:color w:val="auto"/>
              </w:rPr>
            </w:pPr>
          </w:p>
        </w:tc>
      </w:tr>
      <w:tr>
        <w:trPr>
          <w:trHeight w:val="174"/>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420" w:type="dxa"/>
            <w:vAlign w:val="bottom"/>
            <w:vMerge w:val="continue"/>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 0</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20" w:type="dxa"/>
            <w:vAlign w:val="bottom"/>
            <w:vMerge w:val="continue"/>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-997585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-997585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-551815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-551815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-105410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-105410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 w:lineRule="exact"/>
        <w:rPr>
          <w:sz w:val="20"/>
          <w:szCs w:val="20"/>
          <w:color w:val="auto"/>
        </w:rPr>
      </w:pPr>
    </w:p>
    <w:p>
      <w:pPr>
        <w:ind w:left="1640" w:hanging="220"/>
        <w:spacing w:after="0"/>
        <w:tabs>
          <w:tab w:leader="none" w:pos="16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520,029</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520,029</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5.77 %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-1637030</wp:posOffset>
            </wp:positionV>
            <wp:extent cx="562991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991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991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HLDGS GROUP INC</w:t>
      </w:r>
    </w:p>
    <w:p>
      <w:pPr>
        <w:spacing w:after="0" w:line="74" w:lineRule="exact"/>
        <w:rPr>
          <w:rFonts w:ascii="Times New Roman" w:cs="Times New Roman" w:eastAsia="Times New Roman" w:hAnsi="Times New Roman"/>
          <w:sz w:val="22"/>
          <w:szCs w:val="22"/>
          <w:color w:val="auto"/>
        </w:rPr>
      </w:pPr>
    </w:p>
    <w:p>
      <w:pPr>
        <w:ind w:left="700" w:right="5099" w:hanging="374"/>
        <w:spacing w:after="0" w:line="346" w:lineRule="auto"/>
        <w:tabs>
          <w:tab w:leader="none" w:pos="70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200 Crescent Court, Suite 1200, Dallas, TX 75201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ectPr>
          <w:pgSz w:w="11900" w:h="16838" w:orient="portrait"/>
          <w:cols w:equalWidth="0" w:num="1">
            <w:col w:w="10159"/>
          </w:cols>
          <w:pgMar w:left="300" w:top="112" w:right="1440" w:bottom="0" w:gutter="0" w:footer="0" w:header="0"/>
        </w:sectPr>
      </w:pPr>
    </w:p>
    <w:bookmarkStart w:id="5" w:name="page6"/>
    <w:bookmarkEnd w:id="5"/>
    <w:p>
      <w:pPr>
        <w:ind w:left="700" w:hanging="374"/>
        <w:spacing w:after="0"/>
        <w:tabs>
          <w:tab w:leader="none" w:pos="7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Fargo Funds Management, LLC</w:t>
      </w:r>
    </w:p>
    <w:p>
      <w:pPr>
        <w:spacing w:after="0" w:line="74" w:lineRule="exact"/>
        <w:rPr>
          <w:rFonts w:ascii="Times New Roman" w:cs="Times New Roman" w:eastAsia="Times New Roman" w:hAnsi="Times New Roman"/>
          <w:sz w:val="22"/>
          <w:szCs w:val="22"/>
          <w:color w:val="auto"/>
        </w:rPr>
      </w:pPr>
    </w:p>
    <w:p>
      <w:pPr>
        <w:ind w:left="700" w:right="4339" w:hanging="374"/>
        <w:spacing w:after="0" w:line="258" w:lineRule="auto"/>
        <w:tabs>
          <w:tab w:leader="none" w:pos="7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 525 Market Street, San Francisco, CA 94105</w:t>
      </w:r>
    </w:p>
    <w:p>
      <w:pPr>
        <w:spacing w:after="0" w:line="50" w:lineRule="exact"/>
        <w:rPr>
          <w:rFonts w:ascii="Times New Roman" w:cs="Times New Roman" w:eastAsia="Times New Roman" w:hAnsi="Times New Roman"/>
          <w:sz w:val="22"/>
          <w:szCs w:val="22"/>
          <w:color w:val="auto"/>
        </w:rPr>
      </w:pPr>
    </w:p>
    <w:p>
      <w:pPr>
        <w:ind w:left="700" w:right="8479" w:hanging="374"/>
        <w:spacing w:after="0" w:line="282" w:lineRule="auto"/>
        <w:tabs>
          <w:tab w:leader="none" w:pos="7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Delaware</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99" w:hanging="374"/>
        <w:spacing w:after="0" w:line="282" w:lineRule="auto"/>
        <w:tabs>
          <w:tab w:leader="none" w:pos="7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961765104</w:t>
      </w:r>
    </w:p>
    <w:p>
      <w:pPr>
        <w:spacing w:after="0" w:line="374" w:lineRule="exact"/>
        <w:rPr>
          <w:sz w:val="20"/>
          <w:szCs w:val="20"/>
          <w:color w:val="auto"/>
        </w:rPr>
      </w:pPr>
    </w:p>
    <w:p>
      <w:pPr>
        <w:ind w:left="780" w:right="139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120" w:right="1399" w:hanging="816"/>
        <w:spacing w:after="0" w:line="258" w:lineRule="auto"/>
        <w:tabs>
          <w:tab w:leader="none" w:pos="78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240.13d-1(b)(1)(ii)(E);</w:t>
      </w:r>
    </w:p>
    <w:p>
      <w:pPr>
        <w:spacing w:after="0" w:line="14" w:lineRule="exact"/>
        <w:rPr>
          <w:rFonts w:ascii="Times New Roman" w:cs="Times New Roman" w:eastAsia="Times New Roman" w:hAnsi="Times New Roman"/>
          <w:sz w:val="22"/>
          <w:szCs w:val="22"/>
          <w:color w:val="auto"/>
        </w:rPr>
      </w:pPr>
    </w:p>
    <w:p>
      <w:pPr>
        <w:ind w:left="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color w:val="auto"/>
        </w:rPr>
      </w:pPr>
    </w:p>
    <w:p>
      <w:pPr>
        <w:ind w:left="780" w:hanging="440"/>
        <w:spacing w:after="0"/>
        <w:tabs>
          <w:tab w:leader="none" w:pos="7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240.13d-1(b)(1)(ii)(F);</w:t>
      </w:r>
    </w:p>
    <w:p>
      <w:pPr>
        <w:spacing w:after="0" w:line="271" w:lineRule="exact"/>
        <w:rPr>
          <w:rFonts w:ascii="Times New Roman" w:cs="Times New Roman" w:eastAsia="Times New Roman" w:hAnsi="Times New Roman"/>
          <w:sz w:val="21"/>
          <w:szCs w:val="21"/>
          <w:color w:val="auto"/>
        </w:rPr>
      </w:pPr>
    </w:p>
    <w:p>
      <w:pPr>
        <w:ind w:left="780" w:hanging="476"/>
        <w:spacing w:after="0"/>
        <w:tabs>
          <w:tab w:leader="none" w:pos="7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parent holding company or control person in accordance with 240.13d-1(b)(1)(ii)(G);</w:t>
      </w:r>
    </w:p>
    <w:p>
      <w:pPr>
        <w:spacing w:after="0" w:line="271" w:lineRule="exact"/>
        <w:rPr>
          <w:rFonts w:ascii="Times New Roman" w:cs="Times New Roman" w:eastAsia="Times New Roman" w:hAnsi="Times New Roman"/>
          <w:sz w:val="21"/>
          <w:szCs w:val="21"/>
          <w:color w:val="auto"/>
        </w:rPr>
      </w:pPr>
    </w:p>
    <w:p>
      <w:pPr>
        <w:ind w:left="1120" w:right="1559" w:hanging="816"/>
        <w:spacing w:after="0" w:line="258" w:lineRule="auto"/>
        <w:tabs>
          <w:tab w:leader="none" w:pos="78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120" w:right="1819" w:hanging="768"/>
        <w:spacing w:after="0" w:line="242" w:lineRule="auto"/>
        <w:tabs>
          <w:tab w:leader="none" w:pos="78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120" w:right="133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77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800" w:hanging="433"/>
        <w:spacing w:after="0"/>
        <w:tabs>
          <w:tab w:leader="none" w:pos="8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520,029</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5.77%</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519,608</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520,029</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7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1" w:right="1440" w:bottom="0" w:gutter="0" w:footer="0" w:header="0"/>
        </w:sectPr>
      </w:pPr>
    </w:p>
    <w:bookmarkStart w:id="6" w:name="page7"/>
    <w:bookmarkEnd w:id="6"/>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ind w:left="860" w:right="1379" w:hanging="863"/>
        <w:spacing w:after="0" w:line="262" w:lineRule="auto"/>
        <w:tabs>
          <w:tab w:leader="none" w:pos="84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 or Control Person.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Exhibit B</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48" w:lineRule="exact"/>
        <w:rPr>
          <w:sz w:val="20"/>
          <w:szCs w:val="20"/>
          <w:color w:val="auto"/>
        </w:rPr>
      </w:pPr>
    </w:p>
    <w:p>
      <w:pPr>
        <w:jc w:val="both"/>
        <w:ind w:left="480" w:right="1979"/>
        <w:spacing w:after="0" w:line="236"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322" w:lineRule="exact"/>
        <w:rPr>
          <w:sz w:val="20"/>
          <w:szCs w:val="20"/>
          <w:color w:val="auto"/>
        </w:rPr>
      </w:pPr>
    </w:p>
    <w:p>
      <w:pPr>
        <w:ind w:left="240" w:right="115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5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/s/ Lori A.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Lori A. Ward,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Name/Title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EXPLANATORY NOTE</w:t>
      </w:r>
    </w:p>
    <w:p>
      <w:pPr>
        <w:spacing w:after="0" w:line="233" w:lineRule="exact"/>
        <w:rPr>
          <w:sz w:val="20"/>
          <w:szCs w:val="20"/>
          <w:color w:val="auto"/>
        </w:rPr>
      </w:pPr>
    </w:p>
    <w:p>
      <w:pPr>
        <w:ind w:right="1379"/>
        <w:spacing w:after="0" w:line="239" w:lineRule="auto"/>
        <w:rPr>
          <w:sz w:val="20"/>
          <w:szCs w:val="20"/>
          <w:color w:val="auto"/>
        </w:rPr>
      </w:pPr>
      <w:r>
        <w:rPr>
          <w:rFonts w:ascii="Times New Roman" w:cs="Times New Roman" w:eastAsia="Times New Roman" w:hAnsi="Times New Roman"/>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02" w:lineRule="exact"/>
        <w:rPr>
          <w:sz w:val="20"/>
          <w:szCs w:val="20"/>
          <w:color w:val="auto"/>
        </w:rPr>
      </w:pPr>
    </w:p>
    <w:p>
      <w:pPr>
        <w:ind w:right="1299"/>
        <w:spacing w:after="0" w:line="258" w:lineRule="auto"/>
        <w:rPr>
          <w:sz w:val="20"/>
          <w:szCs w:val="20"/>
          <w:color w:val="auto"/>
        </w:rPr>
      </w:pPr>
      <w:r>
        <w:rPr>
          <w:rFonts w:ascii="Times New Roman" w:cs="Times New Roman" w:eastAsia="Times New Roman" w:hAnsi="Times New Roman"/>
          <w:sz w:val="22"/>
          <w:szCs w:val="22"/>
          <w:color w:val="auto"/>
        </w:rPr>
        <w:t>The Schedule 13G to which this attachment is appended is filed by Wells Fargo &amp; Company on behalf of the following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Capital Management Incorporated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Clearing Services, LLC (2)</w:t>
      </w:r>
    </w:p>
    <w:p>
      <w:pPr>
        <w:spacing w:after="0" w:line="230" w:lineRule="auto"/>
        <w:rPr>
          <w:sz w:val="20"/>
          <w:szCs w:val="20"/>
          <w:color w:val="auto"/>
        </w:rPr>
      </w:pPr>
      <w:r>
        <w:rPr>
          <w:rFonts w:ascii="Times New Roman" w:cs="Times New Roman" w:eastAsia="Times New Roman" w:hAnsi="Times New Roman"/>
          <w:sz w:val="22"/>
          <w:szCs w:val="22"/>
          <w:color w:val="auto"/>
        </w:rPr>
        <w:t>Wells Fargo Advisors Financial Network, LLC (2)</w:t>
      </w:r>
    </w:p>
    <w:p>
      <w:pPr>
        <w:spacing w:after="0" w:line="231" w:lineRule="auto"/>
        <w:rPr>
          <w:sz w:val="20"/>
          <w:szCs w:val="20"/>
          <w:color w:val="auto"/>
        </w:rPr>
      </w:pPr>
      <w:r>
        <w:rPr>
          <w:rFonts w:ascii="Times New Roman" w:cs="Times New Roman" w:eastAsia="Times New Roman" w:hAnsi="Times New Roman"/>
          <w:sz w:val="22"/>
          <w:szCs w:val="22"/>
          <w:color w:val="auto"/>
        </w:rPr>
        <w:t>Wells Fargo Funds Management, LLC (1)</w:t>
      </w:r>
    </w:p>
    <w:p>
      <w:pPr>
        <w:spacing w:after="0"/>
        <w:rPr>
          <w:sz w:val="20"/>
          <w:szCs w:val="20"/>
          <w:color w:val="auto"/>
        </w:rPr>
      </w:pPr>
      <w:r>
        <w:rPr>
          <w:rFonts w:ascii="Times New Roman" w:cs="Times New Roman" w:eastAsia="Times New Roman" w:hAnsi="Times New Roman"/>
          <w:sz w:val="22"/>
          <w:szCs w:val="22"/>
          <w:color w:val="auto"/>
        </w:rPr>
        <w:t>Wells Fargo Bank, National Association (3)</w:t>
      </w:r>
    </w:p>
    <w:p>
      <w:pPr>
        <w:spacing w:after="0" w:line="209" w:lineRule="exact"/>
        <w:rPr>
          <w:sz w:val="20"/>
          <w:szCs w:val="20"/>
          <w:color w:val="auto"/>
        </w:rPr>
      </w:pPr>
    </w:p>
    <w:p>
      <w:pPr>
        <w:ind w:left="300" w:hanging="298"/>
        <w:spacing w:after="0"/>
        <w:tabs>
          <w:tab w:leader="none" w:pos="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registered investment advisor in accordance with Regulation 13d-1(b)(1)(ii)(E).</w:t>
      </w:r>
    </w:p>
    <w:p>
      <w:pPr>
        <w:spacing w:after="0" w:line="14" w:lineRule="exact"/>
        <w:rPr>
          <w:rFonts w:ascii="Times New Roman" w:cs="Times New Roman" w:eastAsia="Times New Roman" w:hAnsi="Times New Roman"/>
          <w:sz w:val="22"/>
          <w:szCs w:val="22"/>
          <w:color w:val="auto"/>
        </w:rPr>
      </w:pPr>
    </w:p>
    <w:p>
      <w:pPr>
        <w:ind w:left="300" w:hanging="298"/>
        <w:spacing w:after="0" w:line="230" w:lineRule="auto"/>
        <w:tabs>
          <w:tab w:leader="none" w:pos="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broker dealer in accordance with Regulation 13d-1(b)(1)(ii)(A).</w:t>
      </w:r>
    </w:p>
    <w:p>
      <w:pPr>
        <w:ind w:left="300" w:hanging="298"/>
        <w:spacing w:after="0"/>
        <w:tabs>
          <w:tab w:leader="none" w:pos="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60" w:right="1379" w:hanging="1079"/>
        <w:spacing w:after="0" w:line="262" w:lineRule="auto"/>
        <w:tabs>
          <w:tab w:leader="none" w:pos="1040" w:val="left"/>
        </w:tabs>
        <w:rPr>
          <w:sz w:val="20"/>
          <w:szCs w:val="20"/>
          <w:color w:val="auto"/>
        </w:rPr>
      </w:pPr>
      <w:r>
        <w:rPr>
          <w:rFonts w:ascii="Times New Roman" w:cs="Times New Roman" w:eastAsia="Times New Roman" w:hAnsi="Times New Roman"/>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459" w:right="1440" w:bottom="2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7"/>
    </w:lvl>
  </w:abstractNum>
  <w:abstractNum w:abstractNumId="11">
    <w:nsid w:val="333AB105"/>
    <w:multiLevelType w:val="hybridMultilevel"/>
    <w:lvl w:ilvl="0">
      <w:lvlJc w:val="left"/>
      <w:lvlText w:val="(%1)"/>
      <w:numFmt w:val="lowerLetter"/>
      <w:start w:val="1"/>
    </w:lvl>
    <w:lvl w:ilvl="1">
      <w:lvlJc w:val="left"/>
      <w:lvlText w:val="(%2)"/>
      <w:numFmt w:val="lowerRoman"/>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lvl w:ilvl="1">
      <w:lvlJc w:val="left"/>
      <w:lvlText w:val="(%2)"/>
      <w:numFmt w:val="lowerLetter"/>
      <w:start w:val="2"/>
    </w:lvl>
  </w:abstractNum>
  <w:abstractNum w:abstractNumId="14">
    <w:nsid w:val="2D1D5AE9"/>
    <w:multiLevelType w:val="hybridMultilevel"/>
    <w:lvl w:ilvl="0">
      <w:lvlJc w:val="left"/>
      <w:lvlText w:val="%1."/>
      <w:numFmt w:val="decimal"/>
      <w:start w:val="2"/>
    </w:lvl>
    <w:lvl w:ilvl="1">
      <w:lvlJc w:val="left"/>
      <w:lvlText w:val="(%2)"/>
      <w:numFmt w:val="lowerLetter"/>
      <w:start w:val="1"/>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lvl w:ilvl="1">
      <w:lvlJc w:val="left"/>
      <w:lvlText w:val="(%2)"/>
      <w:numFmt w:val="lowerRoman"/>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2)"/>
      <w:numFmt w:val="lowerLetter"/>
      <w:start w:val="2"/>
    </w:lvl>
  </w:abstractNum>
  <w:abstractNum w:abstractNumId="23">
    <w:nsid w:val="71F32454"/>
    <w:multiLevelType w:val="hybridMultilevel"/>
    <w:lvl w:ilvl="0">
      <w:lvlJc w:val="left"/>
      <w:lvlText w:val="%1."/>
      <w:numFmt w:val="decimal"/>
      <w:start w:val="2"/>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decimal"/>
      <w:start w:val="8"/>
    </w:lvl>
  </w:abstractNum>
  <w:abstractNum w:abstractNumId="25">
    <w:nsid w:val="836C40E"/>
    <w:multiLevelType w:val="hybridMultilevel"/>
    <w:lvl w:ilvl="0">
      <w:lvlJc w:val="left"/>
      <w:lvlText w:val="%1."/>
      <w:numFmt w:val="decimal"/>
      <w:start w:val="9"/>
    </w:lvl>
    <w:lvl w:ilvl="1">
      <w:lvlJc w:val="left"/>
      <w:lvlText w:val="%2"/>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lvl w:ilvl="1">
      <w:lvlJc w:val="left"/>
      <w:lvlText w:val="(%2)"/>
      <w:numFmt w:val="lowerRoman"/>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2019-12-19T21:16:12Z</dcterms:created>
  <dcterms:modified xsi:type="dcterms:W3CDTF">2019-12-19T21:16:12Z</dcterms:modified>
</cp:coreProperties>
</file>