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40" w:before="0" w:after="0"/>
        <w:rPr>
          <w:color w:val="000000"/>
        </w:rPr>
      </w:pPr>
      <w:r>
        <w:rPr>
          <w:color w:val="000000"/>
        </w:rPr>
        <w:t> </w:t>
      </w:r>
    </w:p>
    <w:p>
      <w:pPr>
        <w:pStyle w:val="TextBody"/>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April 26, 2023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WESTWOOD HOLDINGS GROUP,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spacing w:before="0" w:after="0"/>
        <w:rPr/>
      </w:pPr>
      <w:r>
        <w:rPr/>
      </w:r>
    </w:p>
    <w:tbl>
      <w:tblPr>
        <w:tblW w:w="8092" w:type="dxa"/>
        <w:jc w:val="left"/>
        <w:tblInd w:w="0" w:type="dxa"/>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001-31234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75-2969997</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Dallas, Texas 75201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(214) 756-6900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rPr/>
      </w:pPr>
      <w:r>
        <w:rPr/>
      </w:r>
    </w:p>
    <w:p>
      <w:pPr>
        <w:pStyle w:val="TextBody"/>
        <w:spacing w:lineRule="auto" w:line="312" w:before="0" w:after="0"/>
        <w:rPr/>
      </w:pPr>
      <w:r>
        <w:rPr>
          <w:color w:val="000000"/>
        </w:rPr>
        <w:t>    </w:t>
      </w: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General Instruction A.2. below):</w:t>
      </w:r>
    </w:p>
    <w:p>
      <w:pPr>
        <w:pStyle w:val="TextBody"/>
        <w:spacing w:before="0" w:after="0"/>
        <w:rPr/>
      </w:pPr>
      <w:r>
        <w:rPr/>
      </w:r>
    </w:p>
    <w:p>
      <w:pPr>
        <w:pStyle w:val="TextBody"/>
        <w:spacing w:lineRule="auto" w:line="312" w:before="0" w:after="0"/>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before="0" w:after="0"/>
        <w:rPr/>
      </w:pPr>
      <w:r>
        <w:rPr/>
      </w:r>
    </w:p>
    <w:p>
      <w:pPr>
        <w:pStyle w:val="TextBody"/>
        <w:spacing w:lineRule="auto" w:line="312" w:before="0" w:after="0"/>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before="0" w:after="0"/>
        <w:rPr/>
      </w:pPr>
      <w:r>
        <w:rPr/>
      </w:r>
    </w:p>
    <w:p>
      <w:pPr>
        <w:pStyle w:val="TextBody"/>
        <w:spacing w:lineRule="auto" w:line="312" w:before="0" w:after="0"/>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before="0" w:after="0"/>
        <w:rPr/>
      </w:pPr>
      <w:r>
        <w:rPr/>
      </w:r>
    </w:p>
    <w:p>
      <w:pPr>
        <w:pStyle w:val="TextBody"/>
        <w:spacing w:lineRule="auto" w:line="312" w:before="0" w:after="0"/>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68" w:type="dxa"/>
        <w:jc w:val="center"/>
        <w:tblInd w:w="0" w:type="dxa"/>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WHG</w:t>
            </w:r>
          </w:p>
        </w:tc>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before="0" w:after="0"/>
        <w:rPr/>
      </w:pPr>
      <w:r>
        <w:rPr/>
      </w:r>
    </w:p>
    <w:p>
      <w:pPr>
        <w:pStyle w:val="TextBody"/>
        <w:spacing w:lineRule="auto" w:line="312"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spacing w:lineRule="auto" w:line="312" w:before="180" w:after="283"/>
        <w:rPr/>
      </w:pPr>
      <w:r>
        <w:rPr>
          <w:rFonts w:ascii="Times New Roman;sans-serif" w:hAnsi="Times New Roman;sans-serif"/>
          <w:b w:val="false"/>
          <w:color w:val="000000"/>
          <w:sz w:val="18"/>
        </w:rPr>
        <w:t>Emerging growth company  </w:t>
      </w:r>
      <w:r>
        <w:rPr>
          <w:color w:val="000000"/>
        </w:rPr>
        <w:t>☐</w:t>
      </w:r>
    </w:p>
    <w:p>
      <w:pPr>
        <w:pStyle w:val="TextBody"/>
        <w:spacing w:lineRule="auto" w:line="312" w:before="180" w:after="283"/>
        <w:rPr/>
      </w:pPr>
      <w:r>
        <w:rPr>
          <w:rFonts w:ascii="Times New Roman;sans-serif" w:hAnsi="Times New Roman;sans-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ITEM 2.02:    RESULTS OF OPERATIONS AND FINANCIAL CONDITION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On April 26, 2023, Westwood Holdings Group, Inc. (“Westwood”) announced its financial results for the quarter ended March 31, 2023, a copy of which is furnished with this Current Report on Form 8-K as Exhibit 99.1.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spacing w:lineRule="auto" w:line="288" w:before="120" w:after="283"/>
        <w:rPr>
          <w:rFonts w:ascii="Times New Roman;sans-serif" w:hAnsi="Times New Roman;sans-serif"/>
          <w:b w:val="false"/>
          <w:color w:val="000000"/>
          <w:sz w:val="22"/>
        </w:rPr>
      </w:pPr>
      <w:r>
        <w:rPr>
          <w:rFonts w:ascii="Times New Roman;sans-serif" w:hAnsi="Times New Roman;sans-serif"/>
          <w:b w:val="false"/>
          <w:color w:val="000000"/>
          <w:sz w:val="22"/>
        </w:rPr>
        <w:t>ITEM 7.01:    REGULATION FD DISCLOSURE</w:t>
      </w:r>
    </w:p>
    <w:p>
      <w:pPr>
        <w:pStyle w:val="TextBody"/>
        <w:spacing w:lineRule="auto" w:line="288" w:before="120" w:after="283"/>
        <w:rPr>
          <w:rFonts w:ascii="Times New Roman;sans-serif" w:hAnsi="Times New Roman;sans-serif"/>
          <w:b w:val="false"/>
          <w:color w:val="000000"/>
          <w:sz w:val="22"/>
        </w:rPr>
      </w:pPr>
      <w:r>
        <w:rPr>
          <w:rFonts w:ascii="Times New Roman;sans-serif" w:hAnsi="Times New Roman;sans-serif"/>
          <w:b w:val="false"/>
          <w:color w:val="000000"/>
          <w:sz w:val="22"/>
        </w:rPr>
        <w:t>Westwood announced today that its Board of Directors has approved the payment of a quarterly cash dividend of $0.15 per common share, payable on July 3, 2023 to stockholders of record on June 2, 2023.</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ITEM 9.01:    FINANCIAL STATEMENTS AND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(d)    Exhibits: The following exhibit is furnished with this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Number                    Description</w:t>
      </w:r>
    </w:p>
    <w:p>
      <w:pPr>
        <w:pStyle w:val="TextBody"/>
        <w:spacing w:before="0" w:after="0"/>
        <w:rPr/>
      </w:pPr>
      <w:r>
        <w:rPr/>
      </w:r>
    </w:p>
    <w:p>
      <w:pPr>
        <w:pStyle w:val="TextBody"/>
        <w:spacing w:lineRule="auto" w:line="288" w:before="0" w:after="0"/>
        <w:ind w:left="0" w:right="0" w:hanging="1440"/>
        <w:rPr/>
      </w:pPr>
      <w:r>
        <w:rPr>
          <w:rFonts w:ascii="Times New Roman;sans-serif" w:hAnsi="Times New Roman;sans-serif"/>
          <w:b w:val="false"/>
          <w:color w:val="000000"/>
          <w:sz w:val="22"/>
        </w:rPr>
        <w:t>99.1    </w:t>
      </w:r>
      <w:hyperlink w:anchor="a1q23earningsrelease.htm">
        <w:r>
          <w:rPr>
            <w:rStyle w:val="InternetLink"/>
          </w:rPr>
          <w:t xml:space="preserve">Press Release Dated </w:t>
        </w:r>
      </w:hyperlink>
      <w:hyperlink w:anchor="a1q23earningsrelease.htm">
        <w:r>
          <w:rPr>
            <w:rStyle w:val="InternetLink"/>
          </w:rPr>
          <w:t>Ap</w:t>
        </w:r>
      </w:hyperlink>
      <w:hyperlink w:anchor="a1q23earningsrelease.htm">
        <w:r>
          <w:rPr>
            <w:rStyle w:val="InternetLink"/>
          </w:rPr>
          <w:t>ril</w:t>
        </w:r>
      </w:hyperlink>
      <w:hyperlink w:anchor="a1q23earningsrelease.htm">
        <w:r>
          <w:rPr>
            <w:rStyle w:val="InternetLink"/>
          </w:rPr>
          <w:t xml:space="preserve"> 26</w:t>
        </w:r>
      </w:hyperlink>
      <w:hyperlink w:anchor="a1q23earningsrelease.htm">
        <w:r>
          <w:rPr>
            <w:rStyle w:val="InternetLink"/>
          </w:rPr>
          <w:t>, 20</w:t>
        </w:r>
      </w:hyperlink>
      <w:hyperlink w:anchor="a1q23earningsrelease.htm">
        <w:r>
          <w:rPr>
            <w:rStyle w:val="InternetLink"/>
          </w:rPr>
          <w:t>23</w:t>
        </w:r>
      </w:hyperlink>
    </w:p>
    <w:p>
      <w:pPr>
        <w:pStyle w:val="TextBody"/>
        <w:spacing w:lineRule="auto" w:line="288"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104    Cover Page Interactive Date File (embedded within the Inline XBRL document)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Date: April 26, 2023</w:t>
      </w:r>
    </w:p>
    <w:p>
      <w:pPr>
        <w:pStyle w:val="TextBody"/>
        <w:spacing w:before="0" w:after="0"/>
        <w:rPr/>
      </w:pPr>
      <w:r>
        <w:rPr/>
      </w:r>
    </w:p>
    <w:p>
      <w:pPr>
        <w:pStyle w:val="TextBody"/>
        <w:spacing w:lineRule="auto" w:line="288" w:before="0" w:after="0"/>
        <w:rPr>
          <w:color w:val="000000"/>
        </w:rPr>
      </w:pPr>
      <w:r>
        <w:rPr>
          <w:color w:val="000000"/>
        </w:rPr>
        <w:t>            </w:t>
      </w:r>
    </w:p>
    <w:tbl>
      <w:tblPr>
        <w:tblW w:w="3840" w:type="dxa"/>
        <w:jc w:val="right"/>
        <w:tblInd w:w="0" w:type="dxa"/>
        <w:tblCellMar>
          <w:top w:w="28" w:type="dxa"/>
          <w:left w:w="28" w:type="dxa"/>
          <w:bottom w:w="28" w:type="dxa"/>
          <w:right w:w="28" w:type="dxa"/>
        </w:tblCellMar>
      </w:tblPr>
      <w:tblGrid>
        <w:gridCol w:w="151"/>
        <w:gridCol w:w="134"/>
        <w:gridCol w:w="135"/>
        <w:gridCol w:w="1001"/>
        <w:gridCol w:w="1001"/>
        <w:gridCol w:w="1418"/>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Murray Forbes III</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drawing>
          <wp:inline distT="0" distB="6350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Westwood Holdings Group, Inc. Reports First Quarter 2023 Results</w:t>
      </w:r>
    </w:p>
    <w:p>
      <w:pPr>
        <w:pStyle w:val="TextBody"/>
        <w:spacing w:lineRule="auto" w:line="288" w:before="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First Full Quarter Reflecting Acquisition of Salient Partners</w:t>
      </w:r>
    </w:p>
    <w:p>
      <w:pPr>
        <w:pStyle w:val="TextBody"/>
        <w:spacing w:lineRule="auto" w:line="288" w:before="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Integration of Salient's Products, Distribution and People on Track</w:t>
      </w:r>
    </w:p>
    <w:p>
      <w:pPr>
        <w:pStyle w:val="TextBody"/>
        <w:spacing w:lineRule="auto" w:line="288" w:before="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Strong Performance for most of Westwood's US Value Strategies</w:t>
      </w:r>
    </w:p>
    <w:p>
      <w:pPr>
        <w:pStyle w:val="TextBody"/>
        <w:spacing w:lineRule="auto" w:line="288" w:before="6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High Income Fund selected among the Best US Taxable Bond Mutual Funds in 2023</w:t>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lineRule="auto" w:line="288" w:before="60" w:after="220"/>
        <w:rPr>
          <w:rFonts w:ascii="Times New Roman;sans-serif" w:hAnsi="Times New Roman;sans-serif"/>
          <w:b w:val="false"/>
          <w:color w:val="000000"/>
          <w:sz w:val="24"/>
        </w:rPr>
      </w:pPr>
      <w:r>
        <w:rPr>
          <w:rFonts w:ascii="Times New Roman;sans-serif" w:hAnsi="Times New Roman;sans-serif"/>
          <w:b w:val="false"/>
          <w:color w:val="000000"/>
          <w:sz w:val="24"/>
        </w:rPr>
        <w:t>Dallas, TX, April 26, 2023 – Westwood Holdings Group, Inc. (NYSE: WHG) today reported first quarter 2023 earnings. Significant items for the quarter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4"/>
        </w:rPr>
        <w:t>Integration of Salient Partners is on track and acquisition of an additional 32% interest in Broadmark Asset Management was completed, bringing our equity stake to nearly 80%.</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4"/>
        </w:rPr>
        <w:t>Numerous strategies beat their primary benchmarks, including SMidCap Value, SmallCap Value, AllCap Value, MidCap Value, High Alpha and Alternative Income.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4"/>
        </w:rPr>
        <w:t>80% of our US Value Strategies outperformed their benchmarks and our High Income Fund was named as a Best US Taxable Bond Mutual Fund for 2023 by Investors Business Daily.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4"/>
        </w:rPr>
        <w:t>Quarterly peer rankings benefited from strong investment performance as High Alpha achieved a top eVestment ranking and MidCap Value posted a top quartile eVestment ranking.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4"/>
        </w:rPr>
        <w:t>Revenues totaled $22.7 million compared with the fourth quarter's $20.5 million and $17.2 million a year ago. Net income of $0.7 million, which included $0.2 million residual transaction costs for the Salient acquisition, compared with the fourth quarter's net loss of $3.1 million and net income of $0.1 million in 2022's first quarter.</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4"/>
        </w:rPr>
        <w:t>Non-GAAP Economic Earnings of $3.6 million compared with the fourth quarter's loss of $0.7 million and earnings of $1.9 million a year ago.</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4"/>
        </w:rPr>
        <w:t>As of March 31, 2023 Westwood held $32.3 million in cash and short-term investments as of March 31, 2023, down $6.9 million from year end. Stockholders' equity totaled $110.9 million and we have no debt.</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4"/>
        </w:rPr>
        <w:t>We declared a cash dividend of $0.15 per common share, payable on July 3, 2023 to stockholders of record on June 2, 2023.</w:t>
      </w:r>
    </w:p>
    <w:p>
      <w:pPr>
        <w:pStyle w:val="TextBody"/>
        <w:spacing w:lineRule="auto" w:line="288" w:before="120" w:after="283"/>
        <w:jc w:val="both"/>
        <w:rPr/>
      </w:pPr>
      <w:r>
        <w:rPr>
          <w:rFonts w:ascii="Times New Roman;sans-serif" w:hAnsi="Times New Roman;sans-serif"/>
          <w:b w:val="false"/>
          <w:color w:val="000000"/>
          <w:sz w:val="24"/>
        </w:rPr>
        <w:t>Brian Casey, Westwood’s President and CEO, commented, "We recently took time out to celebrate the 40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Anniversary of our founding while continuing to work hard to integrate the great products, people and complementary distribution capabilities brought to us by the acquisition of Salient Partners late last year. We upped our ownership stake in Broadmark Asset Management whose track record and client base in tactical absolute return strategies offer strong growth potential. Our investment teams generally did well in a market environment of continuing uncertainty, with our US Value team delivering particularly strong performance versus benchmarks and peers. One of our newest mutual funds, Quality AllCap, ranked in Morningstar’s 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for one year and Quality SmallCap edged that achievement with an 8</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ranking.</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88" w:before="120" w:after="283"/>
        <w:rPr>
          <w:rFonts w:ascii="Times New Roman;sans-serif" w:hAnsi="Times New Roman;sans-serif"/>
          <w:b w:val="false"/>
          <w:color w:val="000000"/>
          <w:sz w:val="24"/>
        </w:rPr>
      </w:pPr>
      <w:r>
        <w:rPr>
          <w:rFonts w:ascii="Times New Roman;sans-serif" w:hAnsi="Times New Roman;sans-serif"/>
          <w:b w:val="false"/>
          <w:color w:val="000000"/>
          <w:sz w:val="24"/>
        </w:rPr>
        <w:t>We are enthused by our level of engagement with financial advisors and consultants in the intermediary channel and several national advisor calls reached top-of-mind for literally thousands of advisors. Never shy when an opportunity presents itself, the chaos caused by the demise of Silicon Valley Bank and the knock-on effect that had on bank stocks led us to launch a Regional Bank strategy to take advantage of pricing dislocation for our high-net-worth customers."</w:t>
      </w:r>
    </w:p>
    <w:p>
      <w:pPr>
        <w:pStyle w:val="TextBody"/>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Revenues were higher than the fourth quarter and last year's first quarter reflecting higher average AUM following our 2022 acquisition of Salient Partners' asset management business.</w:t>
      </w:r>
    </w:p>
    <w:p>
      <w:pPr>
        <w:pStyle w:val="TextBody"/>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Firmwide assets under management and advisement totaled $16.2 billion at quarter end, consisting of assets under management ("AUM") of $15.0 billion and assets under advisement ("AUA") of $1.2 billion.</w:t>
      </w:r>
    </w:p>
    <w:p>
      <w:pPr>
        <w:pStyle w:val="TextBody"/>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First quarter net income of $0.7 million compared to the fourth quarter's net loss of $3.1 million due to higher revenues and lower expenses, primarily related to our 2022 acquisition of Salient Partners' asset management business. Diluted earnings (loss) per share ("EPS") of $0.09 compared with $(0.40) for the fourth quarter. Non-GAAP Economic Earnings of $3.6 million, or $0.45 per share, compared with a loss of $0.7 million, or $0.09 per share, in the fourth quarter.</w:t>
      </w:r>
    </w:p>
    <w:p>
      <w:pPr>
        <w:pStyle w:val="TextBody"/>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First quarter net income of $0.7 million compared to last year's first quarter net income of $0.1 million due to higher revenues partially offset by higher expenses, primarily employee compensation and benefits expenses following our 2022 acquisition of Salient Partners' asset management business. Diluted EPS was $0.09 compared with $0.01 per share for the first quarter of 2022. Non-GAAP Economic Earnings were $3.6 million, or $0.45 per share, compared with $1.9 million, or $0.24 per share, in the first quarter of 2022.</w:t>
      </w:r>
    </w:p>
    <w:p>
      <w:pPr>
        <w:pStyle w:val="TextBody"/>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Economic Earnings and Economic EPS are non-GAAP performance measures and are explained and reconciled with the most comparable GAAP numbers in the attached tables.</w:t>
      </w:r>
    </w:p>
    <w:p>
      <w:pPr>
        <w:pStyle w:val="TextBody"/>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Westwood will host a conference call to discuss first quarter 2023 results and other business matters at 4:30 p.m. Eastern time today. To join the conference call, please register here:</w:t>
      </w:r>
    </w:p>
    <w:p>
      <w:pPr>
        <w:pStyle w:val="TextBody"/>
        <w:spacing w:lineRule="auto" w:line="288" w:before="120" w:after="283"/>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https://register.vevent.com/register/BIa4560b1513b8473cbbd7f048e2f55c15</w:t>
      </w:r>
    </w:p>
    <w:p>
      <w:pPr>
        <w:pStyle w:val="TextBody"/>
        <w:spacing w:lineRule="auto" w:line="288" w:before="120" w:after="283"/>
        <w:rPr>
          <w:rFonts w:ascii="Times New Roman;sans-serif" w:hAnsi="Times New Roman;sans-serif"/>
          <w:b w:val="false"/>
          <w:color w:val="000000"/>
          <w:sz w:val="24"/>
        </w:rPr>
      </w:pPr>
      <w:r>
        <w:rPr>
          <w:rFonts w:ascii="Times New Roman;sans-serif" w:hAnsi="Times New Roman;sans-serif"/>
          <w:b w:val="false"/>
          <w:color w:val="000000"/>
          <w:sz w:val="24"/>
        </w:rPr>
        <w:t>After registering, you will be provided with a dial-in number containing a personalized PIN.</w:t>
      </w:r>
    </w:p>
    <w:p>
      <w:pPr>
        <w:pStyle w:val="TextBody"/>
        <w:spacing w:lineRule="auto" w:line="288" w:before="120" w:after="283"/>
        <w:rPr/>
      </w:pPr>
      <w:r>
        <w:rPr>
          <w:rFonts w:ascii="Times New Roman;sans-serif" w:hAnsi="Times New Roman;sans-serif"/>
          <w:b w:val="false"/>
          <w:color w:val="000000"/>
          <w:sz w:val="24"/>
        </w:rPr>
        <w:t xml:space="preserve">Webcast Link: </w:t>
      </w:r>
      <w:r>
        <w:rPr>
          <w:rFonts w:ascii="Times New Roman;sans-serif" w:hAnsi="Times New Roman;sans-serif"/>
          <w:b w:val="false"/>
          <w:color w:val="000000"/>
          <w:sz w:val="24"/>
          <w:u w:val="single"/>
        </w:rPr>
        <w:t>https://edge.media-server.com/mmc/p/z4oj43kg</w:t>
      </w:r>
    </w:p>
    <w:p>
      <w:pPr>
        <w:pStyle w:val="TextBody"/>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 xml:space="preserve">ABOUT WESTWOOD HOLDINGS GROUP </w:t>
      </w:r>
    </w:p>
    <w:p>
      <w:pPr>
        <w:pStyle w:val="TextBody"/>
        <w:spacing w:lineRule="auto" w:line="288" w:before="120" w:after="283"/>
        <w:jc w:val="both"/>
        <w:rPr/>
      </w:pPr>
      <w:r>
        <w:rPr>
          <w:rFonts w:ascii="Times New Roman;sans-serif" w:hAnsi="Times New Roman;sans-serif"/>
          <w:b w:val="false"/>
          <w:color w:val="000000"/>
          <w:sz w:val="24"/>
        </w:rPr>
        <w:t>Westwood Holdings Group, Inc. is an investment management boutique and wealth management firm. Westwood offers high-conviction equity and outcome-oriented solutions to institutional investors, private wealth clients and financial intermediaries. The firm specializes in the following distinct investment capabilities: U.S. Value Equity, Multi-Asset, Energy and Real Assets, Tactical Absolute Return, Income Alternatives and Systematic Equity. Strategies are made available through separate accounts, the Westwood Funds</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family of mutual funds and other pooled vehicles. Westwood benefits from significant, broad-based employee ownership and trades on the New York Stock Exchange under the symbol “WHG.” Based in Dallas, Westwood also maintains offices in Houston and San Francisco.</w:t>
      </w:r>
    </w:p>
    <w:p>
      <w:pPr>
        <w:pStyle w:val="TextBody"/>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more information on Westwood, please visit westwoodgroup.com.</w:t>
      </w:r>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amended. Actual results and the timing of some events could differ materially from those projected in or contemplated by the forward-looking statements due to a number of factors, including, without limitation: the composition and market value of our AUM;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2022 and its quarterly report on Form 10-Q for the quarter ended March 31, 2023.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SOURCE: Westwood Holdings Group, Inc.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(WHG-G)</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Westwood Holdings Group, Inc.</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Terry Forbes</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(214) 756-6900</w:t>
      </w:r>
      <w:r>
        <w:br w:type="page"/>
      </w:r>
    </w:p>
    <w:p>
      <w:pPr>
        <w:pStyle w:val="TextBody"/>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CONDENSED CONSOLIDATED STATEMENTS OF COMPREHENSIVE INCOME (LOSS)</w: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(unaudited)</w:t>
      </w:r>
    </w:p>
    <w:tbl>
      <w:tblPr>
        <w:tblW w:w="10192" w:type="dxa"/>
        <w:jc w:val="left"/>
        <w:tblInd w:w="0" w:type="dxa"/>
        <w:tblCellMar>
          <w:top w:w="28" w:type="dxa"/>
          <w:left w:w="28" w:type="dxa"/>
          <w:bottom w:w="28" w:type="dxa"/>
          <w:right w:w="28" w:type="dxa"/>
        </w:tblCellMar>
      </w:tblPr>
      <w:tblGrid>
        <w:gridCol w:w="1940"/>
        <w:gridCol w:w="1707"/>
        <w:gridCol w:w="1723"/>
        <w:gridCol w:w="266"/>
        <w:gridCol w:w="876"/>
        <w:gridCol w:w="147"/>
        <w:gridCol w:w="109"/>
        <w:gridCol w:w="109"/>
        <w:gridCol w:w="109"/>
        <w:gridCol w:w="318"/>
        <w:gridCol w:w="1050"/>
        <w:gridCol w:w="177"/>
        <w:gridCol w:w="109"/>
        <w:gridCol w:w="109"/>
        <w:gridCol w:w="109"/>
        <w:gridCol w:w="262"/>
        <w:gridCol w:w="866"/>
        <w:gridCol w:w="206"/>
      </w:tblGrid>
      <w:tr>
        <w:trPr/>
        <w:tc>
          <w:tcPr>
            <w:tcW w:w="1940"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fees:</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Asset-based</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17,033 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Performance-based</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fees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20,456 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Westwood mutual funds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technology</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expenses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24,264 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operating income (loss)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appreciation (depreciation) on private investments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 (loss)</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attributable to non-controlling interest</w:t>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attributable to Westwood Holdings Group, Inc.</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(loss) per Westwood Holdings Group, Inc. share:</w:t>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shares outstanding:</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7,853,921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7,775,545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7,865,174</w:t>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7,968,504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7,775,545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7,931,453</w:t>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Earnings (Loss)</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EPS</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share</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 except par value and share amounts)</w:t>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CellMar>
          <w:top w:w="28" w:type="dxa"/>
          <w:left w:w="28" w:type="dxa"/>
          <w:bottom w:w="28" w:type="dxa"/>
          <w:right w:w="28" w:type="dxa"/>
        </w:tblCellMar>
      </w:tblPr>
      <w:tblGrid>
        <w:gridCol w:w="2986"/>
        <w:gridCol w:w="2164"/>
        <w:gridCol w:w="2175"/>
        <w:gridCol w:w="215"/>
        <w:gridCol w:w="809"/>
        <w:gridCol w:w="119"/>
        <w:gridCol w:w="109"/>
        <w:gridCol w:w="109"/>
        <w:gridCol w:w="109"/>
        <w:gridCol w:w="235"/>
        <w:gridCol w:w="885"/>
        <w:gridCol w:w="130"/>
        <w:gridCol w:w="160"/>
      </w:tblGrid>
      <w:tr>
        <w:trPr/>
        <w:tc>
          <w:tcPr>
            <w:tcW w:w="2986" w:type="dxa"/>
            <w:tcBorders/>
            <w:shd w:fill="auto" w:val="clear"/>
            <w:vAlign w:val="center"/>
          </w:tcPr>
          <w:p>
            <w:pPr>
              <w:pStyle w:val="TableContents"/>
              <w:spacing w:before="0" w:after="283"/>
              <w:rPr>
                <w:sz w:val="4"/>
                <w:szCs w:val="4"/>
              </w:rPr>
            </w:pPr>
            <w:r>
              <w:rPr>
                <w:sz w:val="4"/>
                <w:szCs w:val="4"/>
              </w:rPr>
            </w:r>
          </w:p>
        </w:tc>
        <w:tc>
          <w:tcPr>
            <w:tcW w:w="2164"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at fair value</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income taxes</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investments at fair value</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$9,578 and $9,277</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assets</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88,235 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25,000,000 shares, issued 11,925,846 and outstanding 9,212,390 shares at March 31, 2023; issued 11,527,544 and outstanding 8,881,831 shares at December 31, 2022</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200,453 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199,914 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- 2,713,456 shares at March 31, 2023; 2,645,713 shares at December 31, 2022</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(85,128)</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(accumulated deficit)</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Westwood Holdings Group, Inc. stockholders’ equity</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110,855 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 in consolidated subsidiary</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141,799 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146,427 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9083" w:type="dxa"/>
        <w:jc w:val="center"/>
        <w:tblInd w:w="0" w:type="dxa"/>
        <w:tblCellMar>
          <w:top w:w="28" w:type="dxa"/>
          <w:left w:w="28" w:type="dxa"/>
          <w:bottom w:w="28" w:type="dxa"/>
          <w:right w:w="28" w:type="dxa"/>
        </w:tblCellMar>
      </w:tblPr>
      <w:tblGrid>
        <w:gridCol w:w="2339"/>
        <w:gridCol w:w="2057"/>
        <w:gridCol w:w="2068"/>
        <w:gridCol w:w="226"/>
        <w:gridCol w:w="745"/>
        <w:gridCol w:w="125"/>
        <w:gridCol w:w="125"/>
        <w:gridCol w:w="125"/>
        <w:gridCol w:w="125"/>
        <w:gridCol w:w="226"/>
        <w:gridCol w:w="745"/>
        <w:gridCol w:w="177"/>
      </w:tblGrid>
      <w:tr>
        <w:trPr/>
        <w:tc>
          <w:tcPr>
            <w:tcW w:w="2339"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(used in) provided by operating activities:</w:t>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depreciation on investments</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asset disposition</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change of contingent consideration</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 of trading securities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(7,221)</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net of cash acquired</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treasury stock</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AND CASH EQUIVALENTS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bl>
    <w:p>
      <w:pPr>
        <w:pStyle w:val="TextBody"/>
        <w:jc w:val="center"/>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Reconciliation of Net Income (Loss) to Economic Earnings (Loss)</w:t>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supplemental information, we are providing non-GAAP performance measures that we refer to as Economic Earnings (Loss) and Economic EPS. We provide these measures in addition to, not as a substitute for, net income (loss)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spacing w:lineRule="auto" w:line="288" w:before="120" w:after="283"/>
        <w:rPr>
          <w:rFonts w:ascii="Times New Roman;sans-serif" w:hAnsi="Times New Roman;sans-serif"/>
          <w:b w:val="false"/>
          <w:color w:val="000000"/>
          <w:sz w:val="22"/>
        </w:rPr>
      </w:pPr>
      <w:r>
        <w:rPr>
          <w:rFonts w:ascii="Times New Roman;sans-serif" w:hAnsi="Times New Roman;sans-serif"/>
          <w:b w:val="false"/>
          <w:color w:val="000000"/>
          <w:sz w:val="22"/>
        </w:rPr>
        <w:t>We define Economic Earnings (Loss) as net income (loss) plus non-cash equity-based compensation expense, amortization of intangible assets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In addition, we do not adjust Economic Earnings (Loss) for tax deductions related to restricted stock expense or amortization of intangible assets. Economic EPS represents Economic Earnings divided by diluted weighted average shares outstanding.</w:t>
      </w:r>
    </w:p>
    <w:p>
      <w:pPr>
        <w:pStyle w:val="TextBody"/>
        <w:spacing w:before="120" w:after="283"/>
        <w:rPr/>
      </w:pPr>
      <w:r>
        <w:rPr/>
      </w:r>
    </w:p>
    <w:tbl>
      <w:tblPr>
        <w:tblW w:w="7717" w:type="dxa"/>
        <w:jc w:val="center"/>
        <w:tblInd w:w="0" w:type="dxa"/>
        <w:tblCellMar>
          <w:top w:w="28" w:type="dxa"/>
          <w:left w:w="28" w:type="dxa"/>
          <w:bottom w:w="28" w:type="dxa"/>
          <w:right w:w="28" w:type="dxa"/>
        </w:tblCellMar>
      </w:tblPr>
      <w:tblGrid>
        <w:gridCol w:w="1046"/>
        <w:gridCol w:w="920"/>
        <w:gridCol w:w="928"/>
        <w:gridCol w:w="293"/>
        <w:gridCol w:w="833"/>
        <w:gridCol w:w="163"/>
        <w:gridCol w:w="109"/>
        <w:gridCol w:w="109"/>
        <w:gridCol w:w="109"/>
        <w:gridCol w:w="323"/>
        <w:gridCol w:w="1042"/>
        <w:gridCol w:w="180"/>
        <w:gridCol w:w="109"/>
        <w:gridCol w:w="109"/>
        <w:gridCol w:w="109"/>
        <w:gridCol w:w="289"/>
        <w:gridCol w:w="819"/>
        <w:gridCol w:w="227"/>
      </w:tblGrid>
      <w:tr>
        <w:trPr/>
        <w:tc>
          <w:tcPr>
            <w:tcW w:w="1046"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from goodwill amortization</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Economic Earnings (Loss)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share</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from goodwill amortization</w:t>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Economic EPS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shares</w:t>
            </w:r>
          </w:p>
        </w:tc>
        <w:tc>
          <w:tcPr>
            <w:tcW w:w="1289"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7,968,504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7,775,545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7,931,453</w:t>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662" w:type="dxa"/>
            <w:gridSpan w:val="6"/>
            <w:tcBorders/>
            <w:shd w:fill="auto" w:val="clea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120" w:after="283"/>
        <w:jc w:val="both"/>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3094</Words>
  <CharactersWithSpaces>20725</CharactersWithSpaces>
  <Paragraphs>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