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Date of Report (Date of earliest event reported): July 27, 2022</w:t>
      </w:r>
    </w:p>
    <w:p>
      <w:pPr>
        <w:spacing w:after="0" w:line="2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pacing w:after="0" w:line="218"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WESTWOOD HOLDINGS GROUP, INC.</w:t>
      </w:r>
    </w:p>
    <w:p>
      <w:pPr>
        <w:spacing w:after="0" w:line="4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w:t>
      </w:r>
    </w:p>
    <w:p>
      <w:pPr>
        <w:sectPr>
          <w:pgSz w:w="11900" w:h="16838" w:orient="portrait"/>
          <w:cols w:equalWidth="0" w:num="1">
            <w:col w:w="11040"/>
          </w:cols>
          <w:pgMar w:left="320" w:top="1051" w:right="539" w:bottom="1440" w:gutter="0" w:footer="0" w:header="0"/>
        </w:sectPr>
      </w:pPr>
    </w:p>
    <w:p>
      <w:pPr>
        <w:spacing w:after="0" w:line="27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001-31234</w:t>
      </w:r>
    </w:p>
    <w:p>
      <w:pPr>
        <w:spacing w:after="0" w:line="2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75-2969997</w:t>
      </w:r>
    </w:p>
    <w:p>
      <w:pPr>
        <w:spacing w:after="0" w:line="27"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880" w:space="720"/>
            <w:col w:w="2820" w:space="720"/>
            <w:col w:w="2900"/>
          </w:cols>
          <w:pgMar w:left="320" w:top="1051" w:right="5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34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200 Crescent Court, Suite 1200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(214) 756-6900</w:t>
      </w:r>
    </w:p>
    <w:p>
      <w:pPr>
        <w:spacing w:after="0" w:line="27"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040"/>
          </w:cols>
          <w:pgMar w:left="320" w:top="1051" w:right="539" w:bottom="1440" w:gutter="0" w:footer="0" w:header="0"/>
          <w:type w:val="continuous"/>
        </w:sectPr>
      </w:pPr>
    </w:p>
    <w:p>
      <w:pPr>
        <w:spacing w:after="0" w:line="259" w:lineRule="exact"/>
        <w:rPr>
          <w:sz w:val="24"/>
          <w:szCs w:val="24"/>
          <w:color w:val="auto"/>
        </w:rPr>
      </w:pPr>
    </w:p>
    <w:p>
      <w:pPr>
        <w:ind w:right="300" w:firstLine="180"/>
        <w:spacing w:after="0" w:line="29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03"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4"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64"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8"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2" w:lineRule="exact"/>
        <w:rPr>
          <w:sz w:val="24"/>
          <w:szCs w:val="24"/>
          <w:color w:val="auto"/>
        </w:rPr>
      </w:pPr>
    </w:p>
    <w:tbl>
      <w:tblPr>
        <w:tblLayout w:type="fixed"/>
        <w:tblInd w:w="560" w:type="dxa"/>
        <w:tblCellMar>
          <w:top w:w="0" w:type="dxa"/>
          <w:left w:w="0" w:type="dxa"/>
          <w:bottom w:w="0" w:type="dxa"/>
          <w:right w:w="0" w:type="dxa"/>
        </w:tblCellMar>
      </w:tblPr>
      <w:tr>
        <w:trPr>
          <w:trHeight w:val="210"/>
        </w:trPr>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80" w:type="dxa"/>
            <w:vAlign w:val="bottom"/>
            <w:gridSpan w:val="5"/>
          </w:tcPr>
          <w:p>
            <w:pPr>
              <w:jc w:val="center"/>
              <w:ind w:right="315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09"/>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33" w:lineRule="exact"/>
        <w:rPr>
          <w:sz w:val="24"/>
          <w:szCs w:val="24"/>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8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6" w:lineRule="exact"/>
        <w:rPr>
          <w:sz w:val="24"/>
          <w:szCs w:val="24"/>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51" w:right="5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2.02:</w:t>
      </w:r>
      <w:r>
        <w:rPr>
          <w:sz w:val="20"/>
          <w:szCs w:val="20"/>
          <w:color w:val="auto"/>
        </w:rPr>
        <w:tab/>
      </w:r>
      <w:r>
        <w:rPr>
          <w:rFonts w:ascii="Times New Roman" w:cs="Times New Roman" w:eastAsia="Times New Roman" w:hAnsi="Times New Roman"/>
          <w:sz w:val="19"/>
          <w:szCs w:val="19"/>
          <w:color w:val="auto"/>
        </w:rPr>
        <w:t>RESULTS OF OPERATIONS AND FINANCIAL CONDITION</w:t>
      </w:r>
    </w:p>
    <w:p>
      <w:pPr>
        <w:spacing w:after="0" w:line="25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On July 27, 2022, Westwood Holdings Group, Inc. (“Westwood”) announced its financial results for the quarter ended June 30, 2022, a copy of which is furnished with this Current Report on Form 8-K as Exhibit 99.1.</w:t>
      </w:r>
    </w:p>
    <w:p>
      <w:pPr>
        <w:spacing w:after="0" w:line="20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6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7.01:</w:t>
      </w:r>
      <w:r>
        <w:rPr>
          <w:sz w:val="20"/>
          <w:szCs w:val="20"/>
          <w:color w:val="auto"/>
        </w:rPr>
        <w:tab/>
      </w:r>
      <w:r>
        <w:rPr>
          <w:rFonts w:ascii="Times New Roman" w:cs="Times New Roman" w:eastAsia="Times New Roman" w:hAnsi="Times New Roman"/>
          <w:sz w:val="19"/>
          <w:szCs w:val="19"/>
          <w:color w:val="auto"/>
        </w:rPr>
        <w:t>REGULATION FD DISCLOSURE</w:t>
      </w:r>
    </w:p>
    <w:p>
      <w:pPr>
        <w:spacing w:after="0" w:line="121"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Westwood announced today that its Board of Directors has approved the payment of a quarterly cash dividend of $0.15 per common share, payable on October 1, 2022 to stockholders of record on September 2, 2022.</w:t>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0"/>
          <w:szCs w:val="20"/>
          <w:color w:val="auto"/>
        </w:rPr>
        <w:t>ITEM 9.01:</w:t>
      </w:r>
      <w:r>
        <w:rPr>
          <w:sz w:val="20"/>
          <w:szCs w:val="20"/>
          <w:color w:val="auto"/>
        </w:rPr>
        <w:tab/>
      </w:r>
      <w:r>
        <w:rPr>
          <w:rFonts w:ascii="Times New Roman" w:cs="Times New Roman" w:eastAsia="Times New Roman" w:hAnsi="Times New Roman"/>
          <w:sz w:val="19"/>
          <w:szCs w:val="19"/>
          <w:color w:val="auto"/>
        </w:rPr>
        <w:t>FINANCIAL STATEMENTS AND EXHIBITS</w:t>
      </w:r>
    </w:p>
    <w:p>
      <w:pPr>
        <w:spacing w:after="0" w:line="25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 The following exhibit is furnished with this report:</w:t>
      </w:r>
    </w:p>
    <w:p>
      <w:pPr>
        <w:spacing w:after="0" w:line="243" w:lineRule="exact"/>
        <w:rPr>
          <w:sz w:val="20"/>
          <w:szCs w:val="20"/>
          <w:color w:val="auto"/>
        </w:rPr>
      </w:pPr>
    </w:p>
    <w:p>
      <w:pPr>
        <w:spacing w:after="0"/>
        <w:tabs>
          <w:tab w:leader="none" w:pos="2260" w:val="left"/>
        </w:tabs>
        <w:rPr>
          <w:sz w:val="20"/>
          <w:szCs w:val="20"/>
          <w:color w:val="auto"/>
        </w:rPr>
      </w:pPr>
      <w:r>
        <w:rPr>
          <w:rFonts w:ascii="Times New Roman" w:cs="Times New Roman" w:eastAsia="Times New Roman" w:hAnsi="Times New Roman"/>
          <w:sz w:val="20"/>
          <w:szCs w:val="20"/>
          <w:color w:val="auto"/>
        </w:rPr>
        <w:t>Exhibit Number</w:t>
      </w:r>
      <w:r>
        <w:rPr>
          <w:sz w:val="20"/>
          <w:szCs w:val="20"/>
          <w:color w:val="auto"/>
        </w:rPr>
        <w:tab/>
      </w:r>
      <w:r>
        <w:rPr>
          <w:rFonts w:ascii="Times New Roman" w:cs="Times New Roman" w:eastAsia="Times New Roman" w:hAnsi="Times New Roman"/>
          <w:sz w:val="19"/>
          <w:szCs w:val="19"/>
          <w:color w:val="auto"/>
        </w:rPr>
        <w:t>Description</w:t>
      </w:r>
    </w:p>
    <w:p>
      <w:pPr>
        <w:spacing w:after="0" w:line="25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99.1</w:t>
      </w:r>
      <w:r>
        <w:rPr>
          <w:sz w:val="20"/>
          <w:szCs w:val="20"/>
          <w:color w:val="auto"/>
        </w:rPr>
        <w:tab/>
      </w:r>
      <w:r>
        <w:rPr>
          <w:rFonts w:ascii="Times New Roman" w:cs="Times New Roman" w:eastAsia="Times New Roman" w:hAnsi="Times New Roman"/>
          <w:sz w:val="19"/>
          <w:szCs w:val="19"/>
          <w:u w:val="single" w:color="auto"/>
          <w:color w:val="0000FF"/>
        </w:rPr>
        <w:t>Press Release Dated July 27, 2022</w:t>
      </w:r>
    </w:p>
    <w:p>
      <w:pPr>
        <w:spacing w:after="0" w:line="2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1478915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July 27, 2022</w:t>
      </w:r>
    </w:p>
    <w:p>
      <w:pPr>
        <w:spacing w:after="0" w:line="200" w:lineRule="exact"/>
        <w:rPr>
          <w:sz w:val="20"/>
          <w:szCs w:val="20"/>
          <w:color w:val="auto"/>
        </w:rPr>
      </w:pPr>
    </w:p>
    <w:p>
      <w:pPr>
        <w:spacing w:after="0" w:line="33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WESTWOOD HOLDINGS GROUP, INC.</w:t>
      </w:r>
    </w:p>
    <w:p>
      <w:pPr>
        <w:spacing w:after="0" w:line="200" w:lineRule="exact"/>
        <w:rPr>
          <w:sz w:val="20"/>
          <w:szCs w:val="20"/>
          <w:color w:val="auto"/>
        </w:rPr>
      </w:pPr>
    </w:p>
    <w:p>
      <w:pPr>
        <w:spacing w:after="0" w:line="36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Murray Forbes III</w:t>
      </w:r>
    </w:p>
    <w:p>
      <w:pPr>
        <w:spacing w:after="0" w:line="2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220"/>
          </w:cols>
          <w:pgMar w:left="320" w:top="886"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732155</wp:posOffset>
            </wp:positionV>
            <wp:extent cx="2271395" cy="7200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27139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Westwood Holdings Group, Inc. Reports Second Quarter 2022 Results</w:t>
      </w:r>
    </w:p>
    <w:p>
      <w:pPr>
        <w:spacing w:after="0" w:line="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Strategic Acquisition of Salient Partners' Asset Management Business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Strong Performance Delivered Across Multiple Products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Many Peer Rankings Benefited from Benchmark-Beating Performances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Dallas, TX, July 27, 2022 – Westwood Holdings Group, Inc. (NYSE: WHG) today reported second quarter 2022 earnings.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Significant items for the quarter include:</w:t>
      </w:r>
    </w:p>
    <w:p>
      <w:pPr>
        <w:spacing w:after="0" w:line="182" w:lineRule="exact"/>
        <w:rPr>
          <w:sz w:val="20"/>
          <w:szCs w:val="20"/>
          <w:color w:val="auto"/>
        </w:rPr>
      </w:pPr>
    </w:p>
    <w:p>
      <w:pPr>
        <w:ind w:left="660" w:right="140" w:hanging="328"/>
        <w:spacing w:after="0" w:line="271" w:lineRule="auto"/>
        <w:tabs>
          <w:tab w:leader="none" w:pos="656"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 announced the strategic acquisition of Salient Partners' ("Salient") asset management business, subject to satisfaction of certain revenue retention and growth targets.</w:t>
      </w:r>
    </w:p>
    <w:p>
      <w:pPr>
        <w:spacing w:after="0" w:line="49" w:lineRule="exact"/>
        <w:rPr>
          <w:rFonts w:ascii="Times New Roman" w:cs="Times New Roman" w:eastAsia="Times New Roman" w:hAnsi="Times New Roman"/>
          <w:sz w:val="22"/>
          <w:szCs w:val="22"/>
          <w:b w:val="1"/>
          <w:bCs w:val="1"/>
          <w:color w:val="auto"/>
        </w:rPr>
      </w:pPr>
    </w:p>
    <w:p>
      <w:pPr>
        <w:ind w:left="660" w:right="16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Revenues totaled $15.6 million vs. the first quarter's $17.2 million and $17.5 million a year ago reflecting the substantial downturn suffered by worldwide markets during the first half of 2022.</w:t>
      </w:r>
    </w:p>
    <w:p>
      <w:pPr>
        <w:spacing w:after="0" w:line="63" w:lineRule="exact"/>
        <w:rPr>
          <w:rFonts w:ascii="Times New Roman" w:cs="Times New Roman" w:eastAsia="Times New Roman" w:hAnsi="Times New Roman"/>
          <w:sz w:val="22"/>
          <w:szCs w:val="22"/>
          <w:color w:val="auto"/>
        </w:rPr>
      </w:pPr>
    </w:p>
    <w:p>
      <w:pPr>
        <w:ind w:left="660" w:right="320" w:hanging="328"/>
        <w:spacing w:after="0" w:line="257"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Numerous strategies beat their primary benchmarks, including LargeCap Value, SmidCap, SmallCap Value, AllCap Value, MidCap Value, Platinum, Select Equity, Dividend Select, SmallCap Growth, Balanced, Enhanced Balanced and Credit Opportunities.</w:t>
      </w:r>
    </w:p>
    <w:p>
      <w:pPr>
        <w:spacing w:after="0" w:line="64" w:lineRule="exact"/>
        <w:rPr>
          <w:rFonts w:ascii="Times New Roman" w:cs="Times New Roman" w:eastAsia="Times New Roman" w:hAnsi="Times New Roman"/>
          <w:sz w:val="22"/>
          <w:szCs w:val="22"/>
          <w:color w:val="auto"/>
        </w:rPr>
      </w:pPr>
    </w:p>
    <w:p>
      <w:pPr>
        <w:jc w:val="both"/>
        <w:ind w:left="660" w:hanging="328"/>
        <w:spacing w:after="0" w:line="281" w:lineRule="auto"/>
        <w:tabs>
          <w:tab w:leader="none" w:pos="656"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Our quarterly peer rankings also reflected our strong performance, as our Alternative Income mutual fund achieved a top percentile ranking, SmallCap Growth obtained a top 10th percentile ranking, Credit Opportunities, SmallCap Value and Select Equity posted top 20th percentile rankings, and AllCap Value and MidCap Value both scored top third rankings.</w:t>
      </w:r>
    </w:p>
    <w:p>
      <w:pPr>
        <w:spacing w:after="0" w:line="42" w:lineRule="exact"/>
        <w:rPr>
          <w:rFonts w:ascii="Times New Roman" w:cs="Times New Roman" w:eastAsia="Times New Roman" w:hAnsi="Times New Roman"/>
          <w:sz w:val="21"/>
          <w:szCs w:val="21"/>
          <w:color w:val="auto"/>
        </w:rPr>
      </w:pPr>
    </w:p>
    <w:p>
      <w:pPr>
        <w:ind w:left="660" w:right="14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reported a net loss of $0.4 million vs. net income of $0.1 million in the first quarter and net income of $1.0 million in last year's second quarter.</w:t>
      </w:r>
    </w:p>
    <w:p>
      <w:pPr>
        <w:spacing w:after="0" w:line="4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Non-GAAP Economic Earnings of $1.6 million compared with the first quarter's $1.9 million and $2.8 million a year ago.</w:t>
      </w:r>
    </w:p>
    <w:p>
      <w:pPr>
        <w:spacing w:after="0" w:line="123" w:lineRule="exact"/>
        <w:rPr>
          <w:rFonts w:ascii="Times New Roman" w:cs="Times New Roman" w:eastAsia="Times New Roman" w:hAnsi="Times New Roman"/>
          <w:sz w:val="21"/>
          <w:szCs w:val="21"/>
          <w:color w:val="auto"/>
        </w:rPr>
      </w:pPr>
    </w:p>
    <w:p>
      <w:pPr>
        <w:ind w:left="660" w:right="220" w:hanging="328"/>
        <w:spacing w:after="0" w:line="284"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Westwood held $73.6 million in cash and short-term investments as of June 30, 2022, consistent with the first quarter of 2022.</w:t>
      </w:r>
    </w:p>
    <w:p>
      <w:pPr>
        <w:spacing w:after="0" w:line="3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Stockholders' equity totaled $115.7 million as of June 30, 2022 and we continue to have no debt.</w:t>
      </w:r>
    </w:p>
    <w:p>
      <w:pPr>
        <w:spacing w:after="0" w:line="111" w:lineRule="exact"/>
        <w:rPr>
          <w:rFonts w:ascii="Times New Roman" w:cs="Times New Roman" w:eastAsia="Times New Roman" w:hAnsi="Times New Roman"/>
          <w:sz w:val="22"/>
          <w:szCs w:val="22"/>
          <w:color w:val="auto"/>
        </w:rPr>
      </w:pPr>
    </w:p>
    <w:p>
      <w:pPr>
        <w:ind w:left="660" w:right="720" w:hanging="328"/>
        <w:spacing w:after="0" w:line="271" w:lineRule="auto"/>
        <w:tabs>
          <w:tab w:leader="none" w:pos="656"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 declared a cash dividend of $0.15 per common share, payable on October 1, 2022 to stockholders of record on September 2, 2022.</w:t>
      </w:r>
    </w:p>
    <w:p>
      <w:pPr>
        <w:spacing w:after="0" w:line="50"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21"/>
          <w:szCs w:val="21"/>
          <w:color w:val="auto"/>
        </w:rPr>
        <w:t>Brian Casey, Westwood’s President and CEO, commented, "The severe market downturn inflicted on investors in the second quarter negatively impacted our assets under management, revenues and earnings. Despite these near-term challenges, we are pleased to report outperformance across our entire US Value franchise and a first percentile ranking for our Alternative Income strategy led strong competitive performances achieved by other Westwood strategies. Our SmallCap growth product was nearly 600 basis points ahead of its benchmark for the quarter and was over 1000 basis points ahead of its benchmark year to date.</w:t>
      </w:r>
    </w:p>
    <w:p>
      <w:pPr>
        <w:spacing w:after="0" w:line="56"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22"/>
          <w:szCs w:val="22"/>
          <w:color w:val="auto"/>
        </w:rPr>
        <w:t>We announced the acquisition of Salient Partners’ asset management business in May and we are working hard in a cooperative effort towards closing this highly accretive acquisition before year end. It has been reassuring to see the Salient assets under management hold up better than the broader market due to its</w:t>
      </w:r>
    </w:p>
    <w:p>
      <w:pPr>
        <w:sectPr>
          <w:pgSz w:w="11900" w:h="16838" w:orient="portrait"/>
          <w:cols w:equalWidth="0" w:num="1">
            <w:col w:w="11240"/>
          </w:cols>
          <w:pgMar w:left="320" w:top="1440" w:right="339" w:bottom="1440" w:gutter="0" w:footer="0" w:header="0"/>
        </w:sectPr>
      </w:pPr>
    </w:p>
    <w:bookmarkStart w:id="4" w:name="page5"/>
    <w:bookmarkEnd w:id="4"/>
    <w:p>
      <w:pPr>
        <w:ind w:right="360"/>
        <w:spacing w:after="0" w:line="271" w:lineRule="auto"/>
        <w:rPr>
          <w:sz w:val="20"/>
          <w:szCs w:val="20"/>
          <w:color w:val="auto"/>
        </w:rPr>
      </w:pPr>
      <w:r>
        <w:rPr>
          <w:rFonts w:ascii="Times New Roman" w:cs="Times New Roman" w:eastAsia="Times New Roman" w:hAnsi="Times New Roman"/>
          <w:sz w:val="22"/>
          <w:szCs w:val="22"/>
          <w:color w:val="auto"/>
        </w:rPr>
        <w:t>product set of energy, real estate and hedged equity strategies. We look forward to integrating the Salient team into Westwood and building on their success going forward together."</w:t>
      </w:r>
    </w:p>
    <w:p>
      <w:pPr>
        <w:spacing w:after="0" w:line="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Revenues were lower than the first quarter and last year's second quarter reflecting lower average assets under management ("AUM") mainly attributable to the downdraft affecting markets worldwide.</w:t>
      </w:r>
    </w:p>
    <w:p>
      <w:pPr>
        <w:spacing w:after="0" w:line="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AUM of $12.1 billion decreased from $13.9 billion at March 31, 2022, primarily due to market depreciation across most asset classes and geographies.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second quarter net loss of $0.4 million compared to the first quarter's net income of $0.1 million due to lower revenues partially offset by lower expenses, primarily employee compensation and benefits. Diluted earnings (loss) per share ("EPS") of $(0.05) compared with $0.01 for the first quarter. Non-GAAP Economic Earnings of $1.6 million, or $0.20 per share, compared with $1.9 million, or $0.24 per share, in the first quarter.</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second quarter net loss of $0.4 million declined from last year's second quarter net income of $1.0 million primarily on lower revenues, partially offset by lower expenses, primarily employee compensation and benefits. Diluted EPS was $(0.05) compared with $0.12 per share for the second quarter of 2021. Non-GAAP Economic Earnings were $1.6 million, or $0.20 per share, compared with $2.8 million, or $0.35 per share, in the second quarter of 2021.</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Economic Earnings and Economic EPS are non-GAAP performance measures and are explained and reconciled with the most comparable GAAP numbers in the attached tables.</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Westwood will host a conference call to discuss second quarter 2022 results and other business matters at 4:30 p.m. Eastern time today. To join the conference call, please register here: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https://register.vevent.com/register/BIb477f4780a5b4f05bd2c176b54b63365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After registering, you will be provided with a dial-in number containing a personalized PIN.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Webcast Link: </w:t>
      </w:r>
      <w:r>
        <w:rPr>
          <w:rFonts w:ascii="Times New Roman" w:cs="Times New Roman" w:eastAsia="Times New Roman" w:hAnsi="Times New Roman"/>
          <w:sz w:val="22"/>
          <w:szCs w:val="22"/>
          <w:u w:val="single" w:color="auto"/>
          <w:color w:val="auto"/>
        </w:rPr>
        <w:t>https://edge.media-server.com/mmc/p/2324o3fj</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WESTWOOD HOLDINGS GROUP</w:t>
      </w:r>
    </w:p>
    <w:p>
      <w:pPr>
        <w:spacing w:after="0" w:line="11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Westwood Holdings Group, Inc. is an investment management boutique and wealth management firm. Westwood offers high-conviction equity and outcome-oriented solutions to institutional investors, private wealth clients and financial intermediaries. The firm specializes in the following distinct investment capabilities: U.S. Value Equity, Multi-Asset, and Liquid Alternatives, available through separate accounts, the Westwood Funds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family of mutual funds and other pooled vehicles. Westwood benefits from significant, broad-based employee ownership and trades on the New York Stock Exchange under the symbol “WHG.” Based in Dallas, Westwood also maintains offices in Houston.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on Westwood, please visit westwoodgroup.com.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w:t>
      </w:r>
    </w:p>
    <w:p>
      <w:pPr>
        <w:spacing w:after="0"/>
        <w:rPr>
          <w:sz w:val="20"/>
          <w:szCs w:val="20"/>
          <w:color w:val="auto"/>
        </w:rPr>
      </w:pPr>
      <w:r>
        <w:rPr>
          <w:rFonts w:ascii="Times New Roman" w:cs="Times New Roman" w:eastAsia="Times New Roman" w:hAnsi="Times New Roman"/>
          <w:sz w:val="22"/>
          <w:szCs w:val="22"/>
          <w:color w:val="auto"/>
        </w:rPr>
        <w:t>forward-looking statements due to a number of factors, including, without limitation:</w:t>
      </w:r>
    </w:p>
    <w:p>
      <w:pPr>
        <w:spacing w:after="0" w:line="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the composition and market value of our AUM; our ability to maintain our fee structure in light of competitive fee pressures; our stockholder rights agreement may make it more difficult for others to obtain</w:t>
      </w:r>
    </w:p>
    <w:p>
      <w:pPr>
        <w:sectPr>
          <w:pgSz w:w="11900" w:h="16838" w:orient="portrait"/>
          <w:cols w:equalWidth="0" w:num="1">
            <w:col w:w="11240"/>
          </w:cols>
          <w:pgMar w:left="320" w:top="1003" w:right="339" w:bottom="1440" w:gutter="0" w:footer="0" w:header="0"/>
        </w:sectPr>
      </w:pPr>
    </w:p>
    <w:bookmarkStart w:id="5" w:name="page6"/>
    <w:bookmarkEnd w:id="5"/>
    <w:p>
      <w:pPr>
        <w:jc w:val="both"/>
        <w:spacing w:after="0" w:line="242" w:lineRule="auto"/>
        <w:rPr>
          <w:sz w:val="20"/>
          <w:szCs w:val="20"/>
          <w:color w:val="auto"/>
        </w:rPr>
      </w:pPr>
      <w:r>
        <w:rPr>
          <w:rFonts w:ascii="Times New Roman" w:cs="Times New Roman" w:eastAsia="Times New Roman" w:hAnsi="Times New Roman"/>
          <w:sz w:val="21"/>
          <w:szCs w:val="21"/>
          <w:color w:val="auto"/>
        </w:rPr>
        <w:t>control over us, even if it would be beneficial to our stockholders;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and information in the possession of our employees and third-party vendors, which could damage our reputation and result in costly litigation and liability for our clients and us; our stock is thinly traded and may be subject to volatility; in addition to our stockholder rights agreement, our organizational documents contain provisions that may prevent or deter another group from paying a premium over the market price to our stockholders to acquire our stock; competition in the investment management industry; our ability to avoid termination of client agreements and the related investment redemptions; the significant concentration of our revenues in a small number of customers; our relationships with investment consulting firms; the impact of the COVID-19 pandemic;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2021 and its quarterly reports on Form 10-Q for the quarters ended March 31, 2022 and June 30, 2022.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Westwood Holdings Group, Inc.</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(WHG-G)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Terry Forbes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(214) 756-6900</w:t>
      </w:r>
    </w:p>
    <w:p>
      <w:pPr>
        <w:sectPr>
          <w:pgSz w:w="11900" w:h="16838" w:orient="portrait"/>
          <w:cols w:equalWidth="0" w:num="1">
            <w:col w:w="11240"/>
          </w:cols>
          <w:pgMar w:left="320" w:top="88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 (LOSS)</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per share and share amounts)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211"/>
        </w:trPr>
        <w:tc>
          <w:tcPr>
            <w:tcW w:w="5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260" w:type="dxa"/>
            <w:vAlign w:val="bottom"/>
          </w:tcPr>
          <w:p>
            <w:pPr>
              <w:spacing w:after="0"/>
              <w:rPr>
                <w:sz w:val="18"/>
                <w:szCs w:val="18"/>
                <w:color w:val="auto"/>
              </w:rPr>
            </w:pPr>
          </w:p>
        </w:tc>
        <w:tc>
          <w:tcPr>
            <w:tcW w:w="1540" w:type="dxa"/>
            <w:vAlign w:val="bottom"/>
          </w:tcPr>
          <w:p>
            <w:pPr>
              <w:jc w:val="right"/>
              <w:ind w:right="348"/>
              <w:spacing w:after="0"/>
              <w:rPr>
                <w:sz w:val="20"/>
                <w:szCs w:val="20"/>
                <w:color w:val="auto"/>
              </w:rPr>
            </w:pPr>
            <w:r>
              <w:rPr>
                <w:rFonts w:ascii="Times New Roman" w:cs="Times New Roman" w:eastAsia="Times New Roman" w:hAnsi="Times New Roman"/>
                <w:sz w:val="16"/>
                <w:szCs w:val="16"/>
                <w:b w:val="1"/>
                <w:bCs w:val="1"/>
                <w:color w:val="auto"/>
              </w:rPr>
              <w:t>June 30, 2021</w:t>
            </w:r>
          </w:p>
        </w:tc>
      </w:tr>
      <w:tr>
        <w:trPr>
          <w:trHeight w:val="184"/>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Advisory fees:</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0"/>
        </w:trPr>
        <w:tc>
          <w:tcPr>
            <w:tcW w:w="5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Asset-based</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11,385</w:t>
            </w: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Trust fees</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189"/>
        </w:trPr>
        <w:tc>
          <w:tcPr>
            <w:tcW w:w="564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17,484</w:t>
            </w: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10,237</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Sales and marketing</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Westwood mutual funds</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Information technology</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w:t>
            </w: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Professional services</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r>
      <w:tr>
        <w:trPr>
          <w:trHeight w:val="190"/>
        </w:trPr>
        <w:tc>
          <w:tcPr>
            <w:tcW w:w="5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16,001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16,801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16,706</w:t>
            </w: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income (loss)</w:t>
            </w: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r>
      <w:tr>
        <w:trPr>
          <w:trHeight w:val="189"/>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Realized gains on private investments</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change in unrealized appreciation (depreciation) on private investments</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investment income</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income</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r>
      <w:tr>
        <w:trPr>
          <w:trHeight w:val="18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1,416</w:t>
            </w:r>
          </w:p>
        </w:tc>
      </w:tr>
      <w:tr>
        <w:trPr>
          <w:trHeight w:val="203"/>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provision</w:t>
            </w: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w:t>
            </w:r>
          </w:p>
        </w:tc>
      </w:tr>
      <w:tr>
        <w:trPr>
          <w:trHeight w:val="169"/>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970</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15"/>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5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(loss) per share:</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r>
      <w:tr>
        <w:trPr>
          <w:trHeight w:val="95"/>
        </w:trPr>
        <w:tc>
          <w:tcPr>
            <w:tcW w:w="5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195"/>
        </w:trPr>
        <w:tc>
          <w:tcPr>
            <w:tcW w:w="56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7,944,212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7,865,174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7,884,771</w:t>
            </w:r>
          </w:p>
        </w:tc>
      </w:tr>
      <w:tr>
        <w:trPr>
          <w:trHeight w:val="210"/>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7,944,212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7,931,453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7,928,106</w:t>
            </w:r>
          </w:p>
        </w:tc>
      </w:tr>
      <w:tr>
        <w:trPr>
          <w:trHeight w:val="95"/>
        </w:trPr>
        <w:tc>
          <w:tcPr>
            <w:tcW w:w="5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40" w:type="dxa"/>
            <w:vAlign w:val="bottom"/>
          </w:tcPr>
          <w:p>
            <w:pPr>
              <w:spacing w:after="0"/>
              <w:rPr>
                <w:sz w:val="8"/>
                <w:szCs w:val="8"/>
                <w:color w:val="auto"/>
              </w:rPr>
            </w:pPr>
          </w:p>
        </w:tc>
      </w:tr>
      <w:tr>
        <w:trPr>
          <w:trHeight w:val="20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Earnings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2,810</w:t>
            </w:r>
          </w:p>
        </w:tc>
      </w:tr>
      <w:tr>
        <w:trPr>
          <w:trHeight w:val="195"/>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Economic EPS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r>
      <w:tr>
        <w:trPr>
          <w:trHeight w:val="102"/>
        </w:trPr>
        <w:tc>
          <w:tcPr>
            <w:tcW w:w="56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r>
      <w:tr>
        <w:trPr>
          <w:trHeight w:val="188"/>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per share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r>
    </w:tbl>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WESTWOOD HOLDINGS GROUP, INC. AND SUBSIDIARIES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COMPREHENSIVE INCOME (LOSS)</w:t>
      </w:r>
    </w:p>
    <w:p>
      <w:pPr>
        <w:spacing w:after="0"/>
        <w:rPr>
          <w:sz w:val="20"/>
          <w:szCs w:val="20"/>
          <w:color w:val="auto"/>
        </w:rPr>
      </w:pPr>
      <w:r>
        <w:rPr>
          <w:rFonts w:ascii="Times New Roman" w:cs="Times New Roman" w:eastAsia="Times New Roman" w:hAnsi="Times New Roman"/>
          <w:sz w:val="20"/>
          <w:szCs w:val="20"/>
          <w:b w:val="1"/>
          <w:bCs w:val="1"/>
          <w:color w:val="auto"/>
        </w:rPr>
        <w:t>(in thousands, except per share and share amounts)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7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Pr>
          <w:p>
            <w:pPr>
              <w:spacing w:after="0"/>
              <w:rPr>
                <w:sz w:val="18"/>
                <w:szCs w:val="18"/>
                <w:color w:val="auto"/>
              </w:rPr>
            </w:pPr>
          </w:p>
        </w:tc>
        <w:tc>
          <w:tcPr>
            <w:tcW w:w="1560" w:type="dxa"/>
            <w:vAlign w:val="bottom"/>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184"/>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8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Advisory fees:</w:t>
            </w: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Asset-based</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21,835</w:t>
            </w:r>
          </w:p>
        </w:tc>
        <w:tc>
          <w:tcPr>
            <w:tcW w:w="0" w:type="dxa"/>
            <w:vAlign w:val="bottom"/>
          </w:tcPr>
          <w:p>
            <w:pPr>
              <w:spacing w:after="0"/>
              <w:rPr>
                <w:sz w:val="1"/>
                <w:szCs w:val="1"/>
                <w:color w:val="auto"/>
              </w:rPr>
            </w:pPr>
          </w:p>
        </w:tc>
      </w:tr>
      <w:tr>
        <w:trPr>
          <w:trHeight w:val="195"/>
        </w:trPr>
        <w:tc>
          <w:tcPr>
            <w:tcW w:w="74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Performance-based</w:t>
            </w:r>
          </w:p>
        </w:tc>
        <w:tc>
          <w:tcPr>
            <w:tcW w:w="280" w:type="dxa"/>
            <w:vAlign w:val="bottom"/>
          </w:tcPr>
          <w:p>
            <w:pPr>
              <w:spacing w:after="0"/>
              <w:rPr>
                <w:sz w:val="16"/>
                <w:szCs w:val="16"/>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Trust fees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12,281</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35,803</w:t>
            </w:r>
          </w:p>
        </w:tc>
        <w:tc>
          <w:tcPr>
            <w:tcW w:w="0" w:type="dxa"/>
            <w:vAlign w:val="bottom"/>
          </w:tcPr>
          <w:p>
            <w:pPr>
              <w:spacing w:after="0"/>
              <w:rPr>
                <w:sz w:val="1"/>
                <w:szCs w:val="1"/>
                <w:color w:val="auto"/>
              </w:rPr>
            </w:pPr>
          </w:p>
        </w:tc>
      </w:tr>
      <w:tr>
        <w:trPr>
          <w:trHeight w:val="19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Employee compensation and benefits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21,785</w:t>
            </w:r>
          </w:p>
        </w:tc>
        <w:tc>
          <w:tcPr>
            <w:tcW w:w="0" w:type="dxa"/>
            <w:vAlign w:val="bottom"/>
          </w:tcPr>
          <w:p>
            <w:pPr>
              <w:spacing w:after="0"/>
              <w:rPr>
                <w:sz w:val="1"/>
                <w:szCs w:val="1"/>
                <w:color w:val="auto"/>
              </w:rPr>
            </w:pP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Westwood mutual funds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0" w:type="dxa"/>
            <w:vAlign w:val="bottom"/>
          </w:tcPr>
          <w:p>
            <w:pPr>
              <w:spacing w:after="0"/>
              <w:rPr>
                <w:sz w:val="1"/>
                <w:szCs w:val="1"/>
                <w:color w:val="auto"/>
              </w:rPr>
            </w:pP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Information technology</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Professional services</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4,114</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34,256</w:t>
            </w:r>
          </w:p>
        </w:tc>
        <w:tc>
          <w:tcPr>
            <w:tcW w:w="0" w:type="dxa"/>
            <w:vAlign w:val="bottom"/>
          </w:tcPr>
          <w:p>
            <w:pPr>
              <w:spacing w:after="0"/>
              <w:rPr>
                <w:sz w:val="1"/>
                <w:szCs w:val="1"/>
                <w:color w:val="auto"/>
              </w:rPr>
            </w:pPr>
          </w:p>
        </w:tc>
      </w:tr>
      <w:tr>
        <w:trPr>
          <w:trHeight w:val="19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income (loss)</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Realized gains on private investments</w:t>
            </w: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8,371</w:t>
            </w:r>
          </w:p>
        </w:tc>
        <w:tc>
          <w:tcPr>
            <w:tcW w:w="0" w:type="dxa"/>
            <w:vAlign w:val="bottom"/>
          </w:tcPr>
          <w:p>
            <w:pPr>
              <w:spacing w:after="0"/>
              <w:rPr>
                <w:sz w:val="1"/>
                <w:szCs w:val="1"/>
                <w:color w:val="auto"/>
              </w:rPr>
            </w:pP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change in unrealized appreciation (depreciation) on private investments</w:t>
            </w:r>
          </w:p>
        </w:tc>
        <w:tc>
          <w:tcPr>
            <w:tcW w:w="2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investment income</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2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8,430</w:t>
            </w:r>
          </w:p>
        </w:tc>
        <w:tc>
          <w:tcPr>
            <w:tcW w:w="0" w:type="dxa"/>
            <w:vAlign w:val="bottom"/>
          </w:tcPr>
          <w:p>
            <w:pPr>
              <w:spacing w:after="0"/>
              <w:rPr>
                <w:sz w:val="1"/>
                <w:szCs w:val="1"/>
                <w:color w:val="auto"/>
              </w:rPr>
            </w:pPr>
          </w:p>
        </w:tc>
      </w:tr>
      <w:tr>
        <w:trPr>
          <w:trHeight w:val="190"/>
        </w:trPr>
        <w:tc>
          <w:tcPr>
            <w:tcW w:w="7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3,359</w:t>
            </w:r>
          </w:p>
        </w:tc>
        <w:tc>
          <w:tcPr>
            <w:tcW w:w="0" w:type="dxa"/>
            <w:vAlign w:val="bottom"/>
          </w:tcPr>
          <w:p>
            <w:pPr>
              <w:spacing w:after="0"/>
              <w:rPr>
                <w:sz w:val="1"/>
                <w:szCs w:val="1"/>
                <w:color w:val="auto"/>
              </w:rPr>
            </w:pPr>
          </w:p>
        </w:tc>
      </w:tr>
      <w:tr>
        <w:trPr>
          <w:trHeight w:val="20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480" w:type="dxa"/>
            <w:vAlign w:val="bottom"/>
            <w:vMerge w:val="continue"/>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0" w:type="dxa"/>
            <w:vAlign w:val="bottom"/>
          </w:tcPr>
          <w:p>
            <w:pPr>
              <w:spacing w:after="0"/>
              <w:rPr>
                <w:sz w:val="1"/>
                <w:szCs w:val="1"/>
                <w:color w:val="auto"/>
              </w:rPr>
            </w:pP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(loss) per share:</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r>
        <w:trPr>
          <w:trHeight w:val="102"/>
        </w:trPr>
        <w:tc>
          <w:tcPr>
            <w:tcW w:w="74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w w:val="99"/>
              </w:rPr>
              <w:t>7,904,911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7,885,901</w:t>
            </w:r>
          </w:p>
        </w:tc>
        <w:tc>
          <w:tcPr>
            <w:tcW w:w="0" w:type="dxa"/>
            <w:vAlign w:val="bottom"/>
          </w:tcPr>
          <w:p>
            <w:pPr>
              <w:spacing w:after="0"/>
              <w:rPr>
                <w:sz w:val="1"/>
                <w:szCs w:val="1"/>
                <w:color w:val="auto"/>
              </w:rPr>
            </w:pPr>
          </w:p>
        </w:tc>
      </w:tr>
      <w:tr>
        <w:trPr>
          <w:trHeight w:val="195"/>
        </w:trPr>
        <w:tc>
          <w:tcPr>
            <w:tcW w:w="7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280" w:type="dxa"/>
            <w:vAlign w:val="bottom"/>
          </w:tcPr>
          <w:p>
            <w:pPr>
              <w:spacing w:after="0"/>
              <w:rPr>
                <w:sz w:val="16"/>
                <w:szCs w:val="16"/>
                <w:color w:val="auto"/>
              </w:rPr>
            </w:pPr>
          </w:p>
        </w:tc>
        <w:tc>
          <w:tcPr>
            <w:tcW w:w="1540" w:type="dxa"/>
            <w:vAlign w:val="bottom"/>
          </w:tcPr>
          <w:p>
            <w:pPr>
              <w:ind w:left="960"/>
              <w:spacing w:after="0"/>
              <w:rPr>
                <w:sz w:val="20"/>
                <w:szCs w:val="20"/>
                <w:color w:val="auto"/>
              </w:rPr>
            </w:pPr>
            <w:r>
              <w:rPr>
                <w:rFonts w:ascii="Times New Roman" w:cs="Times New Roman" w:eastAsia="Times New Roman" w:hAnsi="Times New Roman"/>
                <w:sz w:val="14"/>
                <w:szCs w:val="14"/>
                <w:color w:val="auto"/>
                <w:w w:val="99"/>
              </w:rPr>
              <w:t>7,904,911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7,922,742</w:t>
            </w:r>
          </w:p>
        </w:tc>
        <w:tc>
          <w:tcPr>
            <w:tcW w:w="0" w:type="dxa"/>
            <w:vAlign w:val="bottom"/>
          </w:tcPr>
          <w:p>
            <w:pPr>
              <w:spacing w:after="0"/>
              <w:rPr>
                <w:sz w:val="1"/>
                <w:szCs w:val="1"/>
                <w:color w:val="auto"/>
              </w:rPr>
            </w:pPr>
          </w:p>
        </w:tc>
      </w:tr>
      <w:tr>
        <w:trPr>
          <w:trHeight w:val="102"/>
        </w:trPr>
        <w:tc>
          <w:tcPr>
            <w:tcW w:w="74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Economic Earnings</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120" w:type="dxa"/>
            <w:vAlign w:val="bottom"/>
          </w:tcPr>
          <w:p>
            <w:pPr>
              <w:spacing w:after="0"/>
              <w:rPr>
                <w:sz w:val="16"/>
                <w:szCs w:val="16"/>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9,098</w:t>
            </w: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Economic EPS</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95"/>
        </w:trPr>
        <w:tc>
          <w:tcPr>
            <w:tcW w:w="7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per share</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34" w:right="339" w:bottom="1440" w:gutter="0" w:footer="0" w:header="0"/>
        </w:sectPr>
      </w:pPr>
    </w:p>
    <w:bookmarkStart w:id="8" w:name="page9"/>
    <w:bookmarkEnd w:id="8"/>
    <w:p>
      <w:pPr>
        <w:ind w:right="5200"/>
        <w:spacing w:after="0" w:line="263" w:lineRule="auto"/>
        <w:rPr>
          <w:sz w:val="20"/>
          <w:szCs w:val="20"/>
          <w:color w:val="auto"/>
        </w:rPr>
      </w:pPr>
      <w:r>
        <w:rPr>
          <w:rFonts w:ascii="Times New Roman" w:cs="Times New Roman" w:eastAsia="Times New Roman" w:hAnsi="Times New Roman"/>
          <w:sz w:val="21"/>
          <w:szCs w:val="21"/>
          <w:b w:val="1"/>
          <w:bCs w:val="1"/>
          <w:color w:val="auto"/>
        </w:rPr>
        <w:t>WESTWOOD HOLDINGS GROUP, INC. AND SUBSIDIARIES CONDENSED CONSOLIDATED BALANCE SHEETS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except par value and share amounts)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0" w:type="dxa"/>
            <w:vAlign w:val="bottom"/>
          </w:tcPr>
          <w:p>
            <w:pPr>
              <w:spacing w:after="0"/>
              <w:rPr>
                <w:sz w:val="18"/>
                <w:szCs w:val="18"/>
                <w:color w:val="auto"/>
              </w:rPr>
            </w:pP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212"/>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15,206</w:t>
            </w:r>
          </w:p>
        </w:tc>
      </w:tr>
      <w:tr>
        <w:trPr>
          <w:trHeight w:val="229"/>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65,024</w:t>
            </w:r>
          </w:p>
        </w:tc>
      </w:tr>
      <w:tr>
        <w:trPr>
          <w:trHeight w:val="229"/>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income taxes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23"/>
        </w:trPr>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93,861</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investments at fair value</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16,401</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11,911</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$8,976 and $8,637</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r>
      <w:tr>
        <w:trPr>
          <w:trHeight w:val="229"/>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3"/>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long-term assets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45,744</w:t>
            </w:r>
          </w:p>
        </w:tc>
      </w:tr>
      <w:tr>
        <w:trPr>
          <w:trHeight w:val="223"/>
        </w:trPr>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139,605</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7"/>
        </w:trPr>
        <w:tc>
          <w:tcPr>
            <w:tcW w:w="7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payable</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30"/>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and benefits payable</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r>
      <w:tr>
        <w:trPr>
          <w:trHeight w:val="230"/>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29"/>
        </w:trPr>
        <w:tc>
          <w:tcPr>
            <w:tcW w:w="7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3"/>
        </w:trPr>
        <w:tc>
          <w:tcPr>
            <w:tcW w:w="7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15,842</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dividends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w:t>
            </w:r>
          </w:p>
        </w:tc>
      </w:tr>
      <w:tr>
        <w:trPr>
          <w:trHeight w:val="223"/>
        </w:trPr>
        <w:tc>
          <w:tcPr>
            <w:tcW w:w="7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r>
      <w:tr>
        <w:trPr>
          <w:trHeight w:val="223"/>
        </w:trPr>
        <w:tc>
          <w:tcPr>
            <w:tcW w:w="7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21,699</w:t>
            </w:r>
          </w:p>
        </w:tc>
      </w:tr>
      <w:tr>
        <w:trPr>
          <w:trHeight w:val="21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175"/>
        </w:trPr>
        <w:tc>
          <w:tcPr>
            <w:tcW w:w="74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$0.01 par value, authorized 25,000,000 shares, issued 11,059,848 and outstanding</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6"/>
        </w:trPr>
        <w:tc>
          <w:tcPr>
            <w:tcW w:w="74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8,511,014 shares at June 30, 2022; issued 10,658,644 and outstanding 8,253,491 shares at</w:t>
            </w:r>
          </w:p>
        </w:tc>
        <w:tc>
          <w:tcPr>
            <w:tcW w:w="3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3"/>
        </w:trPr>
        <w:tc>
          <w:tcPr>
            <w:tcW w:w="7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31, 2021</w:t>
            </w: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195,187</w:t>
            </w:r>
          </w:p>
        </w:tc>
      </w:tr>
      <w:tr>
        <w:trPr>
          <w:trHeight w:val="230"/>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- 2,548,834 shares at June 30, 2022; 2,405,154 shares at December 31, 2021</w:t>
            </w: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(81,750)</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4,362</w:t>
            </w:r>
          </w:p>
        </w:tc>
      </w:tr>
      <w:tr>
        <w:trPr>
          <w:trHeight w:val="223"/>
        </w:trPr>
        <w:tc>
          <w:tcPr>
            <w:tcW w:w="7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117,906</w:t>
            </w:r>
          </w:p>
        </w:tc>
      </w:tr>
      <w:tr>
        <w:trPr>
          <w:trHeight w:val="248"/>
        </w:trPr>
        <w:tc>
          <w:tcPr>
            <w:tcW w:w="74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34" w:right="339" w:bottom="1440" w:gutter="0" w:footer="0" w:header="0"/>
        </w:sectPr>
      </w:pPr>
    </w:p>
    <w:bookmarkStart w:id="9" w:name="page10"/>
    <w:bookmarkEnd w:id="9"/>
    <w:p>
      <w:pPr>
        <w:ind w:right="4740"/>
        <w:spacing w:after="0" w:line="242" w:lineRule="auto"/>
        <w:rPr>
          <w:sz w:val="20"/>
          <w:szCs w:val="20"/>
          <w:color w:val="auto"/>
        </w:rPr>
      </w:pPr>
      <w:r>
        <w:rPr>
          <w:rFonts w:ascii="Times New Roman" w:cs="Times New Roman" w:eastAsia="Times New Roman" w:hAnsi="Times New Roman"/>
          <w:sz w:val="22"/>
          <w:szCs w:val="22"/>
          <w:b w:val="1"/>
          <w:bCs w:val="1"/>
          <w:color w:val="auto"/>
        </w:rPr>
        <w:t xml:space="preserve">WESTWOOD HOLDINGS GROUP, INC. AND SUBSIDIARIES CONDENSED CONSOLIDATED STATEMENTS OF CASH FLOWS </w:t>
      </w:r>
      <w:r>
        <w:rPr>
          <w:rFonts w:ascii="Times New Roman" w:cs="Times New Roman" w:eastAsia="Times New Roman" w:hAnsi="Times New Roman"/>
          <w:sz w:val="19"/>
          <w:szCs w:val="19"/>
          <w:b w:val="1"/>
          <w:bCs w:val="1"/>
          <w:color w:val="auto"/>
        </w:rPr>
        <w:t>(in thousands)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68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0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change in unrealized depreciation on investments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Realized gains on private investments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Non-cash lease expense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Gain on asset disposition</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(purchases) sales of trading securities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(5,642)</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current assets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Compensation and benefits payable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0" w:type="dxa"/>
            <w:vAlign w:val="bottom"/>
          </w:tcPr>
          <w:p>
            <w:pPr>
              <w:spacing w:after="0"/>
              <w:rPr>
                <w:sz w:val="1"/>
                <w:szCs w:val="1"/>
                <w:color w:val="auto"/>
              </w:rPr>
            </w:pPr>
          </w:p>
        </w:tc>
      </w:tr>
      <w:tr>
        <w:trPr>
          <w:trHeight w:val="213"/>
        </w:trPr>
        <w:tc>
          <w:tcPr>
            <w:tcW w:w="8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Income taxes payable</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12,141</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0" w:type="dxa"/>
            <w:vAlign w:val="bottom"/>
          </w:tcPr>
          <w:p>
            <w:pPr>
              <w:spacing w:after="0"/>
              <w:rPr>
                <w:sz w:val="1"/>
                <w:szCs w:val="1"/>
                <w:color w:val="auto"/>
              </w:rPr>
            </w:pPr>
          </w:p>
        </w:tc>
      </w:tr>
      <w:tr>
        <w:trPr>
          <w:trHeight w:val="19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 of investments</w:t>
            </w:r>
          </w:p>
        </w:tc>
        <w:tc>
          <w:tcPr>
            <w:tcW w:w="10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9,258</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Sale of property and equipment</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Purchases of investments</w:t>
            </w: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100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9,651</w:t>
            </w:r>
          </w:p>
        </w:tc>
        <w:tc>
          <w:tcPr>
            <w:tcW w:w="0" w:type="dxa"/>
            <w:vAlign w:val="bottom"/>
          </w:tcPr>
          <w:p>
            <w:pPr>
              <w:spacing w:after="0"/>
              <w:rPr>
                <w:sz w:val="1"/>
                <w:szCs w:val="1"/>
                <w:color w:val="auto"/>
              </w:rPr>
            </w:pPr>
          </w:p>
        </w:tc>
      </w:tr>
      <w:tr>
        <w:trPr>
          <w:trHeight w:val="19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stock returned for payment of taxes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0" w:type="dxa"/>
            <w:vAlign w:val="bottom"/>
          </w:tcPr>
          <w:p>
            <w:pPr>
              <w:spacing w:after="0"/>
              <w:rPr>
                <w:sz w:val="1"/>
                <w:szCs w:val="1"/>
                <w:color w:val="auto"/>
              </w:rPr>
            </w:pPr>
          </w:p>
        </w:tc>
      </w:tr>
      <w:tr>
        <w:trPr>
          <w:trHeight w:val="213"/>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Cash dividends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(5,294)</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(4,203)</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Effect of currency rate changes on cash</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2"/>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6,769</w:t>
            </w:r>
          </w:p>
        </w:tc>
        <w:tc>
          <w:tcPr>
            <w:tcW w:w="1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0" w:type="dxa"/>
            <w:vAlign w:val="bottom"/>
          </w:tcPr>
          <w:p>
            <w:pPr>
              <w:spacing w:after="0"/>
              <w:rPr>
                <w:sz w:val="1"/>
                <w:szCs w:val="1"/>
                <w:color w:val="auto"/>
              </w:rPr>
            </w:pPr>
          </w:p>
        </w:tc>
      </w:tr>
      <w:tr>
        <w:trPr>
          <w:trHeight w:val="207"/>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15,206</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13,016</w:t>
            </w:r>
          </w:p>
        </w:tc>
        <w:tc>
          <w:tcPr>
            <w:tcW w:w="0" w:type="dxa"/>
            <w:vAlign w:val="bottom"/>
          </w:tcPr>
          <w:p>
            <w:pPr>
              <w:spacing w:after="0"/>
              <w:rPr>
                <w:sz w:val="1"/>
                <w:szCs w:val="1"/>
                <w:color w:val="auto"/>
              </w:rPr>
            </w:pPr>
          </w:p>
        </w:tc>
      </w:tr>
      <w:tr>
        <w:trPr>
          <w:trHeight w:val="235"/>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0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0" w:type="dxa"/>
            <w:vAlign w:val="bottom"/>
          </w:tcPr>
          <w:p>
            <w:pPr>
              <w:spacing w:after="0"/>
              <w:rPr>
                <w:sz w:val="1"/>
                <w:szCs w:val="1"/>
                <w:color w:val="auto"/>
              </w:rPr>
            </w:pPr>
          </w:p>
        </w:tc>
      </w:tr>
      <w:tr>
        <w:trPr>
          <w:trHeight w:val="213"/>
        </w:trPr>
        <w:tc>
          <w:tcPr>
            <w:tcW w:w="8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dividends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2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purchases of treasury stock</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10" w:name="page11"/>
    <w:bookmarkEnd w:id="10"/>
    <w:p>
      <w:pPr>
        <w:ind w:right="5200"/>
        <w:spacing w:after="0" w:line="263" w:lineRule="auto"/>
        <w:rPr>
          <w:sz w:val="20"/>
          <w:szCs w:val="20"/>
          <w:color w:val="auto"/>
        </w:rPr>
      </w:pPr>
      <w:r>
        <w:rPr>
          <w:rFonts w:ascii="Times New Roman" w:cs="Times New Roman" w:eastAsia="Times New Roman" w:hAnsi="Times New Roman"/>
          <w:sz w:val="21"/>
          <w:szCs w:val="21"/>
          <w:b w:val="1"/>
          <w:bCs w:val="1"/>
          <w:color w:val="auto"/>
        </w:rPr>
        <w:t>WESTWOOD HOLDINGS GROUP, INC. AND SUBSIDIARIES Reconciliation of Net Income (Loss) to Economic Earnings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except per share and share amounts)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As supplemental information, we are providing non-GAAP performance measures that we refer to as Economic Earnings and Economic EPS. We provide these measures in addition to, not as a substitute for, net income (loss) and earnings (loss)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We define Economic Earnings as net income (loss)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20" w:type="dxa"/>
            <w:vAlign w:val="bottom"/>
          </w:tcPr>
          <w:p>
            <w:pPr>
              <w:spacing w:after="0"/>
              <w:rPr>
                <w:sz w:val="18"/>
                <w:szCs w:val="18"/>
                <w:color w:val="auto"/>
              </w:rPr>
            </w:pP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340" w:type="dxa"/>
            <w:vAlign w:val="bottom"/>
          </w:tcPr>
          <w:p>
            <w:pPr>
              <w:spacing w:after="0"/>
              <w:rPr>
                <w:sz w:val="18"/>
                <w:szCs w:val="18"/>
                <w:color w:val="auto"/>
              </w:rPr>
            </w:pPr>
          </w:p>
        </w:tc>
        <w:tc>
          <w:tcPr>
            <w:tcW w:w="17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211"/>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Earnings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EPS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7,944,212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7,931,453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7,928,106</w:t>
            </w:r>
          </w:p>
        </w:tc>
        <w:tc>
          <w:tcPr>
            <w:tcW w:w="0" w:type="dxa"/>
            <w:vAlign w:val="bottom"/>
          </w:tcPr>
          <w:p>
            <w:pPr>
              <w:spacing w:after="0"/>
              <w:rPr>
                <w:sz w:val="1"/>
                <w:szCs w:val="1"/>
                <w:color w:val="auto"/>
              </w:rPr>
            </w:pPr>
          </w:p>
        </w:tc>
      </w:tr>
      <w:tr>
        <w:trPr>
          <w:trHeight w:val="435"/>
        </w:trPr>
        <w:tc>
          <w:tcPr>
            <w:tcW w:w="4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4"/>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1"/>
        </w:trPr>
        <w:tc>
          <w:tcPr>
            <w:tcW w:w="4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40" w:type="dxa"/>
            <w:vAlign w:val="bottom"/>
          </w:tcPr>
          <w:p>
            <w:pPr>
              <w:spacing w:after="0"/>
              <w:rPr>
                <w:sz w:val="18"/>
                <w:szCs w:val="18"/>
                <w:color w:val="auto"/>
              </w:rPr>
            </w:pPr>
          </w:p>
        </w:tc>
        <w:tc>
          <w:tcPr>
            <w:tcW w:w="17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June 30, 2021</w:t>
            </w:r>
          </w:p>
        </w:tc>
        <w:tc>
          <w:tcPr>
            <w:tcW w:w="0" w:type="dxa"/>
            <w:vAlign w:val="bottom"/>
          </w:tcPr>
          <w:p>
            <w:pPr>
              <w:spacing w:after="0"/>
              <w:rPr>
                <w:sz w:val="1"/>
                <w:szCs w:val="1"/>
                <w:color w:val="auto"/>
              </w:rPr>
            </w:pPr>
          </w:p>
        </w:tc>
      </w:tr>
      <w:tr>
        <w:trPr>
          <w:trHeight w:val="211"/>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0" w:type="dxa"/>
            <w:vAlign w:val="bottom"/>
          </w:tcPr>
          <w:p>
            <w:pPr>
              <w:spacing w:after="0"/>
              <w:rPr>
                <w:sz w:val="1"/>
                <w:szCs w:val="1"/>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3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Earnings</w:t>
            </w:r>
          </w:p>
        </w:tc>
        <w:tc>
          <w:tcPr>
            <w:tcW w:w="3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(loss) per share</w:t>
            </w: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0" w:type="dxa"/>
            <w:vAlign w:val="bottom"/>
          </w:tcPr>
          <w:p>
            <w:pPr>
              <w:spacing w:after="0"/>
              <w:rPr>
                <w:sz w:val="1"/>
                <w:szCs w:val="1"/>
                <w:color w:val="auto"/>
              </w:rPr>
            </w:pPr>
          </w:p>
        </w:tc>
      </w:tr>
      <w:tr>
        <w:trPr>
          <w:trHeight w:val="213"/>
        </w:trPr>
        <w:tc>
          <w:tcPr>
            <w:tcW w:w="49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0" w:type="dxa"/>
            <w:vAlign w:val="bottom"/>
          </w:tcPr>
          <w:p>
            <w:pPr>
              <w:spacing w:after="0"/>
              <w:rPr>
                <w:sz w:val="1"/>
                <w:szCs w:val="1"/>
                <w:color w:val="auto"/>
              </w:rPr>
            </w:pPr>
          </w:p>
        </w:tc>
      </w:tr>
      <w:tr>
        <w:trPr>
          <w:trHeight w:val="219"/>
        </w:trPr>
        <w:tc>
          <w:tcPr>
            <w:tcW w:w="4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amortization</w:t>
            </w:r>
          </w:p>
        </w:tc>
        <w:tc>
          <w:tcPr>
            <w:tcW w:w="3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13"/>
        </w:trPr>
        <w:tc>
          <w:tcPr>
            <w:tcW w:w="49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 benefit from goodwill amortization</w:t>
            </w:r>
          </w:p>
        </w:tc>
        <w:tc>
          <w:tcPr>
            <w:tcW w:w="32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Economic EPS</w:t>
            </w:r>
          </w:p>
        </w:tc>
        <w:tc>
          <w:tcPr>
            <w:tcW w:w="3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weighted average shares</w:t>
            </w:r>
          </w:p>
        </w:tc>
        <w:tc>
          <w:tcPr>
            <w:tcW w:w="3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7,904,911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7,922,742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2022-07-27T16:16:27Z</dcterms:created>
  <dcterms:modified xsi:type="dcterms:W3CDTF">2022-07-27T16:16:27Z</dcterms:modified>
</cp:coreProperties>
</file>