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April 28, 2021</w:t>
      </w:r>
    </w:p>
    <w:p>
      <w:pPr>
        <w:spacing w:after="0" w:line="23" w:lineRule="exact"/>
        <w:rPr>
          <w:sz w:val="24"/>
          <w:szCs w:val="24"/>
          <w:color w:val="auto"/>
        </w:rPr>
      </w:pPr>
    </w:p>
    <w:p>
      <w:pPr>
        <w:ind w:left="1040"/>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______________________________________________________________________________________________________</w:t>
      </w: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WESTWOOD HOLDINGS GROUP,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pacing w:after="0" w:line="7" w:lineRule="exact"/>
        <w:rPr>
          <w:sz w:val="24"/>
          <w:szCs w:val="24"/>
          <w:color w:val="auto"/>
        </w:rPr>
      </w:pPr>
    </w:p>
    <w:p>
      <w:pPr>
        <w:ind w:left="1040"/>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______________________________________________________________________________________________________</w:t>
      </w:r>
    </w:p>
    <w:p>
      <w:pPr>
        <w:sectPr>
          <w:pgSz w:w="11900" w:h="16838" w:orient="portrait"/>
          <w:cols w:equalWidth="0" w:num="1">
            <w:col w:w="11240"/>
          </w:cols>
          <w:pgMar w:left="320" w:top="1043" w:right="339" w:bottom="1440" w:gutter="0" w:footer="0" w:header="0"/>
        </w:sectPr>
      </w:pPr>
    </w:p>
    <w:p>
      <w:pPr>
        <w:spacing w:after="0" w:line="301" w:lineRule="exact"/>
        <w:rPr>
          <w:sz w:val="24"/>
          <w:szCs w:val="24"/>
          <w:color w:val="auto"/>
        </w:rPr>
      </w:pPr>
    </w:p>
    <w:p>
      <w:pPr>
        <w:jc w:val="center"/>
        <w:ind w:right="20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281"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001-31234</w:t>
      </w:r>
    </w:p>
    <w:p>
      <w:pPr>
        <w:spacing w:after="0" w:line="23"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81"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75-2969997</w:t>
      </w:r>
    </w:p>
    <w:p>
      <w:pPr>
        <w:spacing w:after="0" w:line="23"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(IRS Employer Identification No.)</w:t>
      </w:r>
    </w:p>
    <w:p>
      <w:pPr>
        <w:spacing w:after="0" w:line="46" w:lineRule="exact"/>
        <w:rPr>
          <w:sz w:val="24"/>
          <w:szCs w:val="24"/>
          <w:color w:val="auto"/>
        </w:rPr>
      </w:pPr>
    </w:p>
    <w:p>
      <w:pPr>
        <w:sectPr>
          <w:pgSz w:w="11900" w:h="16838" w:orient="portrait"/>
          <w:cols w:equalWidth="0" w:num="3">
            <w:col w:w="3880" w:space="720"/>
            <w:col w:w="2820" w:space="720"/>
            <w:col w:w="3100"/>
          </w:cols>
          <w:pgMar w:left="320" w:top="1043" w:right="339" w:bottom="1440" w:gutter="0" w:footer="0" w:header="0"/>
          <w:type w:val="continuous"/>
        </w:sectPr>
      </w:pPr>
    </w:p>
    <w:p>
      <w:pPr>
        <w:ind w:left="1220"/>
        <w:spacing w:after="0"/>
        <w:rPr>
          <w:sz w:val="20"/>
          <w:szCs w:val="20"/>
          <w:color w:val="auto"/>
        </w:rPr>
      </w:pPr>
      <w:r>
        <w:rPr>
          <w:rFonts w:ascii="Arial" w:cs="Arial" w:eastAsia="Arial" w:hAnsi="Arial"/>
          <w:sz w:val="18"/>
          <w:szCs w:val="18"/>
          <w:color w:val="auto"/>
        </w:rPr>
        <w:t>of incorporation)</w:t>
      </w:r>
    </w:p>
    <w:p>
      <w:pPr>
        <w:spacing w:after="0" w:line="3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200 Crescent Court, Suite 1200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Dallas, Texas 75201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(214) 756-6900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1043" w:right="339" w:bottom="1440" w:gutter="0" w:footer="0" w:header="0"/>
          <w:type w:val="continuous"/>
        </w:sectPr>
      </w:pPr>
    </w:p>
    <w:p>
      <w:pPr>
        <w:spacing w:after="0" w:line="274" w:lineRule="exact"/>
        <w:rPr>
          <w:sz w:val="24"/>
          <w:szCs w:val="24"/>
          <w:color w:val="auto"/>
        </w:rPr>
      </w:pPr>
    </w:p>
    <w:p>
      <w:pPr>
        <w:ind w:right="500" w:firstLine="180"/>
        <w:spacing w:after="0" w:line="29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97" w:lineRule="exact"/>
        <w:rPr>
          <w:sz w:val="24"/>
          <w:szCs w:val="24"/>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65" w:lineRule="exact"/>
        <w:rPr>
          <w:rFonts w:ascii="Arial" w:cs="Arial" w:eastAsia="Arial" w:hAnsi="Arial"/>
          <w:sz w:val="18"/>
          <w:szCs w:val="18"/>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65" w:lineRule="exact"/>
        <w:rPr>
          <w:rFonts w:ascii="Arial" w:cs="Arial" w:eastAsia="Arial" w:hAnsi="Arial"/>
          <w:sz w:val="18"/>
          <w:szCs w:val="18"/>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65" w:lineRule="exact"/>
        <w:rPr>
          <w:rFonts w:ascii="Arial" w:cs="Arial" w:eastAsia="Arial" w:hAnsi="Arial"/>
          <w:sz w:val="18"/>
          <w:szCs w:val="18"/>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73" w:lineRule="exact"/>
        <w:rPr>
          <w:sz w:val="24"/>
          <w:szCs w:val="24"/>
          <w:color w:val="auto"/>
        </w:rPr>
      </w:pPr>
    </w:p>
    <w:tbl>
      <w:tblPr>
        <w:tblLayout w:type="fixed"/>
        <w:tblInd w:w="560" w:type="dxa"/>
        <w:tblCellMar>
          <w:top w:w="0" w:type="dxa"/>
          <w:left w:w="0" w:type="dxa"/>
          <w:bottom w:w="0" w:type="dxa"/>
          <w:right w:w="0" w:type="dxa"/>
        </w:tblCellMar>
      </w:tblPr>
      <w:tr>
        <w:trPr>
          <w:trHeight w:val="206"/>
        </w:trPr>
        <w:tc>
          <w:tcPr>
            <w:tcW w:w="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180" w:type="dxa"/>
            <w:vAlign w:val="bottom"/>
            <w:gridSpan w:val="5"/>
          </w:tcPr>
          <w:p>
            <w:pPr>
              <w:jc w:val="center"/>
              <w:ind w:right="3150"/>
              <w:spacing w:after="0"/>
              <w:rPr>
                <w:sz w:val="20"/>
                <w:szCs w:val="20"/>
                <w:color w:val="auto"/>
              </w:rPr>
            </w:pPr>
            <w:r>
              <w:rPr>
                <w:rFonts w:ascii="Arial" w:cs="Arial" w:eastAsia="Arial" w:hAnsi="Arial"/>
                <w:sz w:val="16"/>
                <w:szCs w:val="16"/>
                <w:color w:val="auto"/>
                <w:w w:val="92"/>
              </w:rPr>
              <w:t>Securities registered pursuant to Section 12(b) of the Act:</w:t>
            </w:r>
          </w:p>
        </w:tc>
      </w:tr>
      <w:tr>
        <w:trPr>
          <w:trHeight w:val="208"/>
        </w:trPr>
        <w:tc>
          <w:tcPr>
            <w:tcW w:w="8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Title of Each Class</w:t>
            </w:r>
          </w:p>
        </w:tc>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6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Trading Symbol(s)</w:t>
            </w:r>
          </w:p>
        </w:tc>
        <w:tc>
          <w:tcPr>
            <w:tcW w:w="3960" w:type="dxa"/>
            <w:vAlign w:val="bottom"/>
            <w:gridSpan w:val="2"/>
          </w:tcPr>
          <w:p>
            <w:pPr>
              <w:jc w:val="center"/>
              <w:ind w:left="510"/>
              <w:spacing w:after="0"/>
              <w:rPr>
                <w:sz w:val="20"/>
                <w:szCs w:val="20"/>
                <w:color w:val="auto"/>
              </w:rPr>
            </w:pPr>
            <w:r>
              <w:rPr>
                <w:rFonts w:ascii="Arial" w:cs="Arial" w:eastAsia="Arial" w:hAnsi="Arial"/>
                <w:sz w:val="18"/>
                <w:szCs w:val="18"/>
                <w:color w:val="auto"/>
                <w:w w:val="90"/>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250"/>
        </w:trPr>
        <w:tc>
          <w:tcPr>
            <w:tcW w:w="31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Common stock, par value $0.01 per share</w:t>
            </w:r>
          </w:p>
        </w:tc>
        <w:tc>
          <w:tcPr>
            <w:tcW w:w="1260" w:type="dxa"/>
            <w:vAlign w:val="bottom"/>
          </w:tcPr>
          <w:p>
            <w:pPr>
              <w:spacing w:after="0"/>
              <w:rPr>
                <w:sz w:val="21"/>
                <w:szCs w:val="21"/>
                <w:color w:val="auto"/>
              </w:rPr>
            </w:pPr>
          </w:p>
        </w:tc>
        <w:tc>
          <w:tcPr>
            <w:tcW w:w="1960" w:type="dxa"/>
            <w:vAlign w:val="bottom"/>
            <w:gridSpan w:val="2"/>
          </w:tcPr>
          <w:p>
            <w:pPr>
              <w:jc w:val="center"/>
              <w:ind w:right="600"/>
              <w:spacing w:after="0"/>
              <w:rPr>
                <w:sz w:val="20"/>
                <w:szCs w:val="20"/>
                <w:color w:val="auto"/>
              </w:rPr>
            </w:pPr>
            <w:r>
              <w:rPr>
                <w:rFonts w:ascii="Arial" w:cs="Arial" w:eastAsia="Arial" w:hAnsi="Arial"/>
                <w:sz w:val="18"/>
                <w:szCs w:val="18"/>
                <w:color w:val="auto"/>
                <w:w w:val="99"/>
              </w:rPr>
              <w:t>WHG</w:t>
            </w:r>
          </w:p>
        </w:tc>
        <w:tc>
          <w:tcPr>
            <w:tcW w:w="6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337" w:lineRule="exact"/>
        <w:rPr>
          <w:sz w:val="24"/>
          <w:szCs w:val="24"/>
          <w:color w:val="auto"/>
        </w:rPr>
      </w:pPr>
    </w:p>
    <w:p>
      <w:pPr>
        <w:ind w:right="560"/>
        <w:spacing w:after="0" w:line="293" w:lineRule="auto"/>
        <w:rPr>
          <w:sz w:val="20"/>
          <w:szCs w:val="20"/>
          <w:color w:val="auto"/>
        </w:rPr>
      </w:pPr>
      <w:r>
        <w:rPr>
          <w:rFonts w:ascii="Arial" w:cs="Arial" w:eastAsia="Arial" w:hAnsi="Arial"/>
          <w:sz w:val="18"/>
          <w:szCs w:val="18"/>
          <w:color w:val="auto"/>
        </w:rPr>
        <w:t>Indicate by checkmark whether the registrant is an emerging growth company as defined in Rule 405 of the Securities Act of 1933 (§230.405 of this chapter) or Rule 12b-2 of the Securities Exchange Act of 1934 (§240.12b-2 of this chapter).</w:t>
      </w:r>
    </w:p>
    <w:p>
      <w:pPr>
        <w:spacing w:after="0" w:line="77" w:lineRule="exact"/>
        <w:rPr>
          <w:sz w:val="24"/>
          <w:szCs w:val="24"/>
          <w:color w:val="auto"/>
        </w:rPr>
      </w:pPr>
    </w:p>
    <w:p>
      <w:pPr>
        <w:ind w:left="924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31" w:lineRule="exact"/>
        <w:rPr>
          <w:sz w:val="24"/>
          <w:szCs w:val="24"/>
          <w:color w:val="auto"/>
        </w:rPr>
      </w:pPr>
    </w:p>
    <w:p>
      <w:pPr>
        <w:ind w:right="200"/>
        <w:spacing w:after="0" w:line="236" w:lineRule="exact"/>
        <w:rPr>
          <w:sz w:val="20"/>
          <w:szCs w:val="20"/>
          <w:color w:val="auto"/>
        </w:rPr>
      </w:pPr>
      <w:r>
        <w:rPr>
          <w:rFonts w:ascii="Arial" w:cs="Arial" w:eastAsia="Arial" w:hAnsi="Arial"/>
          <w:sz w:val="18"/>
          <w:szCs w:val="18"/>
          <w:color w:val="auto"/>
        </w:rPr>
        <w:t xml:space="preserve">If an emerging growth company, indicate by checkmark if the registrant has elected not to use the extended transition period for complying with any new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240"/>
          </w:cols>
          <w:pgMar w:left="320" w:top="1043"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20"/>
          <w:szCs w:val="20"/>
          <w:color w:val="auto"/>
        </w:rPr>
        <w:t>ITEM 2.02:</w:t>
      </w:r>
      <w:r>
        <w:rPr>
          <w:sz w:val="20"/>
          <w:szCs w:val="20"/>
          <w:color w:val="auto"/>
        </w:rPr>
        <w:tab/>
      </w:r>
      <w:r>
        <w:rPr>
          <w:rFonts w:ascii="Arial" w:cs="Arial" w:eastAsia="Arial" w:hAnsi="Arial"/>
          <w:sz w:val="19"/>
          <w:szCs w:val="19"/>
          <w:color w:val="auto"/>
        </w:rPr>
        <w:t>RESULTS OF OPERATIONS AND FINANCIAL CONDITION</w:t>
      </w:r>
    </w:p>
    <w:p>
      <w:pPr>
        <w:spacing w:after="0" w:line="243"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On April 28, 2021, Westwood Holdings Group, Inc. (“Westwood”) announced its financial results for the quarter ended March 31, 2021, a copy of which is furnished with this Current Report on Form 8-K as Exhibit 99.1.</w:t>
      </w:r>
    </w:p>
    <w:p>
      <w:pPr>
        <w:spacing w:after="0" w:line="204"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information in this Current Report on Form 8-K, including Exhibit 99.1, shall not be deemed to be “filed” for the purposes of Section 18 of the Securities Exchange Act of 1934 (the “Exchange Act”), as amended, or otherwise subject to the liabilities of that Section, nor shall it be incorporated by reference in any filing under the Securities Act of 1933, as amended, or the Exchange Act, except as otherwise expressly stated in such filing.</w:t>
      </w:r>
    </w:p>
    <w:p>
      <w:pPr>
        <w:spacing w:after="0" w:line="83"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ITEM 7.01:</w:t>
      </w:r>
      <w:r>
        <w:rPr>
          <w:sz w:val="20"/>
          <w:szCs w:val="20"/>
          <w:color w:val="auto"/>
        </w:rPr>
        <w:tab/>
      </w:r>
      <w:r>
        <w:rPr>
          <w:rFonts w:ascii="Arial" w:cs="Arial" w:eastAsia="Arial" w:hAnsi="Arial"/>
          <w:sz w:val="18"/>
          <w:szCs w:val="18"/>
          <w:color w:val="auto"/>
        </w:rPr>
        <w:t>REGULATION FD DISCLOSURE</w:t>
      </w:r>
    </w:p>
    <w:p>
      <w:pPr>
        <w:spacing w:after="0" w:line="108"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Westwood announced today that its Board of Directors has approved the payment of a quarterly cash dividend of $0.10 per common share, payable on July 1, 2021 to stockholders of record on June 4, 2021.</w:t>
      </w:r>
    </w:p>
    <w:p>
      <w:pPr>
        <w:spacing w:after="0" w:line="204"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ITEM 9.01:</w:t>
      </w:r>
      <w:r>
        <w:rPr>
          <w:sz w:val="20"/>
          <w:szCs w:val="20"/>
          <w:color w:val="auto"/>
        </w:rPr>
        <w:tab/>
      </w:r>
      <w:r>
        <w:rPr>
          <w:rFonts w:ascii="Arial" w:cs="Arial" w:eastAsia="Arial" w:hAnsi="Arial"/>
          <w:sz w:val="19"/>
          <w:szCs w:val="19"/>
          <w:color w:val="auto"/>
        </w:rPr>
        <w:t>FINANCIAL STATEMENTS AND EXHIBITS</w:t>
      </w:r>
    </w:p>
    <w:p>
      <w:pPr>
        <w:spacing w:after="0" w:line="243"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Exhibits: The following exhibit is furnished with this report:</w:t>
      </w:r>
    </w:p>
    <w:p>
      <w:pPr>
        <w:spacing w:after="0" w:line="243" w:lineRule="exact"/>
        <w:rPr>
          <w:sz w:val="20"/>
          <w:szCs w:val="20"/>
          <w:color w:val="auto"/>
        </w:rPr>
      </w:pPr>
    </w:p>
    <w:p>
      <w:pPr>
        <w:spacing w:after="0"/>
        <w:tabs>
          <w:tab w:leader="none" w:pos="2260" w:val="left"/>
        </w:tabs>
        <w:rPr>
          <w:sz w:val="20"/>
          <w:szCs w:val="20"/>
          <w:color w:val="auto"/>
        </w:rPr>
      </w:pPr>
      <w:r>
        <w:rPr>
          <w:rFonts w:ascii="Arial" w:cs="Arial" w:eastAsia="Arial" w:hAnsi="Arial"/>
          <w:sz w:val="20"/>
          <w:szCs w:val="20"/>
          <w:color w:val="auto"/>
        </w:rPr>
        <w:t>Exhibit Number</w:t>
      </w:r>
      <w:r>
        <w:rPr>
          <w:sz w:val="20"/>
          <w:szCs w:val="20"/>
          <w:color w:val="auto"/>
        </w:rPr>
        <w:tab/>
      </w:r>
      <w:r>
        <w:rPr>
          <w:rFonts w:ascii="Arial" w:cs="Arial" w:eastAsia="Arial" w:hAnsi="Arial"/>
          <w:sz w:val="18"/>
          <w:szCs w:val="18"/>
          <w:color w:val="auto"/>
        </w:rPr>
        <w:t>Description</w:t>
      </w:r>
    </w:p>
    <w:p>
      <w:pPr>
        <w:spacing w:after="0" w:line="243" w:lineRule="exact"/>
        <w:rPr>
          <w:sz w:val="20"/>
          <w:szCs w:val="20"/>
          <w:color w:val="auto"/>
        </w:rPr>
      </w:pPr>
    </w:p>
    <w:p>
      <w:pPr>
        <w:spacing w:after="0"/>
        <w:tabs>
          <w:tab w:leader="none" w:pos="540" w:val="left"/>
        </w:tabs>
        <w:rPr>
          <w:rFonts w:ascii="Arial" w:cs="Arial" w:eastAsia="Arial" w:hAnsi="Arial"/>
          <w:sz w:val="16"/>
          <w:szCs w:val="16"/>
          <w:u w:val="single" w:color="auto"/>
          <w:color w:val="0000FF"/>
        </w:rPr>
      </w:pPr>
      <w:r>
        <w:rPr>
          <w:rFonts w:ascii="Arial" w:cs="Arial" w:eastAsia="Arial" w:hAnsi="Arial"/>
          <w:sz w:val="20"/>
          <w:szCs w:val="20"/>
          <w:color w:val="auto"/>
        </w:rPr>
        <w:t>99.1</w:t>
      </w:r>
      <w:r>
        <w:rPr>
          <w:sz w:val="20"/>
          <w:szCs w:val="20"/>
          <w:color w:val="auto"/>
        </w:rPr>
        <w:tab/>
      </w:r>
      <w:hyperlink w:anchor="page4">
        <w:r>
          <w:rPr>
            <w:rFonts w:ascii="Arial" w:cs="Arial" w:eastAsia="Arial" w:hAnsi="Arial"/>
            <w:sz w:val="16"/>
            <w:szCs w:val="16"/>
            <w:u w:val="single" w:color="auto"/>
            <w:color w:val="0000FF"/>
          </w:rPr>
          <w:t>Press Release dated April 28, 2021</w:t>
        </w:r>
      </w:hyperlink>
    </w:p>
    <w:p>
      <w:pPr>
        <w:sectPr>
          <w:pgSz w:w="11900" w:h="16838" w:orient="portrait"/>
          <w:cols w:equalWidth="0" w:num="1">
            <w:col w:w="11160"/>
          </w:cols>
          <w:pgMar w:left="320" w:top="892" w:right="4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0"/>
          <w:szCs w:val="20"/>
          <w:color w:val="auto"/>
        </w:rPr>
        <w:t>SIGNATURES</w:t>
      </w:r>
    </w:p>
    <w:p>
      <w:pPr>
        <w:spacing w:after="0" w:line="243" w:lineRule="exact"/>
        <w:rPr>
          <w:sz w:val="20"/>
          <w:szCs w:val="20"/>
          <w:color w:val="auto"/>
        </w:rPr>
      </w:pPr>
    </w:p>
    <w:p>
      <w:pPr>
        <w:ind w:firstLine="19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Date: April 28, 2021</w:t>
      </w:r>
    </w:p>
    <w:p>
      <w:pPr>
        <w:spacing w:after="0" w:line="200" w:lineRule="exact"/>
        <w:rPr>
          <w:sz w:val="20"/>
          <w:szCs w:val="20"/>
          <w:color w:val="auto"/>
        </w:rPr>
      </w:pPr>
    </w:p>
    <w:p>
      <w:pPr>
        <w:spacing w:after="0" w:line="315" w:lineRule="exact"/>
        <w:rPr>
          <w:sz w:val="20"/>
          <w:szCs w:val="20"/>
          <w:color w:val="auto"/>
        </w:rPr>
      </w:pPr>
    </w:p>
    <w:p>
      <w:pPr>
        <w:ind w:left="7960"/>
        <w:spacing w:after="0"/>
        <w:rPr>
          <w:sz w:val="20"/>
          <w:szCs w:val="20"/>
          <w:color w:val="auto"/>
        </w:rPr>
      </w:pPr>
      <w:r>
        <w:rPr>
          <w:rFonts w:ascii="Arial" w:cs="Arial" w:eastAsia="Arial" w:hAnsi="Arial"/>
          <w:sz w:val="17"/>
          <w:szCs w:val="17"/>
          <w:color w:val="auto"/>
        </w:rPr>
        <w:t>WESTWOOD HOLDINGS GROUP, INC.</w:t>
      </w:r>
    </w:p>
    <w:p>
      <w:pPr>
        <w:spacing w:after="0" w:line="200" w:lineRule="exact"/>
        <w:rPr>
          <w:sz w:val="20"/>
          <w:szCs w:val="20"/>
          <w:color w:val="auto"/>
        </w:rPr>
      </w:pPr>
    </w:p>
    <w:p>
      <w:pPr>
        <w:spacing w:after="0" w:line="374"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Murray Forbes III</w:t>
      </w:r>
    </w:p>
    <w:p>
      <w:pPr>
        <w:spacing w:after="0" w:line="2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Murray Forbes III</w:t>
      </w:r>
    </w:p>
    <w:p>
      <w:pPr>
        <w:spacing w:after="0" w:line="2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220"/>
          </w:cols>
          <w:pgMar w:left="320" w:top="892"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2642870</wp:posOffset>
            </wp:positionH>
            <wp:positionV relativeFrom="page">
              <wp:posOffset>732155</wp:posOffset>
            </wp:positionV>
            <wp:extent cx="2271395" cy="7200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27139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Westwood Holdings Group, Inc. Reports First Quarter 2021 Results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Positive net flows exceed $500 million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Sales momentum continues in second quarter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of $0.10 per share declared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Dallas, TX, April 28, 2021 – Westwood Holdings Group, Inc. (NYSE: WHG) today reported first quarter 2021 earnings.</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Significant items include:</w:t>
      </w:r>
    </w:p>
    <w:p>
      <w:pPr>
        <w:spacing w:after="0" w:line="17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Revenues of $18.3 million compared with $17.1 million in the fourth quarter and $16.7 million a year ago.</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1"/>
          <w:szCs w:val="21"/>
          <w:color w:val="auto"/>
        </w:rPr>
      </w:pPr>
      <w:r>
        <w:rPr>
          <w:rFonts w:ascii="Arial" w:cs="Arial" w:eastAsia="Arial" w:hAnsi="Arial"/>
          <w:sz w:val="21"/>
          <w:szCs w:val="21"/>
          <w:color w:val="auto"/>
        </w:rPr>
        <w:t>Net income of $4.1 million rose from $2.8 million in the fourth quarter and $1.1 million in last year's first quarter.</w:t>
      </w:r>
    </w:p>
    <w:p>
      <w:pPr>
        <w:spacing w:after="0" w:line="177" w:lineRule="exact"/>
        <w:rPr>
          <w:rFonts w:ascii="Arial" w:cs="Arial" w:eastAsia="Arial" w:hAnsi="Arial"/>
          <w:sz w:val="21"/>
          <w:szCs w:val="21"/>
          <w:color w:val="auto"/>
        </w:rPr>
      </w:pPr>
    </w:p>
    <w:p>
      <w:pPr>
        <w:ind w:left="660" w:right="120" w:hanging="328"/>
        <w:spacing w:after="0" w:line="263" w:lineRule="auto"/>
        <w:tabs>
          <w:tab w:leader="none" w:pos="656" w:val="left"/>
        </w:tabs>
        <w:numPr>
          <w:ilvl w:val="0"/>
          <w:numId w:val="2"/>
        </w:numPr>
        <w:rPr>
          <w:rFonts w:ascii="Arial" w:cs="Arial" w:eastAsia="Arial" w:hAnsi="Arial"/>
          <w:sz w:val="22"/>
          <w:szCs w:val="22"/>
          <w:color w:val="auto"/>
        </w:rPr>
      </w:pPr>
      <w:r>
        <w:rPr>
          <w:rFonts w:ascii="Arial" w:cs="Arial" w:eastAsia="Arial" w:hAnsi="Arial"/>
          <w:sz w:val="22"/>
          <w:szCs w:val="22"/>
          <w:color w:val="auto"/>
        </w:rPr>
        <w:t>Income Opportunity, Total Return, High Income and Alternative Income strategies beat their primary benchmarks for the quarter.</w:t>
      </w:r>
    </w:p>
    <w:p>
      <w:pPr>
        <w:spacing w:after="0" w:line="120" w:lineRule="exact"/>
        <w:rPr>
          <w:rFonts w:ascii="Arial" w:cs="Arial" w:eastAsia="Arial" w:hAnsi="Arial"/>
          <w:sz w:val="22"/>
          <w:szCs w:val="22"/>
          <w:color w:val="auto"/>
        </w:rPr>
      </w:pPr>
    </w:p>
    <w:p>
      <w:pPr>
        <w:ind w:left="660" w:right="60" w:hanging="328"/>
        <w:spacing w:after="0" w:line="263" w:lineRule="auto"/>
        <w:tabs>
          <w:tab w:leader="none" w:pos="656" w:val="left"/>
        </w:tabs>
        <w:numPr>
          <w:ilvl w:val="0"/>
          <w:numId w:val="2"/>
        </w:numPr>
        <w:rPr>
          <w:rFonts w:ascii="Arial" w:cs="Arial" w:eastAsia="Arial" w:hAnsi="Arial"/>
          <w:sz w:val="22"/>
          <w:szCs w:val="22"/>
          <w:color w:val="auto"/>
        </w:rPr>
      </w:pPr>
      <w:r>
        <w:rPr>
          <w:rFonts w:ascii="Arial" w:cs="Arial" w:eastAsia="Arial" w:hAnsi="Arial"/>
          <w:sz w:val="22"/>
          <w:szCs w:val="22"/>
          <w:color w:val="auto"/>
        </w:rPr>
        <w:t>Income Opportunity and High Income won top quartile peer rankings and our SmallCap Value strategy made the top 40% in peer rankings.</w:t>
      </w:r>
    </w:p>
    <w:p>
      <w:pPr>
        <w:spacing w:after="0" w:line="120" w:lineRule="exact"/>
        <w:rPr>
          <w:rFonts w:ascii="Arial" w:cs="Arial" w:eastAsia="Arial" w:hAnsi="Arial"/>
          <w:sz w:val="22"/>
          <w:szCs w:val="22"/>
          <w:color w:val="auto"/>
        </w:rPr>
      </w:pPr>
    </w:p>
    <w:p>
      <w:pPr>
        <w:ind w:left="660" w:right="60" w:hanging="328"/>
        <w:spacing w:after="0" w:line="263" w:lineRule="auto"/>
        <w:tabs>
          <w:tab w:leader="none" w:pos="656" w:val="left"/>
        </w:tabs>
        <w:numPr>
          <w:ilvl w:val="0"/>
          <w:numId w:val="2"/>
        </w:numPr>
        <w:rPr>
          <w:rFonts w:ascii="Arial" w:cs="Arial" w:eastAsia="Arial" w:hAnsi="Arial"/>
          <w:sz w:val="22"/>
          <w:szCs w:val="22"/>
          <w:color w:val="auto"/>
        </w:rPr>
      </w:pPr>
      <w:r>
        <w:rPr>
          <w:rFonts w:ascii="Arial" w:cs="Arial" w:eastAsia="Arial" w:hAnsi="Arial"/>
          <w:sz w:val="22"/>
          <w:szCs w:val="22"/>
          <w:color w:val="auto"/>
        </w:rPr>
        <w:t>We realized a significant gain of $8.3 million on our original InvestCloud investment, of which $5.6 million was recorded in this quarter, and we reinvested $4.4 million in the newly-capitalized InvestCloud entity.</w:t>
      </w:r>
    </w:p>
    <w:p>
      <w:pPr>
        <w:spacing w:after="0" w:line="120"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19"/>
          <w:szCs w:val="19"/>
          <w:color w:val="auto"/>
        </w:rPr>
      </w:pPr>
      <w:r>
        <w:rPr>
          <w:rFonts w:ascii="Arial" w:cs="Arial" w:eastAsia="Arial" w:hAnsi="Arial"/>
          <w:sz w:val="19"/>
          <w:szCs w:val="19"/>
          <w:color w:val="auto"/>
        </w:rPr>
        <w:t>Westwood held $86.9 million in cash and short-term investments as of March 31, 2021, up $4.3 million from year end.</w:t>
      </w:r>
    </w:p>
    <w:p>
      <w:pPr>
        <w:spacing w:after="0" w:line="200" w:lineRule="exact"/>
        <w:rPr>
          <w:rFonts w:ascii="Arial" w:cs="Arial" w:eastAsia="Arial" w:hAnsi="Arial"/>
          <w:sz w:val="19"/>
          <w:szCs w:val="19"/>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Stockholders' equity as of March 31, 2021 was $133.4 million and we continued to have no debt.</w:t>
      </w:r>
    </w:p>
    <w:p>
      <w:pPr>
        <w:spacing w:after="0" w:line="165" w:lineRule="exact"/>
        <w:rPr>
          <w:rFonts w:ascii="Arial" w:cs="Arial" w:eastAsia="Arial" w:hAnsi="Arial"/>
          <w:sz w:val="22"/>
          <w:szCs w:val="22"/>
          <w:color w:val="auto"/>
        </w:rPr>
      </w:pPr>
    </w:p>
    <w:p>
      <w:pPr>
        <w:ind w:left="660" w:right="240" w:hanging="328"/>
        <w:spacing w:after="0" w:line="263" w:lineRule="auto"/>
        <w:tabs>
          <w:tab w:leader="none" w:pos="656" w:val="left"/>
        </w:tabs>
        <w:numPr>
          <w:ilvl w:val="0"/>
          <w:numId w:val="2"/>
        </w:numPr>
        <w:rPr>
          <w:rFonts w:ascii="Arial" w:cs="Arial" w:eastAsia="Arial" w:hAnsi="Arial"/>
          <w:sz w:val="22"/>
          <w:szCs w:val="22"/>
          <w:color w:val="auto"/>
        </w:rPr>
      </w:pPr>
      <w:r>
        <w:rPr>
          <w:rFonts w:ascii="Arial" w:cs="Arial" w:eastAsia="Arial" w:hAnsi="Arial"/>
          <w:sz w:val="22"/>
          <w:szCs w:val="22"/>
          <w:color w:val="auto"/>
        </w:rPr>
        <w:t>Non-GAAP economic earnings of $6.3 million compared with $4.6 million in the fourth quarter and $4.2 million a year ago.</w:t>
      </w:r>
    </w:p>
    <w:p>
      <w:pPr>
        <w:spacing w:after="0" w:line="120"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We repurchased 92,491 shares of our common stock for an aggregate purchase price of $1.4 million.</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Brian Casey, Westwood’s President and CEO, commented, "We were very pleased with positive net flows exceeding $500 million and we anticipate significant additional funding from new client mandates in the second quarter. Our pipeline for new business opportunities remains strong and we are seeing larger searches compared with the past few years. We remain laser-focused on reducing expenses and made further progress by subleasing a portion of our excess Dallas office space. Our hard work over the past few years along with the investments we made in technology and other strategic initiatives are paying off for our shareholders as Westwood enters a more reliable path to growth."</w:t>
      </w:r>
    </w:p>
    <w:p>
      <w:pPr>
        <w:spacing w:after="0" w:line="7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Revenues exceeded the fourth quarter and last year's first quarter principally as a result of higher average assets under management ("AUM") and higher performance-based fees.</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63" w:lineRule="auto"/>
        <w:rPr>
          <w:sz w:val="20"/>
          <w:szCs w:val="20"/>
          <w:color w:val="auto"/>
        </w:rPr>
      </w:pPr>
      <w:r>
        <w:rPr>
          <w:rFonts w:ascii="Arial" w:cs="Arial" w:eastAsia="Arial" w:hAnsi="Arial"/>
          <w:sz w:val="22"/>
          <w:szCs w:val="22"/>
          <w:color w:val="auto"/>
        </w:rPr>
        <w:t>AUM of $14.5 billion rose from $13.0 billion at December 31, 2020, reflecting market appreciation and net inflows, mainly in our SmallCap strategy.</w:t>
      </w:r>
    </w:p>
    <w:p>
      <w:pPr>
        <w:spacing w:after="0" w:line="67"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First quarter net income of $4.1 million exceeded the $2.8 million reported for the fourth quarter primarily on higher revenues and realized gains from private investments, partially offset by higher operating expenses and income taxes. Diluted earnings per share ("EPS") of $0.52 compared with $0.36 for the fourth quarter. Non-GAAP economic earnings of $6.3 million, or $0.79 per share, compared with earnings of $4.6 million, or $0.58 per share, in the fourth quarter.</w:t>
      </w:r>
    </w:p>
    <w:p>
      <w:pPr>
        <w:spacing w:after="0" w:line="67"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First quarter net income of $4.1 million outperformed 2020's first quarter net income of $1.1 million primarily on higher revenues plus realized and unrealized gains on private investments, partially offset by higher operating expenses and income taxes. Diluted EPS of $0.52 compared with $0.13 for last year's first quarter. Non-GAAP economic earnings were $6.3 million, or $0.79 per share, compared with $4.2 million, or $0.50 per share for the first quarter of 2020.</w:t>
      </w:r>
    </w:p>
    <w:p>
      <w:pPr>
        <w:spacing w:after="0" w:line="67"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Economic earnings and Economic EPS are non-GAAP performance measures and are explained and reconciled with the most comparable GAAP numbers in the attached tables.</w:t>
      </w:r>
    </w:p>
    <w:p>
      <w:pPr>
        <w:spacing w:after="0" w:line="67"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Westwood will host a conference call to discuss first quarter 2021 results and other business matters at 4:30 p.m. Eastern time today. To join the conference call, dial 877-303-6235 (U.S. and Canada) or 631-291-4837 (international). The conference call can also be accessed via our Investor Relations page at westwoodgroup.com and will be available for replay through May 5, 2021 by dialing 855-859-2056 (U.S. and Canada) or 404-537-3406 (international) and entering the passcode 9883074.</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WESTWOOD HOLDINGS GROUP</w:t>
      </w:r>
    </w:p>
    <w:p>
      <w:pPr>
        <w:spacing w:after="0" w:line="118"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Westwood Holdings Group, Inc. is an investment management boutique and wealth management firm. Westwood offers high-conviction equity and outcome-oriented solutions to institutional investors, private wealth clients and financial intermediaries. The firm specializes in the following distinct investment capabilities: U.S. Value Equity, Multi-Asset, and Liquid Alternatives, available through separate accounts, the Westwood Funds</w:t>
      </w:r>
      <w:r>
        <w:rPr>
          <w:rFonts w:ascii="Arial" w:cs="Arial" w:eastAsia="Arial" w:hAnsi="Arial"/>
          <w:sz w:val="27"/>
          <w:szCs w:val="27"/>
          <w:color w:val="auto"/>
          <w:vertAlign w:val="superscript"/>
        </w:rPr>
        <w:t>®</w:t>
      </w:r>
      <w:r>
        <w:rPr>
          <w:rFonts w:ascii="Arial" w:cs="Arial" w:eastAsia="Arial" w:hAnsi="Arial"/>
          <w:sz w:val="21"/>
          <w:szCs w:val="21"/>
          <w:color w:val="auto"/>
        </w:rPr>
        <w:t xml:space="preserve"> family of mutual funds and other pooled vehicles. Westwood benefits from significant, broad-based employee ownership and trades on the New York Stock Exchange under the symbol “WHG.” Based in Dallas, Westwood also maintains offices in Houston.</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on Westwood, please visit westwoodgroup.com.</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18"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Statements in this press release that are not purely historical facts, including, without limitation, statements about our expected future financial position, results of operations or cash flows, as well as other statements including without limitation, words such as “anticipate,” “believe,” “expect,” “could,”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the composition and market value of our AUM; our ability to maintain our fee structure in light of competitive fee pressures; the impact of the COVID-19 pandemic; the significant concentration of our revenues in a small number of customers; our ability to avoid termination of client agreements and the related investment redemptions; regulations adversely affecting the financial services industry; competition in the investment management industry; our ability to develop and market new investment strategies successfully; our AUM include investments in foreign companies; our reputation and our relationships with current and potential customers; our ability to attract and retain qualified personnel; our ability to maintain effective cyber security; our ability to perform operational tasks; our ability to identify and execute on our strategic initiatives; our ability to maintain effective information systems; our ability to</w:t>
      </w:r>
    </w:p>
    <w:p>
      <w:pPr>
        <w:sectPr>
          <w:pgSz w:w="11900" w:h="16838" w:orient="portrait"/>
          <w:cols w:equalWidth="0" w:num="1">
            <w:col w:w="11240"/>
          </w:cols>
          <w:pgMar w:left="320" w:top="1009" w:right="339" w:bottom="1440" w:gutter="0" w:footer="0" w:header="0"/>
        </w:sectPr>
      </w:pPr>
    </w:p>
    <w:bookmarkStart w:id="5" w:name="page6"/>
    <w:bookmarkEnd w:id="5"/>
    <w:p>
      <w:pPr>
        <w:jc w:val="both"/>
        <w:spacing w:after="0" w:line="287" w:lineRule="auto"/>
        <w:rPr>
          <w:sz w:val="20"/>
          <w:szCs w:val="20"/>
          <w:color w:val="auto"/>
        </w:rPr>
      </w:pPr>
      <w:r>
        <w:rPr>
          <w:rFonts w:ascii="Arial" w:cs="Arial" w:eastAsia="Arial" w:hAnsi="Arial"/>
          <w:sz w:val="19"/>
          <w:szCs w:val="19"/>
          <w:color w:val="auto"/>
        </w:rPr>
        <w:t>select and oversee third-party vendors; litigation risks; our ability to declare and pay dividends; our ability to fund future capital requirements on favorable terms; our ability to properly address conflicts of interest; our ability to maintain adequate insurance coverage; our ability to maintain an effective system of internal controls; our stock is thinly traded and may be subject to volatility; our organizational documents contain provisions that may prevent or deter another group from paying a premium over the market price to our stockholders to acquire our stock; we are a holding company dependent on the operations and funds of our subsidiaries; our relationships with investment consulting firms; and the other risks detailed from time to time in Westwood’s SEC filings, including, but not limited to, its annual report on Form 10-K for the year ended December 31, 2020 and its quarterly report on Form 10-Q for the quarter ended March 31, 2021. You are cautioned not to place undue reliance on these forward-looking statements, which speak only as of the date of this press release. Except as required by law, Westwood is not obligated to publicly release any revisions to these forward-looking statements to reflect events or circumstances after the date of this press release or to reflect the occurrence of unanticipated events.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 # # #</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SOURCE: Westwood Holdings Group, Inc.</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(WHG-G)</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Westwood Holdings Group,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Terry Forbes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 and Treasurer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(214) 756-6900</w:t>
      </w:r>
    </w:p>
    <w:p>
      <w:pPr>
        <w:sectPr>
          <w:pgSz w:w="11900" w:h="16838" w:orient="portrait"/>
          <w:cols w:equalWidth="0" w:num="1">
            <w:col w:w="11240"/>
          </w:cols>
          <w:pgMar w:left="320" w:top="1009"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CONSOLIDATED STATEMENTS OF COMPREHENSIVE INCOME (LOSS)</w:t>
      </w:r>
    </w:p>
    <w:p>
      <w:pPr>
        <w:spacing w:after="0"/>
        <w:rPr>
          <w:sz w:val="20"/>
          <w:szCs w:val="20"/>
          <w:color w:val="auto"/>
        </w:rPr>
      </w:pPr>
      <w:r>
        <w:rPr>
          <w:rFonts w:ascii="Arial" w:cs="Arial" w:eastAsia="Arial" w:hAnsi="Arial"/>
          <w:sz w:val="20"/>
          <w:szCs w:val="20"/>
          <w:b w:val="1"/>
          <w:bCs w:val="1"/>
          <w:color w:val="auto"/>
        </w:rPr>
        <w:t>(in thousands, except per share and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2021</w:t>
            </w:r>
          </w:p>
        </w:tc>
        <w:tc>
          <w:tcPr>
            <w:tcW w:w="1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December 31, 2020</w:t>
            </w:r>
          </w:p>
        </w:tc>
        <w:tc>
          <w:tcPr>
            <w:tcW w:w="240" w:type="dxa"/>
            <w:vAlign w:val="bottom"/>
          </w:tcPr>
          <w:p>
            <w:pPr>
              <w:spacing w:after="0"/>
              <w:rPr>
                <w:sz w:val="18"/>
                <w:szCs w:val="18"/>
                <w:color w:val="auto"/>
              </w:rPr>
            </w:pPr>
          </w:p>
        </w:tc>
        <w:tc>
          <w:tcPr>
            <w:tcW w:w="1560" w:type="dxa"/>
            <w:vAlign w:val="bottom"/>
          </w:tcPr>
          <w:p>
            <w:pPr>
              <w:jc w:val="right"/>
              <w:ind w:right="288"/>
              <w:spacing w:after="0"/>
              <w:rPr>
                <w:sz w:val="20"/>
                <w:szCs w:val="20"/>
                <w:color w:val="auto"/>
              </w:rPr>
            </w:pPr>
            <w:r>
              <w:rPr>
                <w:rFonts w:ascii="Arial" w:cs="Arial" w:eastAsia="Arial" w:hAnsi="Arial"/>
                <w:sz w:val="16"/>
                <w:szCs w:val="16"/>
                <w:b w:val="1"/>
                <w:bCs w:val="1"/>
                <w:color w:val="auto"/>
              </w:rPr>
              <w:t>March 31, 2020</w:t>
            </w:r>
          </w:p>
        </w:tc>
        <w:tc>
          <w:tcPr>
            <w:tcW w:w="0" w:type="dxa"/>
            <w:vAlign w:val="bottom"/>
          </w:tcPr>
          <w:p>
            <w:pPr>
              <w:spacing w:after="0"/>
              <w:rPr>
                <w:sz w:val="1"/>
                <w:szCs w:val="1"/>
                <w:color w:val="auto"/>
              </w:rPr>
            </w:pPr>
          </w:p>
        </w:tc>
      </w:tr>
      <w:tr>
        <w:trPr>
          <w:trHeight w:val="172"/>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20" w:type="dxa"/>
            <w:vAlign w:val="bottom"/>
            <w:tcBorders>
              <w:top w:val="single" w:sz="8" w:color="auto"/>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660" w:type="dxa"/>
            <w:vAlign w:val="bottom"/>
          </w:tcPr>
          <w:p>
            <w:pPr>
              <w:ind w:left="360"/>
              <w:spacing w:after="0"/>
              <w:rPr>
                <w:sz w:val="20"/>
                <w:szCs w:val="20"/>
                <w:color w:val="auto"/>
              </w:rPr>
            </w:pPr>
            <w:r>
              <w:rPr>
                <w:rFonts w:ascii="Arial" w:cs="Arial" w:eastAsia="Arial" w:hAnsi="Arial"/>
                <w:sz w:val="14"/>
                <w:szCs w:val="14"/>
                <w:color w:val="auto"/>
              </w:rPr>
              <w:t>Advisory fees:</w:t>
            </w: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Asset-based</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10,450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11,102</w:t>
            </w:r>
          </w:p>
        </w:tc>
        <w:tc>
          <w:tcPr>
            <w:tcW w:w="0" w:type="dxa"/>
            <w:vAlign w:val="bottom"/>
          </w:tcPr>
          <w:p>
            <w:pPr>
              <w:spacing w:after="0"/>
              <w:rPr>
                <w:sz w:val="1"/>
                <w:szCs w:val="1"/>
                <w:color w:val="auto"/>
              </w:rPr>
            </w:pPr>
          </w:p>
        </w:tc>
      </w:tr>
      <w:tr>
        <w:trPr>
          <w:trHeight w:val="186"/>
        </w:trPr>
        <w:tc>
          <w:tcPr>
            <w:tcW w:w="5660" w:type="dxa"/>
            <w:vAlign w:val="bottom"/>
          </w:tcPr>
          <w:p>
            <w:pPr>
              <w:ind w:left="680"/>
              <w:spacing w:after="0"/>
              <w:rPr>
                <w:sz w:val="20"/>
                <w:szCs w:val="20"/>
                <w:color w:val="auto"/>
              </w:rPr>
            </w:pPr>
            <w:r>
              <w:rPr>
                <w:rFonts w:ascii="Arial" w:cs="Arial" w:eastAsia="Arial" w:hAnsi="Arial"/>
                <w:sz w:val="14"/>
                <w:szCs w:val="14"/>
                <w:color w:val="auto"/>
              </w:rPr>
              <w:t>Performance-based</w:t>
            </w:r>
          </w:p>
        </w:tc>
        <w:tc>
          <w:tcPr>
            <w:tcW w:w="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1,959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1,400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5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Trust fees</w:t>
            </w: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5,951</w:t>
            </w:r>
          </w:p>
        </w:tc>
        <w:tc>
          <w:tcPr>
            <w:tcW w:w="0" w:type="dxa"/>
            <w:vAlign w:val="bottom"/>
          </w:tcPr>
          <w:p>
            <w:pPr>
              <w:spacing w:after="0"/>
              <w:rPr>
                <w:sz w:val="1"/>
                <w:szCs w:val="1"/>
                <w:color w:val="auto"/>
              </w:rPr>
            </w:pPr>
          </w:p>
        </w:tc>
      </w:tr>
      <w:tr>
        <w:trPr>
          <w:trHeight w:val="186"/>
        </w:trPr>
        <w:tc>
          <w:tcPr>
            <w:tcW w:w="5660" w:type="dxa"/>
            <w:vAlign w:val="bottom"/>
          </w:tcPr>
          <w:p>
            <w:pPr>
              <w:ind w:left="360"/>
              <w:spacing w:after="0"/>
              <w:rPr>
                <w:sz w:val="20"/>
                <w:szCs w:val="20"/>
                <w:color w:val="auto"/>
              </w:rPr>
            </w:pPr>
            <w:r>
              <w:rPr>
                <w:rFonts w:ascii="Arial" w:cs="Arial" w:eastAsia="Arial" w:hAnsi="Arial"/>
                <w:sz w:val="14"/>
                <w:szCs w:val="14"/>
                <w:color w:val="auto"/>
              </w:rPr>
              <w:t>Trust performance-based fees</w:t>
            </w:r>
          </w:p>
        </w:tc>
        <w:tc>
          <w:tcPr>
            <w:tcW w:w="220" w:type="dxa"/>
            <w:vAlign w:val="bottom"/>
          </w:tcPr>
          <w:p>
            <w:pPr>
              <w:spacing w:after="0"/>
              <w:rPr>
                <w:sz w:val="16"/>
                <w:szCs w:val="16"/>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5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net</w:t>
            </w:r>
          </w:p>
        </w:tc>
        <w:tc>
          <w:tcPr>
            <w:tcW w:w="22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179"/>
        </w:trPr>
        <w:tc>
          <w:tcPr>
            <w:tcW w:w="566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revenues</w:t>
            </w: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18,319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17,113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16,669</w:t>
            </w:r>
          </w:p>
        </w:tc>
        <w:tc>
          <w:tcPr>
            <w:tcW w:w="0" w:type="dxa"/>
            <w:vAlign w:val="bottom"/>
          </w:tcPr>
          <w:p>
            <w:pPr>
              <w:spacing w:after="0"/>
              <w:rPr>
                <w:sz w:val="1"/>
                <w:szCs w:val="1"/>
                <w:color w:val="auto"/>
              </w:rPr>
            </w:pPr>
          </w:p>
        </w:tc>
      </w:tr>
      <w:tr>
        <w:trPr>
          <w:trHeight w:val="172"/>
        </w:trPr>
        <w:tc>
          <w:tcPr>
            <w:tcW w:w="5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Employee compensation and benefits</w:t>
            </w: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11,548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12,668</w:t>
            </w:r>
          </w:p>
        </w:tc>
        <w:tc>
          <w:tcPr>
            <w:tcW w:w="0" w:type="dxa"/>
            <w:vAlign w:val="bottom"/>
          </w:tcPr>
          <w:p>
            <w:pPr>
              <w:spacing w:after="0"/>
              <w:rPr>
                <w:sz w:val="1"/>
                <w:szCs w:val="1"/>
                <w:color w:val="auto"/>
              </w:rPr>
            </w:pPr>
          </w:p>
        </w:tc>
      </w:tr>
      <w:tr>
        <w:trPr>
          <w:trHeight w:val="186"/>
        </w:trPr>
        <w:tc>
          <w:tcPr>
            <w:tcW w:w="5660" w:type="dxa"/>
            <w:vAlign w:val="bottom"/>
          </w:tcPr>
          <w:p>
            <w:pPr>
              <w:ind w:left="360"/>
              <w:spacing w:after="0"/>
              <w:rPr>
                <w:sz w:val="20"/>
                <w:szCs w:val="20"/>
                <w:color w:val="auto"/>
              </w:rPr>
            </w:pPr>
            <w:r>
              <w:rPr>
                <w:rFonts w:ascii="Arial" w:cs="Arial" w:eastAsia="Arial" w:hAnsi="Arial"/>
                <w:sz w:val="14"/>
                <w:szCs w:val="14"/>
                <w:color w:val="auto"/>
              </w:rPr>
              <w:t>Sales and marketing</w:t>
            </w:r>
          </w:p>
        </w:tc>
        <w:tc>
          <w:tcPr>
            <w:tcW w:w="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192"/>
        </w:trPr>
        <w:tc>
          <w:tcPr>
            <w:tcW w:w="5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Westwood mutual funds</w:t>
            </w: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186"/>
        </w:trPr>
        <w:tc>
          <w:tcPr>
            <w:tcW w:w="5660" w:type="dxa"/>
            <w:vAlign w:val="bottom"/>
          </w:tcPr>
          <w:p>
            <w:pPr>
              <w:ind w:left="360"/>
              <w:spacing w:after="0"/>
              <w:rPr>
                <w:sz w:val="20"/>
                <w:szCs w:val="20"/>
                <w:color w:val="auto"/>
              </w:rPr>
            </w:pPr>
            <w:r>
              <w:rPr>
                <w:rFonts w:ascii="Arial" w:cs="Arial" w:eastAsia="Arial" w:hAnsi="Arial"/>
                <w:sz w:val="14"/>
                <w:szCs w:val="14"/>
                <w:color w:val="auto"/>
              </w:rPr>
              <w:t>Information technology</w:t>
            </w:r>
          </w:p>
        </w:tc>
        <w:tc>
          <w:tcPr>
            <w:tcW w:w="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1,992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1,892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192"/>
        </w:trPr>
        <w:tc>
          <w:tcPr>
            <w:tcW w:w="5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Professional services</w:t>
            </w: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1,193</w:t>
            </w:r>
          </w:p>
        </w:tc>
        <w:tc>
          <w:tcPr>
            <w:tcW w:w="0" w:type="dxa"/>
            <w:vAlign w:val="bottom"/>
          </w:tcPr>
          <w:p>
            <w:pPr>
              <w:spacing w:after="0"/>
              <w:rPr>
                <w:sz w:val="1"/>
                <w:szCs w:val="1"/>
                <w:color w:val="auto"/>
              </w:rPr>
            </w:pPr>
          </w:p>
        </w:tc>
      </w:tr>
      <w:tr>
        <w:trPr>
          <w:trHeight w:val="186"/>
        </w:trPr>
        <w:tc>
          <w:tcPr>
            <w:tcW w:w="5660" w:type="dxa"/>
            <w:vAlign w:val="bottom"/>
          </w:tcPr>
          <w:p>
            <w:pPr>
              <w:ind w:left="360"/>
              <w:spacing w:after="0"/>
              <w:rPr>
                <w:sz w:val="20"/>
                <w:szCs w:val="20"/>
                <w:color w:val="auto"/>
              </w:rPr>
            </w:pPr>
            <w:r>
              <w:rPr>
                <w:rFonts w:ascii="Arial" w:cs="Arial" w:eastAsia="Arial" w:hAnsi="Arial"/>
                <w:sz w:val="14"/>
                <w:szCs w:val="14"/>
                <w:color w:val="auto"/>
              </w:rPr>
              <w:t>General and administrative</w:t>
            </w:r>
          </w:p>
        </w:tc>
        <w:tc>
          <w:tcPr>
            <w:tcW w:w="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2,072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2,111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2,306</w:t>
            </w:r>
          </w:p>
        </w:tc>
        <w:tc>
          <w:tcPr>
            <w:tcW w:w="0" w:type="dxa"/>
            <w:vAlign w:val="bottom"/>
          </w:tcPr>
          <w:p>
            <w:pPr>
              <w:spacing w:after="0"/>
              <w:rPr>
                <w:sz w:val="1"/>
                <w:szCs w:val="1"/>
                <w:color w:val="auto"/>
              </w:rPr>
            </w:pPr>
          </w:p>
        </w:tc>
      </w:tr>
      <w:tr>
        <w:trPr>
          <w:trHeight w:val="192"/>
        </w:trPr>
        <w:tc>
          <w:tcPr>
            <w:tcW w:w="5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(Gain) loss on foreign currency transactions</w:t>
            </w:r>
          </w:p>
        </w:tc>
        <w:tc>
          <w:tcPr>
            <w:tcW w:w="22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(2,938)</w:t>
            </w:r>
          </w:p>
        </w:tc>
        <w:tc>
          <w:tcPr>
            <w:tcW w:w="0" w:type="dxa"/>
            <w:vAlign w:val="bottom"/>
          </w:tcPr>
          <w:p>
            <w:pPr>
              <w:spacing w:after="0"/>
              <w:rPr>
                <w:sz w:val="1"/>
                <w:szCs w:val="1"/>
                <w:color w:val="auto"/>
              </w:rPr>
            </w:pPr>
          </w:p>
        </w:tc>
      </w:tr>
      <w:tr>
        <w:trPr>
          <w:trHeight w:val="179"/>
        </w:trPr>
        <w:tc>
          <w:tcPr>
            <w:tcW w:w="566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expenses</w:t>
            </w:r>
          </w:p>
        </w:tc>
        <w:tc>
          <w:tcPr>
            <w:tcW w:w="220" w:type="dxa"/>
            <w:vAlign w:val="bottom"/>
            <w:tcBorders>
              <w:top w:val="single" w:sz="8" w:color="auto"/>
              <w:bottom w:val="single" w:sz="8" w:color="auto"/>
            </w:tcBorders>
          </w:tcPr>
          <w:p>
            <w:pPr>
              <w:spacing w:after="0"/>
              <w:rPr>
                <w:sz w:val="15"/>
                <w:szCs w:val="15"/>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17,550</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14,799</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16,253</w:t>
            </w:r>
          </w:p>
        </w:tc>
        <w:tc>
          <w:tcPr>
            <w:tcW w:w="0" w:type="dxa"/>
            <w:vAlign w:val="bottom"/>
          </w:tcPr>
          <w:p>
            <w:pPr>
              <w:spacing w:after="0"/>
              <w:rPr>
                <w:sz w:val="1"/>
                <w:szCs w:val="1"/>
                <w:color w:val="auto"/>
              </w:rPr>
            </w:pPr>
          </w:p>
        </w:tc>
      </w:tr>
      <w:tr>
        <w:trPr>
          <w:trHeight w:val="186"/>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operating income</w:t>
            </w:r>
          </w:p>
        </w:tc>
        <w:tc>
          <w:tcPr>
            <w:tcW w:w="22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769</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179"/>
        </w:trPr>
        <w:tc>
          <w:tcPr>
            <w:tcW w:w="5660" w:type="dxa"/>
            <w:vAlign w:val="bottom"/>
          </w:tcPr>
          <w:p>
            <w:pPr>
              <w:ind w:left="360"/>
              <w:spacing w:after="0"/>
              <w:rPr>
                <w:sz w:val="20"/>
                <w:szCs w:val="20"/>
                <w:color w:val="auto"/>
              </w:rPr>
            </w:pPr>
            <w:r>
              <w:rPr>
                <w:rFonts w:ascii="Arial" w:cs="Arial" w:eastAsia="Arial" w:hAnsi="Arial"/>
                <w:sz w:val="14"/>
                <w:szCs w:val="14"/>
                <w:color w:val="auto"/>
              </w:rPr>
              <w:t>Realized gains on private investments</w:t>
            </w:r>
          </w:p>
        </w:tc>
        <w:tc>
          <w:tcPr>
            <w:tcW w:w="22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8,325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5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change in unrealized appreciation (depreciation) on private investments</w:t>
            </w: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w:t>
            </w:r>
          </w:p>
        </w:tc>
        <w:tc>
          <w:tcPr>
            <w:tcW w:w="0" w:type="dxa"/>
            <w:vAlign w:val="bottom"/>
          </w:tcPr>
          <w:p>
            <w:pPr>
              <w:spacing w:after="0"/>
              <w:rPr>
                <w:sz w:val="1"/>
                <w:szCs w:val="1"/>
                <w:color w:val="auto"/>
              </w:rPr>
            </w:pPr>
          </w:p>
        </w:tc>
      </w:tr>
      <w:tr>
        <w:trPr>
          <w:trHeight w:val="186"/>
        </w:trPr>
        <w:tc>
          <w:tcPr>
            <w:tcW w:w="5660" w:type="dxa"/>
            <w:vAlign w:val="bottom"/>
          </w:tcPr>
          <w:p>
            <w:pPr>
              <w:ind w:left="360"/>
              <w:spacing w:after="0"/>
              <w:rPr>
                <w:sz w:val="20"/>
                <w:szCs w:val="20"/>
                <w:color w:val="auto"/>
              </w:rPr>
            </w:pPr>
            <w:r>
              <w:rPr>
                <w:rFonts w:ascii="Arial" w:cs="Arial" w:eastAsia="Arial" w:hAnsi="Arial"/>
                <w:sz w:val="14"/>
                <w:szCs w:val="14"/>
                <w:color w:val="auto"/>
              </w:rPr>
              <w:t>Investment income</w:t>
            </w:r>
          </w:p>
        </w:tc>
        <w:tc>
          <w:tcPr>
            <w:tcW w:w="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544</w:t>
            </w:r>
          </w:p>
        </w:tc>
        <w:tc>
          <w:tcPr>
            <w:tcW w:w="0" w:type="dxa"/>
            <w:vAlign w:val="bottom"/>
          </w:tcPr>
          <w:p>
            <w:pPr>
              <w:spacing w:after="0"/>
              <w:rPr>
                <w:sz w:val="1"/>
                <w:szCs w:val="1"/>
                <w:color w:val="auto"/>
              </w:rPr>
            </w:pPr>
          </w:p>
        </w:tc>
      </w:tr>
      <w:tr>
        <w:trPr>
          <w:trHeight w:val="192"/>
        </w:trPr>
        <w:tc>
          <w:tcPr>
            <w:tcW w:w="5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income</w:t>
            </w: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35"/>
        </w:trPr>
        <w:tc>
          <w:tcPr>
            <w:tcW w:w="5660" w:type="dxa"/>
            <w:vAlign w:val="bottom"/>
          </w:tcPr>
          <w:p>
            <w:pPr>
              <w:ind w:left="360"/>
              <w:spacing w:after="0" w:line="135" w:lineRule="exact"/>
              <w:rPr>
                <w:sz w:val="20"/>
                <w:szCs w:val="20"/>
                <w:color w:val="auto"/>
              </w:rPr>
            </w:pPr>
            <w:r>
              <w:rPr>
                <w:rFonts w:ascii="Arial" w:cs="Arial" w:eastAsia="Arial" w:hAnsi="Arial"/>
                <w:sz w:val="14"/>
                <w:szCs w:val="14"/>
                <w:color w:val="auto"/>
                <w:w w:val="95"/>
              </w:rPr>
              <w:t>Foreign currency translation adjustments to net income (loss) upon liquidation of a foreign</w:t>
            </w:r>
          </w:p>
        </w:tc>
        <w:tc>
          <w:tcPr>
            <w:tcW w:w="220" w:type="dxa"/>
            <w:vAlign w:val="bottom"/>
          </w:tcPr>
          <w:p>
            <w:pPr>
              <w:spacing w:after="0"/>
              <w:rPr>
                <w:sz w:val="11"/>
                <w:szCs w:val="11"/>
                <w:color w:val="auto"/>
              </w:rPr>
            </w:pPr>
          </w:p>
        </w:tc>
        <w:tc>
          <w:tcPr>
            <w:tcW w:w="1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68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660" w:type="dxa"/>
            <w:vAlign w:val="bottom"/>
          </w:tcPr>
          <w:p>
            <w:pPr>
              <w:ind w:left="360"/>
              <w:spacing w:after="0"/>
              <w:rPr>
                <w:sz w:val="20"/>
                <w:szCs w:val="20"/>
                <w:color w:val="auto"/>
              </w:rPr>
            </w:pPr>
            <w:r>
              <w:rPr>
                <w:rFonts w:ascii="Arial" w:cs="Arial" w:eastAsia="Arial" w:hAnsi="Arial"/>
                <w:sz w:val="14"/>
                <w:szCs w:val="14"/>
                <w:color w:val="auto"/>
              </w:rPr>
              <w:t>subsidiary</w:t>
            </w:r>
          </w:p>
        </w:tc>
        <w:tc>
          <w:tcPr>
            <w:tcW w:w="22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7,014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2,548</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9"/>
        </w:trPr>
        <w:tc>
          <w:tcPr>
            <w:tcW w:w="56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Income tax expense (benefit)</w:t>
            </w: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(1,103)</w:t>
            </w:r>
          </w:p>
        </w:tc>
        <w:tc>
          <w:tcPr>
            <w:tcW w:w="0" w:type="dxa"/>
            <w:vAlign w:val="bottom"/>
          </w:tcPr>
          <w:p>
            <w:pPr>
              <w:spacing w:after="0"/>
              <w:rPr>
                <w:sz w:val="1"/>
                <w:szCs w:val="1"/>
                <w:color w:val="auto"/>
              </w:rPr>
            </w:pPr>
          </w:p>
        </w:tc>
      </w:tr>
      <w:tr>
        <w:trPr>
          <w:trHeight w:val="20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4,101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1,102</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Other comprehensive income (loss):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56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Foreign currency translation adjustments</w:t>
            </w:r>
          </w:p>
        </w:tc>
        <w:tc>
          <w:tcPr>
            <w:tcW w:w="22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(3,242)</w:t>
            </w:r>
          </w:p>
        </w:tc>
        <w:tc>
          <w:tcPr>
            <w:tcW w:w="0" w:type="dxa"/>
            <w:vAlign w:val="bottom"/>
          </w:tcPr>
          <w:p>
            <w:pPr>
              <w:spacing w:after="0"/>
              <w:rPr>
                <w:sz w:val="1"/>
                <w:szCs w:val="1"/>
                <w:color w:val="auto"/>
              </w:rPr>
            </w:pPr>
          </w:p>
        </w:tc>
      </w:tr>
      <w:tr>
        <w:trPr>
          <w:trHeight w:val="135"/>
        </w:trPr>
        <w:tc>
          <w:tcPr>
            <w:tcW w:w="5660" w:type="dxa"/>
            <w:vAlign w:val="bottom"/>
          </w:tcPr>
          <w:p>
            <w:pPr>
              <w:ind w:left="360"/>
              <w:spacing w:after="0" w:line="135" w:lineRule="exact"/>
              <w:rPr>
                <w:sz w:val="20"/>
                <w:szCs w:val="20"/>
                <w:color w:val="auto"/>
              </w:rPr>
            </w:pPr>
            <w:r>
              <w:rPr>
                <w:rFonts w:ascii="Arial" w:cs="Arial" w:eastAsia="Arial" w:hAnsi="Arial"/>
                <w:sz w:val="14"/>
                <w:szCs w:val="14"/>
                <w:color w:val="auto"/>
                <w:w w:val="94"/>
              </w:rPr>
              <w:t>Reclassification of cumulative foreign currency translation adjustments to net income upon</w:t>
            </w:r>
          </w:p>
        </w:tc>
        <w:tc>
          <w:tcPr>
            <w:tcW w:w="220" w:type="dxa"/>
            <w:vAlign w:val="bottom"/>
          </w:tcPr>
          <w:p>
            <w:pPr>
              <w:spacing w:after="0"/>
              <w:rPr>
                <w:sz w:val="11"/>
                <w:szCs w:val="11"/>
                <w:color w:val="auto"/>
              </w:rPr>
            </w:pPr>
          </w:p>
        </w:tc>
        <w:tc>
          <w:tcPr>
            <w:tcW w:w="1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68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660" w:type="dxa"/>
            <w:vAlign w:val="bottom"/>
          </w:tcPr>
          <w:p>
            <w:pPr>
              <w:ind w:left="360"/>
              <w:spacing w:after="0"/>
              <w:rPr>
                <w:sz w:val="20"/>
                <w:szCs w:val="20"/>
                <w:color w:val="auto"/>
              </w:rPr>
            </w:pPr>
            <w:r>
              <w:rPr>
                <w:rFonts w:ascii="Arial" w:cs="Arial" w:eastAsia="Arial" w:hAnsi="Arial"/>
                <w:sz w:val="14"/>
                <w:szCs w:val="14"/>
                <w:color w:val="auto"/>
              </w:rPr>
              <w:t>liquidation of a foreign subsidiary</w:t>
            </w:r>
          </w:p>
        </w:tc>
        <w:tc>
          <w:tcPr>
            <w:tcW w:w="22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comprehensive income (loss)</w:t>
            </w: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(2,140)</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Earnings per share:</w:t>
            </w: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660" w:type="dxa"/>
            <w:vAlign w:val="bottom"/>
          </w:tcPr>
          <w:p>
            <w:pPr>
              <w:ind w:left="360"/>
              <w:spacing w:after="0"/>
              <w:rPr>
                <w:sz w:val="20"/>
                <w:szCs w:val="20"/>
                <w:color w:val="auto"/>
              </w:rPr>
            </w:pPr>
            <w:r>
              <w:rPr>
                <w:rFonts w:ascii="Arial" w:cs="Arial" w:eastAsia="Arial" w:hAnsi="Arial"/>
                <w:sz w:val="14"/>
                <w:szCs w:val="14"/>
                <w:color w:val="auto"/>
              </w:rPr>
              <w:t>Basic</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0.52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0.36</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192"/>
        </w:trPr>
        <w:tc>
          <w:tcPr>
            <w:tcW w:w="5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Diluted</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94"/>
        </w:trPr>
        <w:tc>
          <w:tcPr>
            <w:tcW w:w="5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Weighted average shares outstanding:</w:t>
            </w: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660" w:type="dxa"/>
            <w:vAlign w:val="bottom"/>
          </w:tcPr>
          <w:p>
            <w:pPr>
              <w:ind w:left="360"/>
              <w:spacing w:after="0"/>
              <w:rPr>
                <w:sz w:val="20"/>
                <w:szCs w:val="20"/>
                <w:color w:val="auto"/>
              </w:rPr>
            </w:pPr>
            <w:r>
              <w:rPr>
                <w:rFonts w:ascii="Arial" w:cs="Arial" w:eastAsia="Arial" w:hAnsi="Arial"/>
                <w:sz w:val="14"/>
                <w:szCs w:val="14"/>
                <w:color w:val="auto"/>
              </w:rPr>
              <w:t>Basic</w:t>
            </w:r>
          </w:p>
        </w:tc>
        <w:tc>
          <w:tcPr>
            <w:tcW w:w="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7,887,044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7,830,115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8,414,393</w:t>
            </w:r>
          </w:p>
        </w:tc>
        <w:tc>
          <w:tcPr>
            <w:tcW w:w="0" w:type="dxa"/>
            <w:vAlign w:val="bottom"/>
          </w:tcPr>
          <w:p>
            <w:pPr>
              <w:spacing w:after="0"/>
              <w:rPr>
                <w:sz w:val="1"/>
                <w:szCs w:val="1"/>
                <w:color w:val="auto"/>
              </w:rPr>
            </w:pPr>
          </w:p>
        </w:tc>
      </w:tr>
      <w:tr>
        <w:trPr>
          <w:trHeight w:val="192"/>
        </w:trPr>
        <w:tc>
          <w:tcPr>
            <w:tcW w:w="5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Diluted</w:t>
            </w: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7,917,390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7,838,504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8,458,473</w:t>
            </w:r>
          </w:p>
        </w:tc>
        <w:tc>
          <w:tcPr>
            <w:tcW w:w="0" w:type="dxa"/>
            <w:vAlign w:val="bottom"/>
          </w:tcPr>
          <w:p>
            <w:pPr>
              <w:spacing w:after="0"/>
              <w:rPr>
                <w:sz w:val="1"/>
                <w:szCs w:val="1"/>
                <w:color w:val="auto"/>
              </w:rPr>
            </w:pPr>
          </w:p>
        </w:tc>
      </w:tr>
      <w:tr>
        <w:trPr>
          <w:trHeight w:val="95"/>
        </w:trPr>
        <w:tc>
          <w:tcPr>
            <w:tcW w:w="5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Economic Earnings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4,200</w:t>
            </w:r>
          </w:p>
        </w:tc>
        <w:tc>
          <w:tcPr>
            <w:tcW w:w="0" w:type="dxa"/>
            <w:vAlign w:val="bottom"/>
          </w:tcPr>
          <w:p>
            <w:pPr>
              <w:spacing w:after="0"/>
              <w:rPr>
                <w:sz w:val="1"/>
                <w:szCs w:val="1"/>
                <w:color w:val="auto"/>
              </w:rPr>
            </w:pP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Economic EPS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0.79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0.58</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0.50</w:t>
            </w:r>
          </w:p>
        </w:tc>
        <w:tc>
          <w:tcPr>
            <w:tcW w:w="0" w:type="dxa"/>
            <w:vAlign w:val="bottom"/>
          </w:tcPr>
          <w:p>
            <w:pPr>
              <w:spacing w:after="0"/>
              <w:rPr>
                <w:sz w:val="1"/>
                <w:szCs w:val="1"/>
                <w:color w:val="auto"/>
              </w:rPr>
            </w:pPr>
          </w:p>
        </w:tc>
      </w:tr>
      <w:tr>
        <w:trPr>
          <w:trHeight w:val="98"/>
        </w:trPr>
        <w:tc>
          <w:tcPr>
            <w:tcW w:w="56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5660" w:type="dxa"/>
            <w:vAlign w:val="bottom"/>
          </w:tcPr>
          <w:p>
            <w:pPr>
              <w:ind w:left="20"/>
              <w:spacing w:after="0"/>
              <w:rPr>
                <w:sz w:val="20"/>
                <w:szCs w:val="20"/>
                <w:color w:val="auto"/>
              </w:rPr>
            </w:pPr>
            <w:r>
              <w:rPr>
                <w:rFonts w:ascii="Arial" w:cs="Arial" w:eastAsia="Arial" w:hAnsi="Arial"/>
                <w:sz w:val="14"/>
                <w:szCs w:val="14"/>
                <w:color w:val="auto"/>
              </w:rPr>
              <w:t>Dividends declared per share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0.00</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0.43</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5" w:right="339" w:bottom="1440" w:gutter="0" w:footer="0" w:header="0"/>
        </w:sectPr>
      </w:pPr>
    </w:p>
    <w:bookmarkStart w:id="7" w:name="page8"/>
    <w:bookmarkEnd w:id="7"/>
    <w:p>
      <w:pPr>
        <w:ind w:right="5200"/>
        <w:spacing w:after="0" w:line="261" w:lineRule="auto"/>
        <w:rPr>
          <w:sz w:val="20"/>
          <w:szCs w:val="20"/>
          <w:color w:val="auto"/>
        </w:rPr>
      </w:pPr>
      <w:r>
        <w:rPr>
          <w:rFonts w:ascii="Arial" w:cs="Arial" w:eastAsia="Arial" w:hAnsi="Arial"/>
          <w:sz w:val="21"/>
          <w:szCs w:val="21"/>
          <w:b w:val="1"/>
          <w:bCs w:val="1"/>
          <w:color w:val="auto"/>
        </w:rPr>
        <w:t>WESTWOOD HOLDINGS GROUP, INC. AND SUBSIDIARIES CONDENSED CONSOLIDATED BALANCE SHEETS</w:t>
      </w:r>
    </w:p>
    <w:p>
      <w:pPr>
        <w:spacing w:after="0"/>
        <w:rPr>
          <w:sz w:val="20"/>
          <w:szCs w:val="20"/>
          <w:color w:val="auto"/>
        </w:rPr>
      </w:pPr>
      <w:r>
        <w:rPr>
          <w:rFonts w:ascii="Arial" w:cs="Arial" w:eastAsia="Arial" w:hAnsi="Arial"/>
          <w:sz w:val="20"/>
          <w:szCs w:val="20"/>
          <w:b w:val="1"/>
          <w:bCs w:val="1"/>
          <w:color w:val="auto"/>
        </w:rPr>
        <w:t>(in thousands, except par value and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2021</w:t>
            </w:r>
          </w:p>
        </w:tc>
        <w:tc>
          <w:tcPr>
            <w:tcW w:w="160" w:type="dxa"/>
            <w:vAlign w:val="bottom"/>
          </w:tcPr>
          <w:p>
            <w:pPr>
              <w:spacing w:after="0"/>
              <w:rPr>
                <w:sz w:val="18"/>
                <w:szCs w:val="18"/>
                <w:color w:val="auto"/>
              </w:rPr>
            </w:pPr>
          </w:p>
        </w:tc>
        <w:tc>
          <w:tcPr>
            <w:tcW w:w="1560" w:type="dxa"/>
            <w:vAlign w:val="bottom"/>
          </w:tcPr>
          <w:p>
            <w:pPr>
              <w:jc w:val="right"/>
              <w:ind w:right="110"/>
              <w:spacing w:after="0"/>
              <w:rPr>
                <w:sz w:val="20"/>
                <w:szCs w:val="20"/>
                <w:color w:val="auto"/>
              </w:rPr>
            </w:pPr>
            <w:r>
              <w:rPr>
                <w:rFonts w:ascii="Arial" w:cs="Arial" w:eastAsia="Arial" w:hAnsi="Arial"/>
                <w:sz w:val="16"/>
                <w:szCs w:val="16"/>
                <w:b w:val="1"/>
                <w:bCs w:val="1"/>
                <w:color w:val="auto"/>
                <w:w w:val="92"/>
              </w:rPr>
              <w:t>December 31, 2020</w:t>
            </w:r>
          </w:p>
        </w:tc>
        <w:tc>
          <w:tcPr>
            <w:tcW w:w="0" w:type="dxa"/>
            <w:vAlign w:val="bottom"/>
          </w:tcPr>
          <w:p>
            <w:pPr>
              <w:spacing w:after="0"/>
              <w:rPr>
                <w:sz w:val="1"/>
                <w:szCs w:val="1"/>
                <w:color w:val="auto"/>
              </w:rPr>
            </w:pPr>
          </w:p>
        </w:tc>
      </w:tr>
      <w:tr>
        <w:trPr>
          <w:trHeight w:val="213"/>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13,016</w:t>
            </w:r>
          </w:p>
        </w:tc>
        <w:tc>
          <w:tcPr>
            <w:tcW w:w="0" w:type="dxa"/>
            <w:vAlign w:val="bottom"/>
          </w:tcPr>
          <w:p>
            <w:pPr>
              <w:spacing w:after="0"/>
              <w:rPr>
                <w:sz w:val="1"/>
                <w:szCs w:val="1"/>
                <w:color w:val="auto"/>
              </w:rPr>
            </w:pPr>
          </w:p>
        </w:tc>
      </w:tr>
      <w:tr>
        <w:trPr>
          <w:trHeight w:val="230"/>
        </w:trPr>
        <w:tc>
          <w:tcPr>
            <w:tcW w:w="748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11,744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9,450</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 at fair value</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69,542</w:t>
            </w:r>
          </w:p>
        </w:tc>
        <w:tc>
          <w:tcPr>
            <w:tcW w:w="0" w:type="dxa"/>
            <w:vAlign w:val="bottom"/>
          </w:tcPr>
          <w:p>
            <w:pPr>
              <w:spacing w:after="0"/>
              <w:rPr>
                <w:sz w:val="1"/>
                <w:szCs w:val="1"/>
                <w:color w:val="auto"/>
              </w:rPr>
            </w:pPr>
          </w:p>
        </w:tc>
      </w:tr>
      <w:tr>
        <w:trPr>
          <w:trHeight w:val="230"/>
        </w:trPr>
        <w:tc>
          <w:tcPr>
            <w:tcW w:w="7480" w:type="dxa"/>
            <w:vAlign w:val="bottom"/>
          </w:tcPr>
          <w:p>
            <w:pPr>
              <w:ind w:left="360"/>
              <w:spacing w:after="0"/>
              <w:rPr>
                <w:sz w:val="20"/>
                <w:szCs w:val="20"/>
                <w:color w:val="auto"/>
              </w:rPr>
            </w:pPr>
            <w:r>
              <w:rPr>
                <w:rFonts w:ascii="Arial" w:cs="Arial" w:eastAsia="Arial" w:hAnsi="Arial"/>
                <w:sz w:val="18"/>
                <w:szCs w:val="18"/>
                <w:color w:val="auto"/>
              </w:rPr>
              <w:t>Prepaid income taxes</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23"/>
        </w:trPr>
        <w:tc>
          <w:tcPr>
            <w:tcW w:w="748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101,537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96,314</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8,154</w:t>
            </w: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Noncurrent investments at fair value</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3,981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3,527</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16,401</w:t>
            </w: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6,103</w:t>
            </w: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13,129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13,535</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 of accumulated depreciation of $8,099 and $8,056</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assets</w:t>
            </w: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long-term assets</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48,127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52,838</w:t>
            </w:r>
          </w:p>
        </w:tc>
        <w:tc>
          <w:tcPr>
            <w:tcW w:w="0" w:type="dxa"/>
            <w:vAlign w:val="bottom"/>
          </w:tcPr>
          <w:p>
            <w:pPr>
              <w:spacing w:after="0"/>
              <w:rPr>
                <w:sz w:val="1"/>
                <w:szCs w:val="1"/>
                <w:color w:val="auto"/>
              </w:rPr>
            </w:pPr>
          </w:p>
        </w:tc>
      </w:tr>
      <w:tr>
        <w:trPr>
          <w:trHeight w:val="223"/>
        </w:trPr>
        <w:tc>
          <w:tcPr>
            <w:tcW w:w="7480" w:type="dxa"/>
            <w:vAlign w:val="bottom"/>
          </w:tcPr>
          <w:p>
            <w:pPr>
              <w:ind w:left="68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149,664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149,152</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29"/>
        </w:trPr>
        <w:tc>
          <w:tcPr>
            <w:tcW w:w="7480" w:type="dxa"/>
            <w:vAlign w:val="bottom"/>
          </w:tcPr>
          <w:p>
            <w:pPr>
              <w:ind w:left="360"/>
              <w:spacing w:after="0"/>
              <w:rPr>
                <w:sz w:val="20"/>
                <w:szCs w:val="20"/>
                <w:color w:val="auto"/>
              </w:rPr>
            </w:pPr>
            <w:r>
              <w:rPr>
                <w:rFonts w:ascii="Arial" w:cs="Arial" w:eastAsia="Arial" w:hAnsi="Arial"/>
                <w:sz w:val="18"/>
                <w:szCs w:val="18"/>
                <w:color w:val="auto"/>
              </w:rPr>
              <w:t>Dividends payable</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 payable</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7,448</w:t>
            </w:r>
          </w:p>
        </w:tc>
        <w:tc>
          <w:tcPr>
            <w:tcW w:w="0" w:type="dxa"/>
            <w:vAlign w:val="bottom"/>
          </w:tcPr>
          <w:p>
            <w:pPr>
              <w:spacing w:after="0"/>
              <w:rPr>
                <w:sz w:val="1"/>
                <w:szCs w:val="1"/>
                <w:color w:val="auto"/>
              </w:rPr>
            </w:pPr>
          </w:p>
        </w:tc>
      </w:tr>
      <w:tr>
        <w:trPr>
          <w:trHeight w:val="230"/>
        </w:trPr>
        <w:tc>
          <w:tcPr>
            <w:tcW w:w="748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stock repurchases</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taxes payable</w:t>
            </w: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11,794</w:t>
            </w: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Accrued dividends</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w:t>
            </w:r>
          </w:p>
        </w:tc>
        <w:tc>
          <w:tcPr>
            <w:tcW w:w="0" w:type="dxa"/>
            <w:vAlign w:val="bottom"/>
          </w:tcPr>
          <w:p>
            <w:pPr>
              <w:spacing w:after="0"/>
              <w:rPr>
                <w:sz w:val="1"/>
                <w:szCs w:val="1"/>
                <w:color w:val="auto"/>
              </w:rPr>
            </w:pPr>
          </w:p>
        </w:tc>
      </w:tr>
      <w:tr>
        <w:trPr>
          <w:trHeight w:val="223"/>
        </w:trPr>
        <w:tc>
          <w:tcPr>
            <w:tcW w:w="74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long-term liabilities</w:t>
            </w: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6,647</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18,441</w:t>
            </w:r>
          </w:p>
        </w:tc>
        <w:tc>
          <w:tcPr>
            <w:tcW w:w="0" w:type="dxa"/>
            <w:vAlign w:val="bottom"/>
          </w:tcPr>
          <w:p>
            <w:pPr>
              <w:spacing w:after="0"/>
              <w:rPr>
                <w:sz w:val="1"/>
                <w:szCs w:val="1"/>
                <w:color w:val="auto"/>
              </w:rPr>
            </w:pPr>
          </w:p>
        </w:tc>
      </w:tr>
      <w:tr>
        <w:trPr>
          <w:trHeight w:val="210"/>
        </w:trPr>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4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Common stock, $0.01 par value, authorized 25,000,000 shares, issued 10,630,452 and outstanding</w:t>
            </w:r>
          </w:p>
        </w:tc>
        <w:tc>
          <w:tcPr>
            <w:tcW w:w="2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5"/>
              </w:rPr>
              <w:t>8,313,003 shares at March 31, 2021; issued 10,500,549 and outstanding 8,326,948 shares at</w:t>
            </w:r>
          </w:p>
        </w:tc>
        <w:tc>
          <w:tcPr>
            <w:tcW w:w="260" w:type="dxa"/>
            <w:vAlign w:val="bottom"/>
            <w:shd w:val="clear" w:color="auto" w:fill="CCEEFF"/>
          </w:tcPr>
          <w:p>
            <w:pPr>
              <w:spacing w:after="0"/>
              <w:rPr>
                <w:sz w:val="15"/>
                <w:szCs w:val="15"/>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31, 2020</w:t>
            </w:r>
          </w:p>
        </w:tc>
        <w:tc>
          <w:tcPr>
            <w:tcW w:w="260" w:type="dxa"/>
            <w:vAlign w:val="bottom"/>
            <w:shd w:val="clear" w:color="auto" w:fill="CCEEFF"/>
          </w:tcPr>
          <w:p>
            <w:pPr>
              <w:spacing w:after="0"/>
              <w:rPr>
                <w:sz w:val="19"/>
                <w:szCs w:val="19"/>
                <w:color w:val="auto"/>
              </w:rPr>
            </w:pPr>
          </w:p>
        </w:tc>
        <w:tc>
          <w:tcPr>
            <w:tcW w:w="1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211,988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210,268</w:t>
            </w:r>
          </w:p>
        </w:tc>
        <w:tc>
          <w:tcPr>
            <w:tcW w:w="0" w:type="dxa"/>
            <w:vAlign w:val="bottom"/>
          </w:tcPr>
          <w:p>
            <w:pPr>
              <w:spacing w:after="0"/>
              <w:rPr>
                <w:sz w:val="1"/>
                <w:szCs w:val="1"/>
                <w:color w:val="auto"/>
              </w:rPr>
            </w:pPr>
          </w:p>
        </w:tc>
      </w:tr>
      <w:tr>
        <w:trPr>
          <w:trHeight w:val="175"/>
        </w:trPr>
        <w:tc>
          <w:tcPr>
            <w:tcW w:w="74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4"/>
              </w:rPr>
              <w:t>Treasury stock, at cost - 2,317,449 shares at March 31, 2021; 2,173,559 shares at December 31,</w:t>
            </w:r>
          </w:p>
        </w:tc>
        <w:tc>
          <w:tcPr>
            <w:tcW w:w="260" w:type="dxa"/>
            <w:vAlign w:val="bottom"/>
            <w:shd w:val="clear" w:color="auto" w:fill="CCEEFF"/>
          </w:tcPr>
          <w:p>
            <w:pPr>
              <w:spacing w:after="0"/>
              <w:rPr>
                <w:sz w:val="15"/>
                <w:szCs w:val="15"/>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(80,255)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(77,967)</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2020</w:t>
            </w:r>
          </w:p>
        </w:tc>
        <w:tc>
          <w:tcPr>
            <w:tcW w:w="260" w:type="dxa"/>
            <w:vAlign w:val="bottom"/>
            <w:shd w:val="clear" w:color="auto" w:fill="CCEEFF"/>
          </w:tcPr>
          <w:p>
            <w:pPr>
              <w:spacing w:after="0"/>
              <w:rPr>
                <w:sz w:val="19"/>
                <w:szCs w:val="19"/>
                <w:color w:val="auto"/>
              </w:rPr>
            </w:pPr>
          </w:p>
        </w:tc>
        <w:tc>
          <w:tcPr>
            <w:tcW w:w="1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Retained earnings (accumulated deficit)</w:t>
            </w: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133,445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130,711</w:t>
            </w:r>
          </w:p>
        </w:tc>
        <w:tc>
          <w:tcPr>
            <w:tcW w:w="0" w:type="dxa"/>
            <w:vAlign w:val="bottom"/>
          </w:tcPr>
          <w:p>
            <w:pPr>
              <w:spacing w:after="0"/>
              <w:rPr>
                <w:sz w:val="1"/>
                <w:szCs w:val="1"/>
                <w:color w:val="auto"/>
              </w:rPr>
            </w:pPr>
          </w:p>
        </w:tc>
      </w:tr>
      <w:tr>
        <w:trPr>
          <w:trHeight w:val="223"/>
        </w:trPr>
        <w:tc>
          <w:tcPr>
            <w:tcW w:w="7480" w:type="dxa"/>
            <w:vAlign w:val="bottom"/>
          </w:tcPr>
          <w:p>
            <w:pPr>
              <w:ind w:left="680"/>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149,664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149,152</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38"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rPr>
          <w:sz w:val="20"/>
          <w:szCs w:val="20"/>
          <w:color w:val="auto"/>
        </w:rPr>
      </w:pPr>
      <w:r>
        <w:rPr>
          <w:rFonts w:ascii="Arial" w:cs="Arial" w:eastAsia="Arial" w:hAnsi="Arial"/>
          <w:sz w:val="20"/>
          <w:szCs w:val="20"/>
          <w:b w:val="1"/>
          <w:bCs w:val="1"/>
          <w:color w:val="auto"/>
        </w:rPr>
        <w:t>(in thousands)</w:t>
      </w:r>
    </w:p>
    <w:p>
      <w:pPr>
        <w:spacing w:after="0"/>
        <w:rPr>
          <w:sz w:val="20"/>
          <w:szCs w:val="20"/>
          <w:color w:val="auto"/>
        </w:rPr>
      </w:pPr>
      <w:r>
        <w:rPr>
          <w:rFonts w:ascii="Arial" w:cs="Arial" w:eastAsia="Arial" w:hAnsi="Arial"/>
          <w:sz w:val="20"/>
          <w:szCs w:val="20"/>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0" w:type="dxa"/>
            <w:vAlign w:val="bottom"/>
          </w:tcPr>
          <w:p>
            <w:pPr>
              <w:spacing w:after="0"/>
              <w:rPr>
                <w:sz w:val="18"/>
                <w:szCs w:val="18"/>
                <w:color w:val="auto"/>
              </w:rPr>
            </w:pPr>
          </w:p>
        </w:tc>
        <w:tc>
          <w:tcPr>
            <w:tcW w:w="3240" w:type="dxa"/>
            <w:vAlign w:val="bottom"/>
            <w:tcBorders>
              <w:bottom w:val="single" w:sz="8" w:color="auto"/>
            </w:tcBorders>
            <w:gridSpan w:val="5"/>
          </w:tcPr>
          <w:p>
            <w:pPr>
              <w:jc w:val="right"/>
              <w:ind w:right="419"/>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0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r>
      <w:tr>
        <w:trPr>
          <w:trHeight w:val="19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800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4,101</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1,102</w:t>
            </w:r>
          </w:p>
        </w:tc>
      </w:tr>
      <w:tr>
        <w:trPr>
          <w:trHeight w:val="219"/>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to net cash (used in) provided by operating activities: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Depreciation</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233</w:t>
            </w: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intangible assets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Net change in unrealized (appreciation) depreciation on investments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2,432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1,133</w:t>
            </w: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Realized gains on private investments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Stock-based compensation expense</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2,616</w:t>
            </w: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income taxes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(1,643)</w:t>
            </w: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Non-cash lease expense</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305</w:t>
            </w: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Gain on asset disposition</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00" w:type="dxa"/>
            <w:vAlign w:val="bottom"/>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(purchases) sales of trading securities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12,916</w:t>
            </w: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Accounts receivable</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(2,295)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1,844</w:t>
            </w: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current assets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Accounts payable and accrued liabilities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803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(469)</w:t>
            </w: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Compensation and benefits payable</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(7,356)</w:t>
            </w: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Income taxes payable</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3,630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475</w:t>
            </w: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liabilities</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w:t>
            </w:r>
          </w:p>
        </w:tc>
      </w:tr>
      <w:tr>
        <w:trPr>
          <w:trHeight w:val="206"/>
        </w:trPr>
        <w:tc>
          <w:tcPr>
            <w:tcW w:w="8000" w:type="dxa"/>
            <w:vAlign w:val="bottom"/>
            <w:tcBorders>
              <w:bottom w:val="single" w:sz="8" w:color="CCEEFF"/>
            </w:tcBorders>
          </w:tcPr>
          <w:p>
            <w:pPr>
              <w:ind w:left="1000"/>
              <w:spacing w:after="0"/>
              <w:rPr>
                <w:sz w:val="20"/>
                <w:szCs w:val="20"/>
                <w:color w:val="auto"/>
              </w:rPr>
            </w:pPr>
            <w:r>
              <w:rPr>
                <w:rFonts w:ascii="Arial" w:cs="Arial" w:eastAsia="Arial" w:hAnsi="Arial"/>
                <w:sz w:val="16"/>
                <w:szCs w:val="16"/>
                <w:color w:val="auto"/>
              </w:rPr>
              <w:t>Net cash (used in) provided by operating activities</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11,522</w:t>
            </w:r>
          </w:p>
        </w:tc>
      </w:tr>
      <w:tr>
        <w:trPr>
          <w:trHeight w:val="19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8000" w:type="dxa"/>
            <w:vAlign w:val="bottom"/>
          </w:tcPr>
          <w:p>
            <w:pPr>
              <w:ind w:left="360"/>
              <w:spacing w:after="0"/>
              <w:rPr>
                <w:sz w:val="20"/>
                <w:szCs w:val="20"/>
                <w:color w:val="auto"/>
              </w:rPr>
            </w:pPr>
            <w:r>
              <w:rPr>
                <w:rFonts w:ascii="Arial" w:cs="Arial" w:eastAsia="Arial" w:hAnsi="Arial"/>
                <w:sz w:val="16"/>
                <w:szCs w:val="16"/>
                <w:color w:val="auto"/>
              </w:rPr>
              <w:t>Sale of investments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9,258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Sale of property and equipment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00" w:type="dxa"/>
            <w:vAlign w:val="bottom"/>
          </w:tcPr>
          <w:p>
            <w:pPr>
              <w:ind w:left="360"/>
              <w:spacing w:after="0"/>
              <w:rPr>
                <w:sz w:val="20"/>
                <w:szCs w:val="20"/>
                <w:color w:val="auto"/>
              </w:rPr>
            </w:pPr>
            <w:r>
              <w:rPr>
                <w:rFonts w:ascii="Arial" w:cs="Arial" w:eastAsia="Arial" w:hAnsi="Arial"/>
                <w:sz w:val="16"/>
                <w:szCs w:val="16"/>
                <w:color w:val="auto"/>
              </w:rPr>
              <w:t>Purchases of property and equipment</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9"/>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Purchases of investments</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8000" w:type="dxa"/>
            <w:vAlign w:val="bottom"/>
            <w:tcBorders>
              <w:bottom w:val="single" w:sz="8" w:color="CCEEFF"/>
            </w:tcBorders>
          </w:tcPr>
          <w:p>
            <w:pPr>
              <w:ind w:left="1000"/>
              <w:spacing w:after="0"/>
              <w:rPr>
                <w:sz w:val="20"/>
                <w:szCs w:val="20"/>
                <w:color w:val="auto"/>
              </w:rPr>
            </w:pPr>
            <w:r>
              <w:rPr>
                <w:rFonts w:ascii="Arial" w:cs="Arial" w:eastAsia="Arial" w:hAnsi="Arial"/>
                <w:sz w:val="16"/>
                <w:szCs w:val="16"/>
                <w:color w:val="auto"/>
              </w:rPr>
              <w:t>Net cash provided by (used in) investing activities</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19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8000" w:type="dxa"/>
            <w:vAlign w:val="bottom"/>
          </w:tcPr>
          <w:p>
            <w:pPr>
              <w:ind w:left="360"/>
              <w:spacing w:after="0"/>
              <w:rPr>
                <w:sz w:val="20"/>
                <w:szCs w:val="20"/>
                <w:color w:val="auto"/>
              </w:rPr>
            </w:pPr>
            <w:r>
              <w:rPr>
                <w:rFonts w:ascii="Arial" w:cs="Arial" w:eastAsia="Arial" w:hAnsi="Arial"/>
                <w:sz w:val="16"/>
                <w:szCs w:val="16"/>
                <w:color w:val="auto"/>
              </w:rPr>
              <w:t>Purchases of treasury stock</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(1,045)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(3,947)</w:t>
            </w:r>
          </w:p>
        </w:tc>
      </w:tr>
      <w:tr>
        <w:trPr>
          <w:trHeight w:val="219"/>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Purchases of treasury stock for employee stock plans</w:t>
            </w: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w:t>
            </w:r>
          </w:p>
        </w:tc>
      </w:tr>
      <w:tr>
        <w:trPr>
          <w:trHeight w:val="213"/>
        </w:trPr>
        <w:tc>
          <w:tcPr>
            <w:tcW w:w="8000" w:type="dxa"/>
            <w:vAlign w:val="bottom"/>
          </w:tcPr>
          <w:p>
            <w:pPr>
              <w:ind w:left="360"/>
              <w:spacing w:after="0"/>
              <w:rPr>
                <w:sz w:val="20"/>
                <w:szCs w:val="20"/>
                <w:color w:val="auto"/>
              </w:rPr>
            </w:pPr>
            <w:r>
              <w:rPr>
                <w:rFonts w:ascii="Arial" w:cs="Arial" w:eastAsia="Arial" w:hAnsi="Arial"/>
                <w:sz w:val="16"/>
                <w:szCs w:val="16"/>
                <w:color w:val="auto"/>
              </w:rPr>
              <w:t>Restricted stock returned for payment of taxes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(884)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(1,120)</w:t>
            </w:r>
          </w:p>
        </w:tc>
      </w:tr>
      <w:tr>
        <w:trPr>
          <w:trHeight w:val="219"/>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dividends</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(7,324)</w:t>
            </w:r>
          </w:p>
        </w:tc>
      </w:tr>
      <w:tr>
        <w:trPr>
          <w:trHeight w:val="207"/>
        </w:trPr>
        <w:tc>
          <w:tcPr>
            <w:tcW w:w="8000" w:type="dxa"/>
            <w:vAlign w:val="bottom"/>
            <w:tcBorders>
              <w:bottom w:val="single" w:sz="8" w:color="CCEEFF"/>
            </w:tcBorders>
          </w:tcPr>
          <w:p>
            <w:pPr>
              <w:ind w:left="1000"/>
              <w:spacing w:after="0"/>
              <w:rPr>
                <w:sz w:val="20"/>
                <w:szCs w:val="20"/>
                <w:color w:val="auto"/>
              </w:rPr>
            </w:pPr>
            <w:r>
              <w:rPr>
                <w:rFonts w:ascii="Arial" w:cs="Arial" w:eastAsia="Arial" w:hAnsi="Arial"/>
                <w:sz w:val="16"/>
                <w:szCs w:val="16"/>
                <w:color w:val="auto"/>
              </w:rPr>
              <w:t>Net cash used in financing activities</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(13,088)</w:t>
            </w:r>
          </w:p>
        </w:tc>
      </w:tr>
      <w:tr>
        <w:trPr>
          <w:trHeight w:val="213"/>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Effect of currency rate changes on cash</w:t>
            </w: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(3,068)</w:t>
            </w:r>
          </w:p>
        </w:tc>
      </w:tr>
      <w:tr>
        <w:trPr>
          <w:trHeight w:val="207"/>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CHANGE IN CASH AND CASH EQUIVALENTS</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(4,650)</w:t>
            </w:r>
          </w:p>
        </w:tc>
      </w:tr>
      <w:tr>
        <w:trPr>
          <w:trHeight w:val="212"/>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13,016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49,766</w:t>
            </w:r>
          </w:p>
        </w:tc>
      </w:tr>
      <w:tr>
        <w:trPr>
          <w:trHeight w:val="206"/>
        </w:trPr>
        <w:tc>
          <w:tcPr>
            <w:tcW w:w="8000" w:type="dxa"/>
            <w:vAlign w:val="bottom"/>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12,989</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45,116</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6"/>
        </w:trPr>
        <w:tc>
          <w:tcPr>
            <w:tcW w:w="80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Supplemental cash flow information:</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paid during the period for income taxes</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13"/>
        </w:trPr>
        <w:tc>
          <w:tcPr>
            <w:tcW w:w="8000" w:type="dxa"/>
            <w:vAlign w:val="bottom"/>
          </w:tcPr>
          <w:p>
            <w:pPr>
              <w:ind w:left="360"/>
              <w:spacing w:after="0"/>
              <w:rPr>
                <w:sz w:val="20"/>
                <w:szCs w:val="20"/>
                <w:color w:val="auto"/>
              </w:rPr>
            </w:pPr>
            <w:r>
              <w:rPr>
                <w:rFonts w:ascii="Arial" w:cs="Arial" w:eastAsia="Arial" w:hAnsi="Arial"/>
                <w:sz w:val="16"/>
                <w:szCs w:val="16"/>
                <w:color w:val="auto"/>
              </w:rPr>
              <w:t>Accrued dividends</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1,339</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5,245</w:t>
            </w:r>
          </w:p>
        </w:tc>
      </w:tr>
      <w:tr>
        <w:trPr>
          <w:trHeight w:val="219"/>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purchases of treasury stock</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w:t>
            </w:r>
          </w:p>
        </w:tc>
      </w:tr>
    </w:tbl>
    <w:p>
      <w:pPr>
        <w:sectPr>
          <w:pgSz w:w="11900" w:h="16838" w:orient="portrait"/>
          <w:cols w:equalWidth="0" w:num="1">
            <w:col w:w="11240"/>
          </w:cols>
          <w:pgMar w:left="320" w:top="895" w:right="339" w:bottom="1440" w:gutter="0" w:footer="0" w:header="0"/>
        </w:sectPr>
      </w:pPr>
    </w:p>
    <w:bookmarkStart w:id="9" w:name="page10"/>
    <w:bookmarkEnd w:id="9"/>
    <w:p>
      <w:pPr>
        <w:ind w:right="5200"/>
        <w:spacing w:after="0" w:line="261" w:lineRule="auto"/>
        <w:rPr>
          <w:sz w:val="20"/>
          <w:szCs w:val="20"/>
          <w:color w:val="auto"/>
        </w:rPr>
      </w:pPr>
      <w:r>
        <w:rPr>
          <w:rFonts w:ascii="Arial" w:cs="Arial" w:eastAsia="Arial" w:hAnsi="Arial"/>
          <w:sz w:val="21"/>
          <w:szCs w:val="21"/>
          <w:b w:val="1"/>
          <w:bCs w:val="1"/>
          <w:color w:val="auto"/>
        </w:rPr>
        <w:t>WESTWOOD HOLDINGS GROUP, INC. AND SUBSIDIARIES Reconciliation of Net Income to Economic Earnings</w:t>
      </w:r>
    </w:p>
    <w:p>
      <w:pPr>
        <w:spacing w:after="0"/>
        <w:rPr>
          <w:sz w:val="20"/>
          <w:szCs w:val="20"/>
          <w:color w:val="auto"/>
        </w:rPr>
      </w:pPr>
      <w:r>
        <w:rPr>
          <w:rFonts w:ascii="Arial" w:cs="Arial" w:eastAsia="Arial" w:hAnsi="Arial"/>
          <w:sz w:val="20"/>
          <w:szCs w:val="20"/>
          <w:b w:val="1"/>
          <w:bCs w:val="1"/>
          <w:color w:val="auto"/>
        </w:rPr>
        <w:t>(in thousands, except per share and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r>
      <w:tr>
        <w:trPr>
          <w:trHeight w:val="226"/>
        </w:trPr>
        <w:tc>
          <w:tcPr>
            <w:tcW w:w="4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 2021</w:t>
            </w:r>
          </w:p>
        </w:tc>
        <w:tc>
          <w:tcPr>
            <w:tcW w:w="220" w:type="dxa"/>
            <w:vAlign w:val="bottom"/>
          </w:tcPr>
          <w:p>
            <w:pPr>
              <w:spacing w:after="0"/>
              <w:rPr>
                <w:sz w:val="19"/>
                <w:szCs w:val="19"/>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2020</w:t>
            </w:r>
          </w:p>
        </w:tc>
        <w:tc>
          <w:tcPr>
            <w:tcW w:w="280" w:type="dxa"/>
            <w:vAlign w:val="bottom"/>
          </w:tcPr>
          <w:p>
            <w:pPr>
              <w:spacing w:after="0"/>
              <w:rPr>
                <w:sz w:val="19"/>
                <w:szCs w:val="19"/>
                <w:color w:val="auto"/>
              </w:rPr>
            </w:pPr>
          </w:p>
        </w:tc>
        <w:tc>
          <w:tcPr>
            <w:tcW w:w="1780" w:type="dxa"/>
            <w:vAlign w:val="bottom"/>
          </w:tcPr>
          <w:p>
            <w:pPr>
              <w:jc w:val="right"/>
              <w:ind w:right="350"/>
              <w:spacing w:after="0"/>
              <w:rPr>
                <w:sz w:val="20"/>
                <w:szCs w:val="20"/>
                <w:color w:val="auto"/>
              </w:rPr>
            </w:pPr>
            <w:r>
              <w:rPr>
                <w:rFonts w:ascii="Arial" w:cs="Arial" w:eastAsia="Arial" w:hAnsi="Arial"/>
                <w:sz w:val="18"/>
                <w:szCs w:val="18"/>
                <w:b w:val="1"/>
                <w:bCs w:val="1"/>
                <w:color w:val="auto"/>
              </w:rPr>
              <w:t>March 31, 2020</w:t>
            </w:r>
          </w:p>
        </w:tc>
      </w:tr>
      <w:tr>
        <w:trPr>
          <w:trHeight w:val="223"/>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4,101</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Add: Stock-based compensation expense</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2,616</w:t>
            </w: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Intangible amortization</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Add: Currency translation adjustment reclassification</w:t>
            </w:r>
          </w:p>
        </w:tc>
        <w:tc>
          <w:tcPr>
            <w:tcW w:w="260" w:type="dxa"/>
            <w:vAlign w:val="bottom"/>
          </w:tcPr>
          <w:p>
            <w:pPr>
              <w:spacing w:after="0"/>
              <w:rPr>
                <w:sz w:val="19"/>
                <w:szCs w:val="19"/>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Tax benefit from goodwill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Economic Earnings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6,288</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4,200</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4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Diluted weighted average shares</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7,917,390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7,838,504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8,458,473</w:t>
            </w: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Economic EPS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r>
    </w:tbl>
    <w:p>
      <w:pPr>
        <w:spacing w:after="0" w:line="200" w:lineRule="exact"/>
        <w:rPr>
          <w:sz w:val="20"/>
          <w:szCs w:val="20"/>
          <w:color w:val="auto"/>
        </w:rPr>
      </w:pP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As supplemental information, we are providing non-GAAP performance measures that we refer to as Economic Earnings and Economic EPS. We provide these measures in addition to, not as a substitute for, net income and earnings per share, which are reported on a GAAP basis. Our management and Board of Directors review Economic Earnings and Economic EPS to evaluate our ongoing performance, allocate resources, and review our dividend policy. We believe that these non-GAAP performance measures, while not substitutes for GAAP net income or earnings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spacing w:after="0" w:line="7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We define Economic Earnings as net income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In addition, we do not adjust Economic Earnings for tax deductions related to restricted stock expense or amortization of intangible assets. Economic EPS represents Economic Earnings divided by diluted weighted average shares outstanding.</w:t>
      </w:r>
    </w:p>
    <w:sectPr>
      <w:pgSz w:w="11900" w:h="16838" w:orient="portrait"/>
      <w:cols w:equalWidth="0" w:num="1">
        <w:col w:w="11240"/>
      </w:cols>
      <w:pgMar w:left="320" w:top="113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2021-04-28T15:39:03Z</dcterms:created>
  <dcterms:modified xsi:type="dcterms:W3CDTF">2021-04-28T15:39:03Z</dcterms:modified>
</cp:coreProperties>
</file>