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Pursuant to Section 13 or 15(d) of</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the Securities Exchange Act of 1934</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April 25, 2018</w:t>
      </w: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WESTWOOD HOLDINGS GROUP, INC.</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74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17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2040"/>
        <w:spacing w:after="0"/>
        <w:rPr>
          <w:sz w:val="20"/>
          <w:szCs w:val="20"/>
          <w:color w:val="auto"/>
        </w:rPr>
      </w:pPr>
      <w:r>
        <w:rPr>
          <w:rFonts w:ascii="Arial" w:cs="Arial" w:eastAsia="Arial" w:hAnsi="Arial"/>
          <w:sz w:val="16"/>
          <w:szCs w:val="16"/>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75-2969997</w:t>
      </w:r>
    </w:p>
    <w:p>
      <w:pPr>
        <w:spacing w:after="0" w:line="95" w:lineRule="exact"/>
        <w:rPr>
          <w:sz w:val="24"/>
          <w:szCs w:val="24"/>
          <w:color w:val="auto"/>
        </w:rPr>
      </w:pPr>
    </w:p>
    <w:p>
      <w:pPr>
        <w:sectPr>
          <w:pgSz w:w="11900" w:h="16838" w:orient="portrait"/>
          <w:cols w:equalWidth="0" w:num="3">
            <w:col w:w="4720" w:space="720"/>
            <w:col w:w="2820" w:space="720"/>
            <w:col w:w="2400"/>
          </w:cols>
          <w:pgMar w:left="240" w:top="747" w:right="279" w:bottom="1440" w:gutter="0" w:footer="0" w:header="0"/>
          <w:type w:val="continuous"/>
        </w:sectPr>
      </w:pPr>
    </w:p>
    <w:p>
      <w:pPr>
        <w:jc w:val="center"/>
        <w:ind w:right="440"/>
        <w:spacing w:after="0"/>
        <w:rPr>
          <w:sz w:val="20"/>
          <w:szCs w:val="20"/>
          <w:color w:val="auto"/>
        </w:rPr>
      </w:pPr>
      <w:r>
        <w:rPr>
          <w:rFonts w:ascii="Arial" w:cs="Arial" w:eastAsia="Arial" w:hAnsi="Arial"/>
          <w:sz w:val="14"/>
          <w:szCs w:val="14"/>
          <w:color w:val="auto"/>
        </w:rPr>
        <w:t>(State or Other Jurisdiction</w:t>
      </w:r>
    </w:p>
    <w:p>
      <w:pPr>
        <w:spacing w:after="0" w:line="45"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6"/>
          <w:szCs w:val="16"/>
          <w:color w:val="auto"/>
        </w:rPr>
        <w:t>(I.R.S. Employer</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Identification Number)</w:t>
      </w:r>
    </w:p>
    <w:p>
      <w:pPr>
        <w:spacing w:after="0" w:line="179" w:lineRule="exact"/>
        <w:rPr>
          <w:sz w:val="24"/>
          <w:szCs w:val="24"/>
          <w:color w:val="auto"/>
        </w:rPr>
      </w:pPr>
    </w:p>
    <w:p>
      <w:pPr>
        <w:sectPr>
          <w:pgSz w:w="11900" w:h="16838" w:orient="portrait"/>
          <w:cols w:equalWidth="0" w:num="3">
            <w:col w:w="4680" w:space="720"/>
            <w:col w:w="2540" w:space="720"/>
            <w:col w:w="2720"/>
          </w:cols>
          <w:pgMar w:left="240" w:top="747"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200 Crescent Court, Suite 1200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(214) 756-6900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380"/>
          </w:cols>
          <w:pgMar w:left="240" w:top="747"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38"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80"/>
          </w:cols>
          <w:pgMar w:left="240" w:top="747" w:right="279" w:bottom="1440" w:gutter="0" w:footer="0" w:header="0"/>
          <w:type w:val="continuous"/>
        </w:sectPr>
      </w:pPr>
    </w:p>
    <w:bookmarkStart w:id="1" w:name="page2"/>
    <w:bookmarkEnd w:id="1"/>
    <w:p>
      <w:pPr>
        <w:ind w:left="1300" w:right="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1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previously announced and as further described under Item 5.07, on April 25, 2018, Westwood Holdings Group, Inc. (the “Company”) held its annual meeting of stockholders in Dallas, Texas (the “Annual Meeting”). The Company’s stockholders approved the Fifth Amended and Restated Westwood Holdings Group, Inc. Stock Incentive Plan (the “Incentive Plan”). The material revisions of the Incentive Plan included:</w:t>
      </w:r>
    </w:p>
    <w:p>
      <w:pPr>
        <w:spacing w:after="0" w:line="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the total number of shares currently authorized under the Incentive Plan by 200,000 shares;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Expressly prohibits the accrual or payment of dividends on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Plan was included as Appendix A to the Definitive Proxy Statement filed with the SEC on March 9, 2018.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the Annual Meeting, the following Proposals 1, 2, 3 and 4 were approved by the Company’s stockholders. No other business was brought before the Annual Meeting. The Proposals are described in detail in the Company’s definitive proxy statement filed with the SEC on March 9, 2018. The voting results for the Annual Meeting are set forth below.</w:t>
      </w:r>
    </w:p>
    <w:p>
      <w:pPr>
        <w:spacing w:after="0" w:line="141" w:lineRule="exact"/>
        <w:rPr>
          <w:sz w:val="20"/>
          <w:szCs w:val="20"/>
          <w:color w:val="auto"/>
        </w:rPr>
      </w:pPr>
    </w:p>
    <w:p>
      <w:pPr>
        <w:ind w:left="540" w:right="8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The stockholders elected the directors listed below to hold office until the next annual meeting and until their respective successors shall have been duly elected and qualified. The voting results for this Proposal 1 were as follows: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92"/>
        </w:trPr>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Nominee</w:t>
            </w:r>
          </w:p>
        </w:tc>
        <w:tc>
          <w:tcPr>
            <w:tcW w:w="1820" w:type="dxa"/>
            <w:vAlign w:val="bottom"/>
            <w:gridSpan w:val="2"/>
          </w:tcPr>
          <w:p>
            <w:pPr>
              <w:ind w:left="740"/>
              <w:spacing w:after="0"/>
              <w:rPr>
                <w:sz w:val="20"/>
                <w:szCs w:val="20"/>
                <w:color w:val="auto"/>
              </w:rPr>
            </w:pPr>
            <w:r>
              <w:rPr>
                <w:rFonts w:ascii="Arial" w:cs="Arial" w:eastAsia="Arial" w:hAnsi="Arial"/>
                <w:sz w:val="14"/>
                <w:szCs w:val="14"/>
                <w:b w:val="1"/>
                <w:bCs w:val="1"/>
                <w:color w:val="auto"/>
              </w:rPr>
              <w:t>For</w:t>
            </w:r>
          </w:p>
        </w:tc>
        <w:tc>
          <w:tcPr>
            <w:tcW w:w="1800" w:type="dxa"/>
            <w:vAlign w:val="bottom"/>
            <w:gridSpan w:val="2"/>
          </w:tcPr>
          <w:p>
            <w:pPr>
              <w:ind w:left="560"/>
              <w:spacing w:after="0"/>
              <w:rPr>
                <w:sz w:val="20"/>
                <w:szCs w:val="20"/>
                <w:color w:val="auto"/>
              </w:rPr>
            </w:pPr>
            <w:r>
              <w:rPr>
                <w:rFonts w:ascii="Arial" w:cs="Arial" w:eastAsia="Arial" w:hAnsi="Arial"/>
                <w:sz w:val="14"/>
                <w:szCs w:val="14"/>
                <w:b w:val="1"/>
                <w:bCs w:val="1"/>
                <w:color w:val="auto"/>
              </w:rPr>
              <w:t>Withheld</w:t>
            </w:r>
          </w:p>
        </w:tc>
        <w:tc>
          <w:tcPr>
            <w:tcW w:w="1720" w:type="dxa"/>
            <w:vAlign w:val="bottom"/>
          </w:tcPr>
          <w:p>
            <w:pPr>
              <w:jc w:val="right"/>
              <w:ind w:right="252"/>
              <w:spacing w:after="0"/>
              <w:rPr>
                <w:sz w:val="20"/>
                <w:szCs w:val="20"/>
                <w:color w:val="auto"/>
              </w:rPr>
            </w:pPr>
            <w:r>
              <w:rPr>
                <w:rFonts w:ascii="Arial" w:cs="Arial" w:eastAsia="Arial" w:hAnsi="Arial"/>
                <w:sz w:val="14"/>
                <w:szCs w:val="14"/>
                <w:b w:val="1"/>
                <w:bCs w:val="1"/>
                <w:color w:val="auto"/>
              </w:rPr>
              <w:t>Broker Non-Vote</w:t>
            </w:r>
          </w:p>
        </w:tc>
      </w:tr>
      <w:tr>
        <w:trPr>
          <w:trHeight w:val="250"/>
        </w:trPr>
        <w:tc>
          <w:tcPr>
            <w:tcW w:w="2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O. Casey</w:t>
            </w: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Richard M. Frank</w:t>
            </w:r>
          </w:p>
        </w:tc>
        <w:tc>
          <w:tcPr>
            <w:tcW w:w="1700" w:type="dxa"/>
            <w:vAlign w:val="bottom"/>
          </w:tcPr>
          <w:p>
            <w:pPr>
              <w:jc w:val="right"/>
              <w:spacing w:after="0"/>
              <w:rPr>
                <w:sz w:val="20"/>
                <w:szCs w:val="20"/>
                <w:color w:val="auto"/>
              </w:rPr>
            </w:pPr>
            <w:r>
              <w:rPr>
                <w:rFonts w:ascii="Arial" w:cs="Arial" w:eastAsia="Arial" w:hAnsi="Arial"/>
                <w:sz w:val="18"/>
                <w:szCs w:val="18"/>
                <w:color w:val="auto"/>
              </w:rPr>
              <w:t>7,120,683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994,091</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Susan M. Byrne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7,146,837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Ellen H. Masterson</w:t>
            </w:r>
          </w:p>
        </w:tc>
        <w:tc>
          <w:tcPr>
            <w:tcW w:w="1700" w:type="dxa"/>
            <w:vAlign w:val="bottom"/>
          </w:tcPr>
          <w:p>
            <w:pPr>
              <w:jc w:val="right"/>
              <w:spacing w:after="0"/>
              <w:rPr>
                <w:sz w:val="20"/>
                <w:szCs w:val="20"/>
                <w:color w:val="auto"/>
              </w:rPr>
            </w:pPr>
            <w:r>
              <w:rPr>
                <w:rFonts w:ascii="Arial" w:cs="Arial" w:eastAsia="Arial" w:hAnsi="Arial"/>
                <w:sz w:val="18"/>
                <w:szCs w:val="18"/>
                <w:color w:val="auto"/>
              </w:rPr>
              <w:t>7,138,604</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40,538</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994,091</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D. McTeer</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7,151,032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Geoffrey R. Norman</w:t>
            </w:r>
          </w:p>
        </w:tc>
        <w:tc>
          <w:tcPr>
            <w:tcW w:w="1700" w:type="dxa"/>
            <w:vAlign w:val="bottom"/>
          </w:tcPr>
          <w:p>
            <w:pPr>
              <w:jc w:val="right"/>
              <w:spacing w:after="0"/>
              <w:rPr>
                <w:sz w:val="20"/>
                <w:szCs w:val="20"/>
                <w:color w:val="auto"/>
              </w:rPr>
            </w:pPr>
            <w:r>
              <w:rPr>
                <w:rFonts w:ascii="Arial" w:cs="Arial" w:eastAsia="Arial" w:hAnsi="Arial"/>
                <w:sz w:val="18"/>
                <w:szCs w:val="18"/>
                <w:color w:val="auto"/>
              </w:rPr>
              <w:t>7,132,073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994,091</w:t>
            </w:r>
          </w:p>
        </w:tc>
      </w:tr>
      <w:tr>
        <w:trPr>
          <w:trHeight w:val="27"/>
        </w:trPr>
        <w:tc>
          <w:tcPr>
            <w:tcW w:w="2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Martin J. Weiland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7,118,306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Raymond E. Wooldridge</w:t>
            </w:r>
          </w:p>
        </w:tc>
        <w:tc>
          <w:tcPr>
            <w:tcW w:w="1700" w:type="dxa"/>
            <w:vAlign w:val="bottom"/>
          </w:tcPr>
          <w:p>
            <w:pPr>
              <w:jc w:val="right"/>
              <w:spacing w:after="0"/>
              <w:rPr>
                <w:sz w:val="20"/>
                <w:szCs w:val="20"/>
                <w:color w:val="auto"/>
              </w:rPr>
            </w:pPr>
            <w:r>
              <w:rPr>
                <w:rFonts w:ascii="Arial" w:cs="Arial" w:eastAsia="Arial" w:hAnsi="Arial"/>
                <w:sz w:val="18"/>
                <w:szCs w:val="18"/>
                <w:color w:val="auto"/>
              </w:rPr>
              <w:t>7,112,666</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66,476</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994,091</w:t>
            </w:r>
          </w:p>
        </w:tc>
      </w:tr>
    </w:tbl>
    <w:p>
      <w:pPr>
        <w:spacing w:after="0" w:line="310" w:lineRule="exact"/>
        <w:rPr>
          <w:sz w:val="20"/>
          <w:szCs w:val="20"/>
          <w:color w:val="auto"/>
        </w:rPr>
      </w:pPr>
    </w:p>
    <w:p>
      <w:pPr>
        <w:ind w:left="540" w:right="26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stockholders ratified Deloitte &amp; Touche LLP as the Company’s independent auditors for the year ending December 31, 2018. The voting results for this Proposal 2 were as follows:</w:t>
      </w:r>
    </w:p>
    <w:p>
      <w:pPr>
        <w:spacing w:after="0" w:line="176"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2140" w:type="dxa"/>
            <w:vAlign w:val="bottom"/>
            <w:gridSpan w:val="2"/>
          </w:tcPr>
          <w:p>
            <w:pPr>
              <w:ind w:left="900"/>
              <w:spacing w:after="0"/>
              <w:rPr>
                <w:sz w:val="20"/>
                <w:szCs w:val="20"/>
                <w:color w:val="auto"/>
              </w:rPr>
            </w:pPr>
            <w:r>
              <w:rPr>
                <w:rFonts w:ascii="Arial" w:cs="Arial" w:eastAsia="Arial" w:hAnsi="Arial"/>
                <w:sz w:val="14"/>
                <w:szCs w:val="14"/>
                <w:b w:val="1"/>
                <w:bCs w:val="1"/>
                <w:color w:val="auto"/>
              </w:rPr>
              <w:t>For</w:t>
            </w:r>
          </w:p>
        </w:tc>
        <w:tc>
          <w:tcPr>
            <w:tcW w:w="2040" w:type="dxa"/>
            <w:vAlign w:val="bottom"/>
            <w:gridSpan w:val="2"/>
          </w:tcPr>
          <w:p>
            <w:pPr>
              <w:ind w:left="740"/>
              <w:spacing w:after="0"/>
              <w:rPr>
                <w:sz w:val="20"/>
                <w:szCs w:val="20"/>
                <w:color w:val="auto"/>
              </w:rPr>
            </w:pPr>
            <w:r>
              <w:rPr>
                <w:rFonts w:ascii="Arial" w:cs="Arial" w:eastAsia="Arial" w:hAnsi="Arial"/>
                <w:sz w:val="14"/>
                <w:szCs w:val="14"/>
                <w:b w:val="1"/>
                <w:bCs w:val="1"/>
                <w:color w:val="auto"/>
              </w:rPr>
              <w:t>Against</w:t>
            </w:r>
          </w:p>
        </w:tc>
        <w:tc>
          <w:tcPr>
            <w:tcW w:w="1940" w:type="dxa"/>
            <w:vAlign w:val="bottom"/>
          </w:tcPr>
          <w:p>
            <w:pPr>
              <w:jc w:val="right"/>
              <w:ind w:right="659"/>
              <w:spacing w:after="0"/>
              <w:rPr>
                <w:sz w:val="20"/>
                <w:szCs w:val="20"/>
                <w:color w:val="auto"/>
              </w:rPr>
            </w:pPr>
            <w:r>
              <w:rPr>
                <w:rFonts w:ascii="Arial" w:cs="Arial" w:eastAsia="Arial" w:hAnsi="Arial"/>
                <w:sz w:val="14"/>
                <w:szCs w:val="14"/>
                <w:b w:val="1"/>
                <w:bCs w:val="1"/>
                <w:color w:val="auto"/>
              </w:rPr>
              <w:t>Abstain</w:t>
            </w:r>
          </w:p>
        </w:tc>
      </w:tr>
      <w:tr>
        <w:trPr>
          <w:trHeight w:val="243"/>
        </w:trPr>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8,008,042</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135,812</w:t>
            </w: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29,379</w:t>
            </w:r>
          </w:p>
        </w:tc>
      </w:tr>
      <w:tr>
        <w:trPr>
          <w:trHeight w:val="27"/>
        </w:trPr>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540" w:right="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stockholders approved the Fifth Amended and Restated Westwood Holdings Group, Inc. Stock Incentive Plan. The voting results for this Proposal 3 were as follows:</w:t>
      </w:r>
    </w:p>
    <w:p>
      <w:pPr>
        <w:spacing w:after="0" w:line="176"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6,357,629</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818,731</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hanging="249"/>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Proposal 4</w:t>
      </w:r>
      <w:r>
        <w:rPr>
          <w:rFonts w:ascii="Arial" w:cs="Arial" w:eastAsia="Arial" w:hAnsi="Arial"/>
          <w:sz w:val="16"/>
          <w:szCs w:val="16"/>
          <w:color w:val="auto"/>
        </w:rPr>
        <w:t>: The stockholders approved, on a non-binding, advisory basis, the Company's executive compensation. The voting results for this Proposal</w:t>
      </w:r>
    </w:p>
    <w:p>
      <w:pPr>
        <w:spacing w:after="0" w:line="4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4 were as follows:</w:t>
      </w:r>
    </w:p>
    <w:p>
      <w:pPr>
        <w:spacing w:after="0" w:line="216" w:lineRule="exact"/>
        <w:rPr>
          <w:sz w:val="20"/>
          <w:szCs w:val="20"/>
          <w:color w:val="auto"/>
        </w:rPr>
      </w:pPr>
    </w:p>
    <w:tbl>
      <w:tblPr>
        <w:tblLayout w:type="fixed"/>
        <w:tblInd w:w="2080" w:type="dxa"/>
        <w:tblCellMar>
          <w:top w:w="0" w:type="dxa"/>
          <w:left w:w="0" w:type="dxa"/>
          <w:bottom w:w="0" w:type="dxa"/>
          <w:right w:w="0" w:type="dxa"/>
        </w:tblCellMar>
      </w:tblPr>
      <w:tr>
        <w:trPr>
          <w:trHeight w:val="192"/>
        </w:trPr>
        <w:tc>
          <w:tcPr>
            <w:tcW w:w="2100" w:type="dxa"/>
            <w:vAlign w:val="bottom"/>
            <w:gridSpan w:val="2"/>
          </w:tcPr>
          <w:p>
            <w:pPr>
              <w:ind w:left="880"/>
              <w:spacing w:after="0"/>
              <w:rPr>
                <w:sz w:val="20"/>
                <w:szCs w:val="20"/>
                <w:color w:val="auto"/>
              </w:rPr>
            </w:pPr>
            <w:r>
              <w:rPr>
                <w:rFonts w:ascii="Arial" w:cs="Arial" w:eastAsia="Arial" w:hAnsi="Arial"/>
                <w:sz w:val="14"/>
                <w:szCs w:val="14"/>
                <w:b w:val="1"/>
                <w:bCs w:val="1"/>
                <w:color w:val="auto"/>
              </w:rPr>
              <w:t>For</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Against</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Abstain</w:t>
            </w:r>
          </w:p>
        </w:tc>
        <w:tc>
          <w:tcPr>
            <w:tcW w:w="1660" w:type="dxa"/>
            <w:vAlign w:val="bottom"/>
          </w:tcPr>
          <w:p>
            <w:pPr>
              <w:jc w:val="right"/>
              <w:ind w:right="239"/>
              <w:spacing w:after="0"/>
              <w:rPr>
                <w:sz w:val="20"/>
                <w:szCs w:val="20"/>
                <w:color w:val="auto"/>
              </w:rPr>
            </w:pPr>
            <w:r>
              <w:rPr>
                <w:rFonts w:ascii="Arial" w:cs="Arial" w:eastAsia="Arial" w:hAnsi="Arial"/>
                <w:sz w:val="14"/>
                <w:szCs w:val="14"/>
                <w:b w:val="1"/>
                <w:bCs w:val="1"/>
                <w:color w:val="auto"/>
              </w:rPr>
              <w:t>Broker Non-Vote</w:t>
            </w:r>
          </w:p>
        </w:tc>
      </w:tr>
      <w:tr>
        <w:trPr>
          <w:trHeight w:val="243"/>
        </w:trPr>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7,062,606</w:t>
            </w:r>
          </w:p>
        </w:tc>
        <w:tc>
          <w:tcPr>
            <w:tcW w:w="10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96,841</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c>
          <w:tcPr>
            <w:tcW w:w="12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994,091</w:t>
            </w: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ectPr>
          <w:pgSz w:w="11900" w:h="16838" w:orient="portrait"/>
          <w:cols w:equalWidth="0" w:num="1">
            <w:col w:w="11320"/>
          </w:cols>
          <w:pgMar w:left="240" w:top="742" w:right="3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WESTWOOD HOLDINGS GROUP, INC.</w:t>
      </w:r>
    </w:p>
    <w:p>
      <w:pPr>
        <w:spacing w:after="0" w:line="387" w:lineRule="exact"/>
        <w:rPr>
          <w:sz w:val="20"/>
          <w:szCs w:val="20"/>
          <w:color w:val="auto"/>
        </w:rPr>
      </w:pPr>
    </w:p>
    <w:p>
      <w:pPr>
        <w:ind w:left="40"/>
        <w:spacing w:after="0"/>
        <w:tabs>
          <w:tab w:leader="none" w:pos="6800" w:val="left"/>
        </w:tabs>
        <w:rPr>
          <w:sz w:val="20"/>
          <w:szCs w:val="20"/>
          <w:color w:val="auto"/>
        </w:rPr>
      </w:pPr>
      <w:r>
        <w:rPr>
          <w:rFonts w:ascii="Arial" w:cs="Arial" w:eastAsia="Arial" w:hAnsi="Arial"/>
          <w:sz w:val="18"/>
          <w:szCs w:val="18"/>
          <w:color w:val="auto"/>
        </w:rPr>
        <w:t>Date: April 27, 2018</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31750</wp:posOffset>
            </wp:positionV>
            <wp:extent cx="26327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720"/>
      </w:cols>
      <w:pgMar w:left="240" w:top="580"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2019-12-06T19:25:10Z</dcterms:created>
  <dcterms:modified xsi:type="dcterms:W3CDTF">2019-12-06T19:25:10Z</dcterms:modified>
</cp:coreProperties>
</file>