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062810.xml.htm"/>
      <w:bookmarkStart w:id="1" w:name="kswkform4_17770628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 Emerita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15"/>
        <w:gridCol w:w="784"/>
        <w:gridCol w:w="608"/>
        <w:gridCol w:w="349"/>
        <w:gridCol w:w="798"/>
        <w:gridCol w:w="448"/>
        <w:gridCol w:w="982"/>
        <w:gridCol w:w="1158"/>
        <w:gridCol w:w="996"/>
        <w:gridCol w:w="9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15.8548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294,718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04/23/2026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17.265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294,709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16.1381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294,009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reflects the weighted average sale price for shares sold in multiple transactions at prices ranging from $15.59 to $16.38.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price reflects the weighted average sale price for shares sold in multiple transactions at prices ranging from $15.645 to $16.37.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transactions were effected pursuant to a Rule 10b5-1 trading plan adopted by the reporting person on 4/1/2026.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1441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3675</Characters>
  <CharactersWithSpaces>4267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