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17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63" w:lineRule="exact"/>
        <w:rPr>
          <w:rFonts w:ascii="MS PGothic" w:cs="MS PGothic" w:eastAsia="MS PGothic" w:hAnsi="MS PGothic"/>
          <w:sz w:val="14"/>
          <w:szCs w:val="1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3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3"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176" w:lineRule="exact"/>
        <w:rPr>
          <w:rFonts w:ascii="MS PGothic" w:cs="MS PGothic" w:eastAsia="MS PGothic" w:hAnsi="MS PGothic"/>
          <w:sz w:val="14"/>
          <w:szCs w:val="14"/>
          <w:color w:val="auto"/>
        </w:rPr>
      </w:pPr>
    </w:p>
    <w:p>
      <w:pPr>
        <w:ind w:left="940" w:hanging="455"/>
        <w:spacing w:after="0"/>
        <w:tabs>
          <w:tab w:leader="none" w:pos="940" w:val="left"/>
        </w:tabs>
        <w:numPr>
          <w:ilvl w:val="2"/>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92" w:lineRule="exact"/>
        <w:rPr>
          <w:rFonts w:ascii="Times New Roman" w:cs="Times New Roman" w:eastAsia="Times New Roman" w:hAnsi="Times New Roman"/>
          <w:sz w:val="14"/>
          <w:szCs w:val="14"/>
          <w:color w:val="auto"/>
        </w:rPr>
      </w:pPr>
    </w:p>
    <w:p>
      <w:pPr>
        <w:ind w:left="940" w:right="120" w:hanging="469"/>
        <w:spacing w:after="0" w:line="282" w:lineRule="auto"/>
        <w:tabs>
          <w:tab w:leader="none" w:pos="9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350"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92" w:lineRule="exact"/>
        <w:rPr>
          <w:rFonts w:ascii="Times New Roman" w:cs="Times New Roman" w:eastAsia="Times New Roman" w:hAnsi="Times New Roman"/>
          <w:sz w:val="14"/>
          <w:szCs w:val="14"/>
          <w:color w:val="auto"/>
        </w:rPr>
      </w:pPr>
    </w:p>
    <w:p>
      <w:pPr>
        <w:ind w:left="960" w:hanging="489"/>
        <w:spacing w:after="0"/>
        <w:tabs>
          <w:tab w:leader="none" w:pos="96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5"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76" w:lineRule="exact"/>
        <w:rPr>
          <w:rFonts w:ascii="MS PGothic" w:cs="MS PGothic" w:eastAsia="MS PGothic" w:hAnsi="MS PGothic"/>
          <w:sz w:val="14"/>
          <w:szCs w:val="14"/>
          <w:color w:val="auto"/>
        </w:rPr>
      </w:pPr>
    </w:p>
    <w:p>
      <w:pPr>
        <w:ind w:left="480" w:hanging="454"/>
        <w:spacing w:after="0" w:line="282" w:lineRule="auto"/>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rFonts w:ascii="MS PGothic" w:cs="MS PGothic" w:eastAsia="MS PGothic" w:hAnsi="MS PGothic"/>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0" w:lineRule="exact"/>
        <w:rPr>
          <w:rFonts w:ascii="Times New Roman" w:cs="Times New Roman" w:eastAsia="Times New Roman" w:hAnsi="Times New Roman"/>
          <w:sz w:val="14"/>
          <w:szCs w:val="14"/>
          <w:color w:val="auto"/>
        </w:rPr>
      </w:pPr>
    </w:p>
    <w:p>
      <w:pPr>
        <w:spacing w:after="0" w:line="206"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-3447415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-3096260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-2290445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040" w:right="439" w:bottom="1440" w:gutter="0" w:footer="0" w:header="0"/>
        </w:sectPr>
      </w:pPr>
    </w:p>
    <w:bookmarkStart w:id="1" w:name="page2"/>
    <w:bookmarkEnd w:id="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0" w:lineRule="exact"/>
        <w:rPr>
          <w:sz w:val="20"/>
          <w:szCs w:val="20"/>
          <w:color w:val="auto"/>
        </w:rPr>
      </w:pPr>
    </w:p>
    <w:p>
      <w:pPr>
        <w:spacing w:after="0" w:line="37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You are cordially invited to virtually attend the 2024 Annual Meeting of Stockholders of Westwood Holdings Group, Inc., which will be held online on Wednesday, May 1, 2024, at 10:00 a.m., Central Time,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The official Notice of Annual Meeting together with a proxy statement and proxy card are enclosed. Please give this information your careful attention.</w:t>
      </w:r>
    </w:p>
    <w:p>
      <w:pPr>
        <w:spacing w:after="0" w:line="82"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Sincerely,</w:t>
      </w:r>
    </w:p>
    <w:p>
      <w:pPr>
        <w:spacing w:after="0" w:line="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-85090</wp:posOffset>
            </wp:positionV>
            <wp:extent cx="9772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200 CRESCENT COURT, SUITE 1200 • DALLAS, TEXAS 75201 • T.214.756.6900 • F.214.756.6979 • westwoodgroup.com</w:t>
      </w:r>
    </w:p>
    <w:p>
      <w:pPr>
        <w:sectPr>
          <w:pgSz w:w="11900" w:h="16838" w:orient="portrait"/>
          <w:cols w:equalWidth="0" w:num="1">
            <w:col w:w="11080"/>
          </w:cols>
          <w:pgMar w:left="320" w:top="144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7"/>
        </w:trPr>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2"/>
        </w:trPr>
        <w:tc>
          <w:tcPr>
            <w:tcW w:w="10280" w:type="dxa"/>
            <w:vAlign w:val="bottom"/>
            <w:gridSpan w:val="35"/>
          </w:tcPr>
          <w:p>
            <w:pPr>
              <w:spacing w:after="0" w:line="142" w:lineRule="exact"/>
              <w:rPr>
                <w:sz w:val="20"/>
                <w:szCs w:val="20"/>
                <w:color w:val="auto"/>
              </w:rPr>
            </w:pPr>
            <w:r>
              <w:rPr>
                <w:rFonts w:ascii="Times New Roman" w:cs="Times New Roman" w:eastAsia="Times New Roman" w:hAnsi="Times New Roman"/>
                <w:sz w:val="16"/>
                <w:szCs w:val="16"/>
                <w:color w:val="0000FF"/>
              </w:rPr>
              <w:t>NOTICE OF ANNUAL MEETING OF STOCKHOLDERS</w:t>
            </w:r>
          </w:p>
        </w:tc>
        <w:tc>
          <w:tcPr>
            <w:tcW w:w="520" w:type="dxa"/>
            <w:vAlign w:val="bottom"/>
          </w:tcPr>
          <w:p>
            <w:pPr>
              <w:spacing w:after="0"/>
              <w:rPr>
                <w:sz w:val="14"/>
                <w:szCs w:val="14"/>
                <w:color w:val="auto"/>
              </w:rPr>
            </w:pPr>
          </w:p>
        </w:tc>
        <w:tc>
          <w:tcPr>
            <w:tcW w:w="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u w:val="single" w:color="auto"/>
                <w:color w:val="0000FF"/>
              </w:rPr>
              <w:t>i</w:t>
            </w:r>
          </w:p>
        </w:tc>
      </w:tr>
      <w:tr>
        <w:trPr>
          <w:trHeight w:val="20"/>
        </w:trPr>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w w:val="99"/>
              </w:rPr>
              <w:t>NOTICE OF INTERNET AVAILABILITY OF PROXY MATERIALS</w:t>
            </w:r>
          </w:p>
        </w:tc>
        <w:tc>
          <w:tcPr>
            <w:tcW w:w="566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ii</w:t>
            </w:r>
          </w:p>
        </w:tc>
        <w:tc>
          <w:tcPr>
            <w:tcW w:w="20" w:type="dxa"/>
            <w:vAlign w:val="bottom"/>
          </w:tcPr>
          <w:p>
            <w:pPr>
              <w:spacing w:after="0"/>
              <w:rPr>
                <w:sz w:val="22"/>
                <w:szCs w:val="22"/>
                <w:color w:val="auto"/>
              </w:rPr>
            </w:pPr>
          </w:p>
        </w:tc>
      </w:tr>
      <w:tr>
        <w:trPr>
          <w:trHeight w:val="250"/>
        </w:trPr>
        <w:tc>
          <w:tcPr>
            <w:tcW w:w="2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GENERAL QUESTIONS AND ANSWERS</w:t>
            </w:r>
          </w:p>
        </w:tc>
        <w:tc>
          <w:tcPr>
            <w:tcW w:w="7360" w:type="dxa"/>
            <w:vAlign w:val="bottom"/>
            <w:gridSpan w:val="18"/>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The Annual Meeting</w:t>
            </w:r>
          </w:p>
        </w:tc>
        <w:tc>
          <w:tcPr>
            <w:tcW w:w="8540" w:type="dxa"/>
            <w:vAlign w:val="bottom"/>
            <w:gridSpan w:val="28"/>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r>
      <w:tr>
        <w:trPr>
          <w:trHeight w:val="196"/>
        </w:trPr>
        <w:tc>
          <w:tcPr>
            <w:tcW w:w="38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Procedures for Voting</w:t>
            </w:r>
          </w:p>
        </w:tc>
        <w:tc>
          <w:tcPr>
            <w:tcW w:w="8480" w:type="dxa"/>
            <w:vAlign w:val="bottom"/>
            <w:gridSpan w:val="27"/>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Our Current Stock Ownership</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w:t>
            </w:r>
          </w:p>
        </w:tc>
      </w:tr>
      <w:tr>
        <w:trPr>
          <w:trHeight w:val="196"/>
        </w:trPr>
        <w:tc>
          <w:tcPr>
            <w:tcW w:w="3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60" w:type="dxa"/>
            <w:vAlign w:val="bottom"/>
            <w:tcBorders>
              <w:top w:val="single" w:sz="8" w:color="0000FF"/>
            </w:tcBorders>
            <w:gridSpan w:val="6"/>
          </w:tcPr>
          <w:p>
            <w:pPr>
              <w:spacing w:after="0"/>
              <w:rPr>
                <w:sz w:val="17"/>
                <w:szCs w:val="17"/>
                <w:color w:val="auto"/>
              </w:rPr>
            </w:pPr>
          </w:p>
        </w:tc>
        <w:tc>
          <w:tcPr>
            <w:tcW w:w="7960" w:type="dxa"/>
            <w:vAlign w:val="bottom"/>
            <w:gridSpan w:val="2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1: ELECTION OF DIRECTORS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r>
      <w:tr>
        <w:trPr>
          <w:trHeight w:val="196"/>
        </w:trPr>
        <w:tc>
          <w:tcPr>
            <w:tcW w:w="38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Nominees</w:t>
            </w:r>
          </w:p>
        </w:tc>
        <w:tc>
          <w:tcPr>
            <w:tcW w:w="7260" w:type="dxa"/>
            <w:vAlign w:val="bottom"/>
            <w:gridSpan w:val="17"/>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Corporate Governance Information</w:t>
            </w:r>
          </w:p>
        </w:tc>
        <w:tc>
          <w:tcPr>
            <w:tcW w:w="7620" w:type="dxa"/>
            <w:vAlign w:val="bottom"/>
            <w:gridSpan w:val="20"/>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8</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14</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EXECUTIVE OFFICERS</w:t>
            </w:r>
          </w:p>
        </w:tc>
        <w:tc>
          <w:tcPr>
            <w:tcW w:w="8560" w:type="dxa"/>
            <w:vAlign w:val="bottom"/>
            <w:gridSpan w:val="29"/>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12</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13</w:t>
            </w:r>
          </w:p>
        </w:tc>
      </w:tr>
      <w:tr>
        <w:trPr>
          <w:trHeight w:val="20"/>
        </w:trPr>
        <w:tc>
          <w:tcPr>
            <w:tcW w:w="3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9"/>
              </w:rPr>
              <w:t>Summary Compensation Table</w:t>
            </w:r>
          </w:p>
        </w:tc>
        <w:tc>
          <w:tcPr>
            <w:tcW w:w="7900" w:type="dxa"/>
            <w:vAlign w:val="bottom"/>
            <w:gridSpan w:val="23"/>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17</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Outstanding Equity Awards at Fiscal Year-End</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23</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7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PROPOSAL 2: RATIFICATION OF APPOINTMENT OF BDO USA, P.C. AS INDEPENDENT AUDITORS</w:t>
            </w:r>
          </w:p>
        </w:tc>
        <w:tc>
          <w:tcPr>
            <w:tcW w:w="3080" w:type="dxa"/>
            <w:vAlign w:val="bottom"/>
            <w:gridSpan w:val="6"/>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196"/>
        </w:trPr>
        <w:tc>
          <w:tcPr>
            <w:tcW w:w="380" w:type="dxa"/>
            <w:vAlign w:val="bottom"/>
          </w:tcPr>
          <w:p>
            <w:pPr>
              <w:spacing w:after="0"/>
              <w:rPr>
                <w:sz w:val="17"/>
                <w:szCs w:val="17"/>
                <w:color w:val="auto"/>
              </w:rPr>
            </w:pPr>
          </w:p>
        </w:tc>
        <w:tc>
          <w:tcPr>
            <w:tcW w:w="4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Fees Billed by Independent Registered Public Accounting Firms</w:t>
            </w:r>
          </w:p>
        </w:tc>
        <w:tc>
          <w:tcPr>
            <w:tcW w:w="5720" w:type="dxa"/>
            <w:vAlign w:val="bottom"/>
            <w:gridSpan w:val="10"/>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3: TO APPROVE THE TENTH AMENDED AND RESTATED WESTWOOD HOLDINGS GROUP, INC. STOCK INCENTIVE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r>
      <w:tr>
        <w:trPr>
          <w:trHeight w:val="196"/>
        </w:trPr>
        <w:tc>
          <w:tcPr>
            <w:tcW w:w="380" w:type="dxa"/>
            <w:vAlign w:val="bottom"/>
            <w:tcBorders>
              <w:top w:val="single" w:sz="8" w:color="0000FF"/>
            </w:tcBorders>
          </w:tcPr>
          <w:p>
            <w:pPr>
              <w:spacing w:after="0"/>
              <w:rPr>
                <w:sz w:val="17"/>
                <w:szCs w:val="17"/>
                <w:color w:val="auto"/>
              </w:rPr>
            </w:pPr>
          </w:p>
        </w:tc>
        <w:tc>
          <w:tcPr>
            <w:tcW w:w="94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Description of the Tenth Amended and Restated Plan</w:t>
            </w:r>
          </w:p>
        </w:tc>
        <w:tc>
          <w:tcPr>
            <w:tcW w:w="4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30</w:t>
            </w:r>
          </w:p>
        </w:tc>
      </w:tr>
      <w:tr>
        <w:trPr>
          <w:trHeight w:val="196"/>
        </w:trPr>
        <w:tc>
          <w:tcPr>
            <w:tcW w:w="380" w:type="dxa"/>
            <w:vAlign w:val="bottom"/>
          </w:tcPr>
          <w:p>
            <w:pPr>
              <w:spacing w:after="0"/>
              <w:rPr>
                <w:sz w:val="17"/>
                <w:szCs w:val="17"/>
                <w:color w:val="auto"/>
              </w:rPr>
            </w:pPr>
          </w:p>
        </w:tc>
        <w:tc>
          <w:tcPr>
            <w:tcW w:w="3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Types of Awards</w:t>
            </w:r>
          </w:p>
        </w:tc>
        <w:tc>
          <w:tcPr>
            <w:tcW w:w="6460" w:type="dxa"/>
            <w:vAlign w:val="bottom"/>
            <w:gridSpan w:val="1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Material Federal Income Tax Consequences of the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Pr>
          <w:p>
            <w:pPr>
              <w:spacing w:after="0"/>
              <w:rPr>
                <w:sz w:val="17"/>
                <w:szCs w:val="17"/>
                <w:color w:val="auto"/>
              </w:rPr>
            </w:pPr>
          </w:p>
        </w:tc>
        <w:tc>
          <w:tcPr>
            <w:tcW w:w="35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320" w:type="dxa"/>
            <w:vAlign w:val="bottom"/>
            <w:gridSpan w:val="12"/>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4: TO CAST A NON-BINDING, ADVISORY VOTE ON THE COMPANY'S 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Borders>
              <w:top w:val="single" w:sz="8" w:color="0000FF"/>
            </w:tcBorders>
          </w:tcPr>
          <w:p>
            <w:pPr>
              <w:spacing w:after="0"/>
              <w:rPr>
                <w:sz w:val="17"/>
                <w:szCs w:val="17"/>
                <w:color w:val="auto"/>
              </w:rPr>
            </w:pPr>
          </w:p>
        </w:tc>
        <w:tc>
          <w:tcPr>
            <w:tcW w:w="280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9"/>
              </w:rPr>
              <w:t>Advisory Vote on Executive Compensation</w:t>
            </w:r>
          </w:p>
        </w:tc>
        <w:tc>
          <w:tcPr>
            <w:tcW w:w="5020" w:type="dxa"/>
            <w:vAlign w:val="bottom"/>
            <w:tcBorders>
              <w:top w:val="single" w:sz="8" w:color="0000FF"/>
            </w:tcBorders>
            <w:gridSpan w:val="11"/>
          </w:tcPr>
          <w:p>
            <w:pPr>
              <w:spacing w:after="0"/>
              <w:rPr>
                <w:sz w:val="17"/>
                <w:szCs w:val="17"/>
                <w:color w:val="auto"/>
              </w:rPr>
            </w:pPr>
          </w:p>
        </w:tc>
        <w:tc>
          <w:tcPr>
            <w:tcW w:w="2080" w:type="dxa"/>
            <w:vAlign w:val="bottom"/>
            <w:gridSpan w:val="5"/>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5: TO APPROVE AN AMENDMENT TO THE COMPANY'S AMENDED AND RESTATED ARTICLES OF INCORPORATION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33</w:t>
            </w:r>
          </w:p>
        </w:tc>
      </w:tr>
      <w:tr>
        <w:trPr>
          <w:trHeight w:val="196"/>
        </w:trPr>
        <w:tc>
          <w:tcPr>
            <w:tcW w:w="944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w:t>
            </w:r>
          </w:p>
        </w:tc>
        <w:tc>
          <w:tcPr>
            <w:tcW w:w="840" w:type="dxa"/>
            <w:vAlign w:val="bottom"/>
            <w:gridSpan w:val="2"/>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35</w:t>
            </w:r>
          </w:p>
        </w:tc>
      </w:tr>
      <w:tr>
        <w:trPr>
          <w:trHeight w:val="250"/>
        </w:trPr>
        <w:tc>
          <w:tcPr>
            <w:tcW w:w="27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REPORT OF THE AUDIT COMMITTEE</w:t>
            </w:r>
          </w:p>
        </w:tc>
        <w:tc>
          <w:tcPr>
            <w:tcW w:w="3280" w:type="dxa"/>
            <w:vAlign w:val="bottom"/>
            <w:tcBorders>
              <w:top w:val="single" w:sz="8" w:color="0000FF"/>
            </w:tcBorders>
            <w:gridSpan w:val="12"/>
          </w:tcPr>
          <w:p>
            <w:pPr>
              <w:spacing w:after="0"/>
              <w:rPr>
                <w:sz w:val="21"/>
                <w:szCs w:val="21"/>
                <w:color w:val="auto"/>
              </w:rPr>
            </w:pPr>
          </w:p>
        </w:tc>
        <w:tc>
          <w:tcPr>
            <w:tcW w:w="4220" w:type="dxa"/>
            <w:vAlign w:val="bottom"/>
            <w:gridSpan w:val="7"/>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36</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SECTION 16(A) BENEFICIAL OWNERSHIP REPORTING COMPLIANCE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2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STOCKHOLDER PROPOSALS</w:t>
            </w:r>
          </w:p>
        </w:tc>
        <w:tc>
          <w:tcPr>
            <w:tcW w:w="2920" w:type="dxa"/>
            <w:vAlign w:val="bottom"/>
            <w:tcBorders>
              <w:top w:val="single" w:sz="8" w:color="0000FF"/>
            </w:tcBorders>
            <w:gridSpan w:val="17"/>
          </w:tcPr>
          <w:p>
            <w:pPr>
              <w:spacing w:after="0"/>
              <w:rPr>
                <w:sz w:val="21"/>
                <w:szCs w:val="21"/>
                <w:color w:val="auto"/>
              </w:rPr>
            </w:pPr>
          </w:p>
        </w:tc>
        <w:tc>
          <w:tcPr>
            <w:tcW w:w="5160" w:type="dxa"/>
            <w:vAlign w:val="bottom"/>
            <w:gridSpan w:val="8"/>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ANNUAL REPORT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10"/>
          </w:tcPr>
          <w:p>
            <w:pPr>
              <w:spacing w:after="0" w:line="20" w:lineRule="exact"/>
              <w:rPr>
                <w:sz w:val="1"/>
                <w:szCs w:val="1"/>
                <w:color w:val="auto"/>
              </w:rPr>
            </w:pPr>
          </w:p>
        </w:tc>
        <w:tc>
          <w:tcPr>
            <w:tcW w:w="606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HOUSEHOLDING INFORMATION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2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OTHER MATTERS</w:t>
            </w:r>
          </w:p>
        </w:tc>
        <w:tc>
          <w:tcPr>
            <w:tcW w:w="7840" w:type="dxa"/>
            <w:vAlign w:val="bottom"/>
            <w:gridSpan w:val="22"/>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7180" w:type="dxa"/>
            <w:vAlign w:val="bottom"/>
            <w:gridSpan w:val="2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APPENDIX A – TENTH AMENDED AND RESTATED WESTWOOD HOLDINGS GROUP, INC. STOCK INCENTIVE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8500" w:type="dxa"/>
            <w:vAlign w:val="bottom"/>
            <w:gridSpan w:val="31"/>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90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APPENDIX B – TEXT OF PROPOSED AMENDMENT TO THE AMENDED AND RESTATED CERTIFICATE OF INCORPORATION</w:t>
            </w:r>
          </w:p>
        </w:tc>
        <w:tc>
          <w:tcPr>
            <w:tcW w:w="1200" w:type="dxa"/>
            <w:vAlign w:val="bottom"/>
            <w:gridSpan w:val="3"/>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54</w:t>
            </w:r>
          </w:p>
        </w:tc>
      </w:tr>
    </w:tbl>
    <w:p>
      <w:pPr>
        <w:sectPr>
          <w:pgSz w:w="11900" w:h="16838" w:orient="portrait"/>
          <w:cols w:equalWidth="0" w:num="1">
            <w:col w:w="10920"/>
          </w:cols>
          <w:pgMar w:left="500" w:top="682" w:right="47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Westwood Holdings Group, Inc.:</w:t>
      </w:r>
    </w:p>
    <w:p>
      <w:pPr>
        <w:spacing w:after="0" w:line="11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of the stockholders of Westwood Holdings Group, Inc. ("Westwood," the "Company," "we," "us" or "our") will be held virtually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on Wednesday, May 1, 2024, at 10:00 a.m., Central Time, to consider and vote on the following proposals: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20" w:type="dxa"/>
            <w:vAlign w:val="bottom"/>
            <w:gridSpan w:val="2"/>
            <w:vMerge w:val="continue"/>
          </w:tcPr>
          <w:p>
            <w:pPr>
              <w:spacing w:after="0"/>
              <w:rPr>
                <w:sz w:val="17"/>
                <w:szCs w:val="17"/>
                <w:color w:val="auto"/>
              </w:rPr>
            </w:pPr>
          </w:p>
        </w:tc>
        <w:tc>
          <w:tcPr>
            <w:tcW w:w="1560" w:type="dxa"/>
            <w:vAlign w:val="bottom"/>
            <w:gridSpan w:val="2"/>
          </w:tcPr>
          <w:p>
            <w:pPr>
              <w:jc w:val="center"/>
              <w:ind w:left="1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3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80" w:type="dxa"/>
            <w:vAlign w:val="bottom"/>
            <w:vMerge w:val="continue"/>
          </w:tcPr>
          <w:p>
            <w:pPr>
              <w:spacing w:after="0"/>
              <w:rPr>
                <w:sz w:val="22"/>
                <w:szCs w:val="22"/>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election of five directors to hold office until the next annual meeting of Westwood's stockholders and</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until their respective successors shall have been duly elected and qualified;</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ratification of the appointment of BDO USA, P.C. as Westwood's independent auditors for the year</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ending December 31, 2024;</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approve the Tenth Amended and Restated Westwood Holdings Group, Inc. Stock Incentive Plan;</w:t>
            </w: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Company's executive compensation; and</w:t>
            </w: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5.</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approve an amendment to the Company’s Amended and Restated Certificate of Incorporation to extend</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8200" w:type="dxa"/>
            <w:vAlign w:val="bottom"/>
            <w:gridSpan w:val="3"/>
          </w:tcPr>
          <w:p>
            <w:pPr>
              <w:ind w:left="320"/>
              <w:spacing w:after="0" w:line="181" w:lineRule="exact"/>
              <w:rPr>
                <w:sz w:val="20"/>
                <w:szCs w:val="20"/>
                <w:color w:val="auto"/>
              </w:rPr>
            </w:pPr>
            <w:r>
              <w:rPr>
                <w:rFonts w:ascii="Times New Roman" w:cs="Times New Roman" w:eastAsia="Times New Roman" w:hAnsi="Times New Roman"/>
                <w:sz w:val="18"/>
                <w:szCs w:val="18"/>
                <w:color w:val="auto"/>
              </w:rPr>
              <w:t>exculpation protection to officers of the Company pursuant to Section 102(b)(7) of the Delaware General</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Corporation Law.</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100" w:firstLine="405"/>
        <w:spacing w:after="0" w:line="282" w:lineRule="auto"/>
        <w:rPr>
          <w:sz w:val="20"/>
          <w:szCs w:val="20"/>
          <w:color w:val="auto"/>
        </w:rPr>
      </w:pPr>
      <w:r>
        <w:rPr>
          <w:rFonts w:ascii="Times New Roman" w:cs="Times New Roman" w:eastAsia="Times New Roman" w:hAnsi="Times New Roman"/>
          <w:sz w:val="18"/>
          <w:szCs w:val="18"/>
          <w:color w:val="auto"/>
        </w:rPr>
        <w:t>In addition, we will consider the transaction of such other business as may properly come before the meeting or at any adjournments or postponements.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w:t>
      </w:r>
    </w:p>
    <w:p>
      <w:pPr>
        <w:spacing w:after="0" w:line="11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4, 2024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Tenth Amended and Restated Westwood Holdings Group, Inc. Stock Incentive Plan, the matter pertaining to executive compensation, and the approval of the amendment to the Company’s Amended and Restated Certificate of Incorporation.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proxy statement and proxy card are being mailed to our stockholders on or about March 25, 2024.</w:t>
      </w:r>
    </w:p>
    <w:p>
      <w:pPr>
        <w:spacing w:after="0" w:line="1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4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 Stockholder Meeting to be Held on May 1, 2024</w:t>
      </w:r>
    </w:p>
    <w:p>
      <w:pPr>
        <w:spacing w:after="0" w:line="200" w:lineRule="exact"/>
        <w:rPr>
          <w:sz w:val="20"/>
          <w:szCs w:val="20"/>
          <w:color w:val="auto"/>
        </w:rPr>
      </w:pPr>
    </w:p>
    <w:p>
      <w:pPr>
        <w:spacing w:after="0" w:line="2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proxy materials for the Company's Annual Meeting of Stockholders, including the 2023 Annual Report to Stockholders, the Proxy Statement and any other additional soliciting materials, are available over the Internet by accessing our website at </w:t>
      </w:r>
      <w:r>
        <w:rPr>
          <w:rFonts w:ascii="Times New Roman" w:cs="Times New Roman" w:eastAsia="Times New Roman" w:hAnsi="Times New Roman"/>
          <w:sz w:val="18"/>
          <w:szCs w:val="18"/>
          <w:i w:val="1"/>
          <w:iCs w:val="1"/>
          <w:color w:val="auto"/>
        </w:rPr>
        <w:t>https://westwoodgroup.com/investor-relations/annual-reports/</w:t>
      </w:r>
      <w:r>
        <w:rPr>
          <w:rFonts w:ascii="Times New Roman" w:cs="Times New Roman" w:eastAsia="Times New Roman" w:hAnsi="Times New Roman"/>
          <w:sz w:val="18"/>
          <w:szCs w:val="18"/>
          <w:color w:val="auto"/>
        </w:rPr>
        <w:t>. Other information on our website does not constitute part of the Company's proxy materials.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66040</wp:posOffset>
            </wp:positionV>
            <wp:extent cx="97726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684"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25,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ANNUAL MEETING</w:t>
      </w:r>
    </w:p>
    <w:p>
      <w:pPr>
        <w:spacing w:after="0" w:line="158"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annual meeting?</w:t>
      </w:r>
    </w:p>
    <w:p>
      <w:pPr>
        <w:spacing w:after="0" w:line="200" w:lineRule="exact"/>
        <w:rPr>
          <w:sz w:val="20"/>
          <w:szCs w:val="20"/>
          <w:color w:val="auto"/>
        </w:rPr>
      </w:pPr>
    </w:p>
    <w:p>
      <w:pPr>
        <w:spacing w:after="0" w:line="286" w:lineRule="exact"/>
        <w:rPr>
          <w:sz w:val="20"/>
          <w:szCs w:val="20"/>
          <w:color w:val="auto"/>
        </w:rPr>
      </w:pPr>
    </w:p>
    <w:p>
      <w:pPr>
        <w:ind w:left="480" w:right="3400" w:hanging="454"/>
        <w:spacing w:after="0" w:line="266" w:lineRule="auto"/>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annual meeting will be held virtually on Wednesday, May 1, 2024, at 10:00 a.m., Central Time, at </w:t>
      </w:r>
      <w:r>
        <w:rPr>
          <w:rFonts w:ascii="Times New Roman" w:cs="Times New Roman" w:eastAsia="Times New Roman" w:hAnsi="Times New Roman"/>
          <w:sz w:val="18"/>
          <w:szCs w:val="18"/>
          <w:i w:val="1"/>
          <w:iCs w:val="1"/>
          <w:u w:val="single" w:color="auto"/>
          <w:color w:val="auto"/>
        </w:rPr>
        <w:t>www.virtualshareholdermeeting.com/WHG2024.</w:t>
      </w:r>
    </w:p>
    <w:p>
      <w:pPr>
        <w:spacing w:after="0" w:line="212" w:lineRule="exact"/>
        <w:rPr>
          <w:sz w:val="20"/>
          <w:szCs w:val="20"/>
          <w:color w:val="auto"/>
        </w:rPr>
      </w:pPr>
    </w:p>
    <w:p>
      <w:pPr>
        <w:ind w:left="480" w:hanging="454"/>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256" w:lineRule="exact"/>
        <w:rPr>
          <w:rFonts w:ascii="Times New Roman" w:cs="Times New Roman" w:eastAsia="Times New Roman" w:hAnsi="Times New Roman"/>
          <w:sz w:val="18"/>
          <w:szCs w:val="18"/>
          <w:b w:val="1"/>
          <w:bCs w:val="1"/>
          <w:color w:val="auto"/>
        </w:rPr>
      </w:pPr>
    </w:p>
    <w:p>
      <w:pPr>
        <w:ind w:left="560" w:hanging="489"/>
        <w:spacing w:after="0"/>
        <w:tabs>
          <w:tab w:leader="none" w:pos="56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stockholders are being asked to vote on the following proposals at the annual meeting:</w:t>
      </w:r>
    </w:p>
    <w:p>
      <w:pPr>
        <w:spacing w:after="0" w:line="27" w:lineRule="exact"/>
        <w:rPr>
          <w:rFonts w:ascii="Times New Roman" w:cs="Times New Roman" w:eastAsia="Times New Roman" w:hAnsi="Times New Roman"/>
          <w:sz w:val="18"/>
          <w:szCs w:val="18"/>
          <w:b w:val="1"/>
          <w:bCs w:val="1"/>
          <w:color w:val="auto"/>
        </w:rPr>
      </w:pPr>
    </w:p>
    <w:p>
      <w:pPr>
        <w:ind w:left="1120" w:right="580" w:hanging="563"/>
        <w:spacing w:after="0" w:line="234" w:lineRule="auto"/>
        <w:tabs>
          <w:tab w:leader="none" w:pos="1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To elect five directors to hold office until the next annual meeting of Westwood’s stockholders and until their respective successors shall have been duly elected and qualified; and</w:t>
      </w:r>
    </w:p>
    <w:p>
      <w:pPr>
        <w:spacing w:after="0" w:line="10" w:lineRule="exact"/>
        <w:rPr>
          <w:rFonts w:ascii="Times New Roman" w:cs="Times New Roman" w:eastAsia="Times New Roman" w:hAnsi="Times New Roman"/>
          <w:sz w:val="18"/>
          <w:szCs w:val="18"/>
          <w:color w:val="auto"/>
        </w:rPr>
      </w:pPr>
    </w:p>
    <w:p>
      <w:pPr>
        <w:ind w:left="1120" w:right="140" w:hanging="563"/>
        <w:spacing w:after="0" w:line="237" w:lineRule="auto"/>
        <w:tabs>
          <w:tab w:leader="none" w:pos="1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To ratify the appointment of BDO USA, P.C. ("BDO") as Westwood’s independent auditors for the year ending December 31, 2024; and</w:t>
      </w:r>
    </w:p>
    <w:p>
      <w:pPr>
        <w:spacing w:after="0" w:line="9" w:lineRule="exact"/>
        <w:rPr>
          <w:rFonts w:ascii="Times New Roman" w:cs="Times New Roman" w:eastAsia="Times New Roman" w:hAnsi="Times New Roman"/>
          <w:sz w:val="18"/>
          <w:szCs w:val="18"/>
          <w:color w:val="auto"/>
        </w:rPr>
      </w:pPr>
    </w:p>
    <w:p>
      <w:pPr>
        <w:ind w:left="1120" w:hanging="563"/>
        <w:spacing w:after="0"/>
        <w:tabs>
          <w:tab w:leader="none" w:pos="1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approve the Tenth Amended and Restated Westwood Holdings Group, Inc. Stock Incentive Plan; and</w:t>
      </w:r>
    </w:p>
    <w:p>
      <w:pPr>
        <w:spacing w:after="0" w:line="27" w:lineRule="exact"/>
        <w:rPr>
          <w:rFonts w:ascii="Times New Roman" w:cs="Times New Roman" w:eastAsia="Times New Roman" w:hAnsi="Times New Roman"/>
          <w:sz w:val="18"/>
          <w:szCs w:val="18"/>
          <w:color w:val="auto"/>
        </w:rPr>
      </w:pPr>
    </w:p>
    <w:p>
      <w:pPr>
        <w:ind w:left="1120" w:hanging="563"/>
        <w:spacing w:after="0"/>
        <w:tabs>
          <w:tab w:leader="none" w:pos="1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To cast a non-binding, advisory vote on the Company's executive compensation; and</w:t>
      </w:r>
    </w:p>
    <w:p>
      <w:pPr>
        <w:spacing w:after="0" w:line="22" w:lineRule="exact"/>
        <w:rPr>
          <w:rFonts w:ascii="Times New Roman" w:cs="Times New Roman" w:eastAsia="Times New Roman" w:hAnsi="Times New Roman"/>
          <w:sz w:val="18"/>
          <w:szCs w:val="18"/>
          <w:color w:val="auto"/>
        </w:rPr>
      </w:pPr>
    </w:p>
    <w:p>
      <w:pPr>
        <w:ind w:left="1120" w:right="60" w:hanging="563"/>
        <w:spacing w:after="0" w:line="260" w:lineRule="auto"/>
        <w:tabs>
          <w:tab w:leader="none" w:pos="1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 To approve an amendment to the Company’s Amended and Restated Articles of Incorporation to extend exculpation protection to the Company’s officers pursuant to Section 102(b)(7) of the Delaware General Corporation Law.</w:t>
      </w:r>
    </w:p>
    <w:p>
      <w:pPr>
        <w:spacing w:after="0" w:line="245"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00" w:lineRule="exact"/>
        <w:rPr>
          <w:sz w:val="20"/>
          <w:szCs w:val="20"/>
          <w:color w:val="auto"/>
        </w:rPr>
      </w:pPr>
    </w:p>
    <w:p>
      <w:pPr>
        <w:spacing w:after="0" w:line="259" w:lineRule="exact"/>
        <w:rPr>
          <w:sz w:val="20"/>
          <w:szCs w:val="20"/>
          <w:color w:val="auto"/>
        </w:rPr>
      </w:pPr>
    </w:p>
    <w:p>
      <w:pPr>
        <w:ind w:left="480" w:right="120" w:hanging="454"/>
        <w:spacing w:after="0" w:line="220" w:lineRule="auto"/>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recommends that you vote your shares (i) "FOR" each of the five director nominees for election to the Board of Directors, (ii) "FOR" the ratification of the appointment of BDO as Westwood’s independent auditors for the year ending December 31, 2024, (iii) "FOR" the approval of the Tenth Amended and Restated Westwood Holdings Group, Inc. Stock Incentive Plan, (iv) "FOR" the approval, on a non-binding, advisory basis, of the Company’s executive compensation, and (v) "FOR” the approval of the amendment to the Company’s Amended and Restated Articles of Incorporation to extend exculpation protection to the Company’s officers pursuant to Section 102(b)(7) of the Delaware General Corporation Law.</w:t>
      </w:r>
    </w:p>
    <w:p>
      <w:pPr>
        <w:ind w:left="480" w:right="100"/>
        <w:spacing w:after="0" w:line="245" w:lineRule="auto"/>
        <w:rPr>
          <w:sz w:val="20"/>
          <w:szCs w:val="20"/>
          <w:color w:val="auto"/>
        </w:rPr>
      </w:pPr>
      <w:r>
        <w:rPr>
          <w:rFonts w:ascii="Times New Roman" w:cs="Times New Roman" w:eastAsia="Times New Roman" w:hAnsi="Times New Roman"/>
          <w:sz w:val="18"/>
          <w:szCs w:val="18"/>
          <w:color w:val="auto"/>
        </w:rPr>
        <w:t>If you submit your properly executed proxy without voting instructions, your shares represented by that proxy will be voted as recommended by the Board of Directors.</w:t>
      </w:r>
    </w:p>
    <w:p>
      <w:pPr>
        <w:spacing w:after="0" w:line="217" w:lineRule="exact"/>
        <w:rPr>
          <w:sz w:val="20"/>
          <w:szCs w:val="20"/>
          <w:color w:val="auto"/>
        </w:rPr>
      </w:pPr>
    </w:p>
    <w:p>
      <w:pPr>
        <w:ind w:left="480" w:hanging="454"/>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0" w:lineRule="exact"/>
        <w:rPr>
          <w:sz w:val="20"/>
          <w:szCs w:val="20"/>
          <w:color w:val="auto"/>
        </w:rPr>
      </w:pPr>
    </w:p>
    <w:p>
      <w:pPr>
        <w:spacing w:after="0" w:line="272" w:lineRule="exact"/>
        <w:rPr>
          <w:sz w:val="20"/>
          <w:szCs w:val="20"/>
          <w:color w:val="auto"/>
        </w:rPr>
      </w:pPr>
    </w:p>
    <w:p>
      <w:pPr>
        <w:ind w:left="480" w:hanging="454"/>
        <w:spacing w:after="0" w:line="220" w:lineRule="auto"/>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of record at the close of business on March 4, 2024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4, 2024, there were 9,330,762 shares of common stock outstanding and entitled to vote on each of the proposals.</w:t>
      </w:r>
    </w:p>
    <w:p>
      <w:pPr>
        <w:spacing w:after="0" w:line="200" w:lineRule="exact"/>
        <w:rPr>
          <w:sz w:val="20"/>
          <w:szCs w:val="20"/>
          <w:color w:val="auto"/>
        </w:rPr>
      </w:pPr>
    </w:p>
    <w:p>
      <w:pPr>
        <w:spacing w:after="0" w:line="238" w:lineRule="exact"/>
        <w:rPr>
          <w:sz w:val="20"/>
          <w:szCs w:val="20"/>
          <w:color w:val="auto"/>
        </w:rPr>
      </w:pPr>
    </w:p>
    <w:p>
      <w:pPr>
        <w:ind w:left="480" w:hanging="454"/>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549" w:right="359" w:bottom="1440" w:gutter="0" w:footer="0" w:header="0"/>
        </w:sectPr>
      </w:pPr>
    </w:p>
    <w:bookmarkStart w:id="6" w:name="page7"/>
    <w:bookmarkEnd w:id="6"/>
    <w:p>
      <w:pPr>
        <w:ind w:left="480" w:right="240" w:hanging="454"/>
        <w:spacing w:after="0" w:line="247" w:lineRule="auto"/>
        <w:tabs>
          <w:tab w:leader="none" w:pos="4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216" w:lineRule="exact"/>
        <w:rPr>
          <w:sz w:val="20"/>
          <w:szCs w:val="20"/>
          <w:color w:val="auto"/>
        </w:rPr>
      </w:pPr>
    </w:p>
    <w:p>
      <w:pPr>
        <w:ind w:left="480" w:hanging="454"/>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59" w:lineRule="exact"/>
        <w:rPr>
          <w:sz w:val="20"/>
          <w:szCs w:val="20"/>
          <w:color w:val="auto"/>
        </w:rPr>
      </w:pPr>
    </w:p>
    <w:p>
      <w:pPr>
        <w:jc w:val="both"/>
        <w:ind w:left="480" w:right="160" w:hanging="454"/>
        <w:spacing w:after="0" w:line="231" w:lineRule="auto"/>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1" w:lineRule="exact"/>
        <w:rPr>
          <w:rFonts w:ascii="Times New Roman" w:cs="Times New Roman" w:eastAsia="Times New Roman" w:hAnsi="Times New Roman"/>
          <w:sz w:val="18"/>
          <w:szCs w:val="18"/>
          <w:b w:val="1"/>
          <w:bCs w:val="1"/>
          <w:color w:val="auto"/>
        </w:rPr>
      </w:pPr>
    </w:p>
    <w:p>
      <w:pPr>
        <w:ind w:left="480"/>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21" w:lineRule="exact"/>
        <w:rPr>
          <w:sz w:val="20"/>
          <w:szCs w:val="20"/>
          <w:color w:val="auto"/>
        </w:rPr>
      </w:pPr>
    </w:p>
    <w:p>
      <w:pPr>
        <w:ind w:left="480" w:hanging="454"/>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200" w:lineRule="exact"/>
        <w:rPr>
          <w:sz w:val="20"/>
          <w:szCs w:val="20"/>
          <w:color w:val="auto"/>
        </w:rPr>
      </w:pPr>
    </w:p>
    <w:p>
      <w:pPr>
        <w:spacing w:after="0" w:line="272" w:lineRule="exact"/>
        <w:rPr>
          <w:sz w:val="20"/>
          <w:szCs w:val="20"/>
          <w:color w:val="auto"/>
        </w:rPr>
      </w:pPr>
    </w:p>
    <w:p>
      <w:pPr>
        <w:ind w:left="480" w:right="20" w:hanging="454"/>
        <w:spacing w:after="0" w:line="220" w:lineRule="auto"/>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9" w:lineRule="exact"/>
        <w:rPr>
          <w:rFonts w:ascii="Times New Roman" w:cs="Times New Roman" w:eastAsia="Times New Roman" w:hAnsi="Times New Roman"/>
          <w:sz w:val="18"/>
          <w:szCs w:val="18"/>
          <w:b w:val="1"/>
          <w:bCs w:val="1"/>
          <w:color w:val="auto"/>
        </w:rPr>
      </w:pPr>
    </w:p>
    <w:p>
      <w:pPr>
        <w:ind w:left="480" w:right="40"/>
        <w:spacing w:after="0" w:line="2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BDO as Westwood’s independent auditors for the year ending December 31, 2024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23" w:lineRule="exact"/>
        <w:rPr>
          <w:sz w:val="20"/>
          <w:szCs w:val="20"/>
          <w:color w:val="auto"/>
        </w:rPr>
      </w:pPr>
    </w:p>
    <w:p>
      <w:pPr>
        <w:ind w:left="480" w:hanging="454"/>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2" w:lineRule="exact"/>
        <w:rPr>
          <w:sz w:val="20"/>
          <w:szCs w:val="20"/>
          <w:color w:val="auto"/>
        </w:rPr>
      </w:pPr>
    </w:p>
    <w:p>
      <w:pPr>
        <w:ind w:left="480" w:right="20" w:hanging="454"/>
        <w:spacing w:after="0" w:line="224" w:lineRule="auto"/>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1" w:lineRule="exact"/>
        <w:rPr>
          <w:rFonts w:ascii="Times New Roman" w:cs="Times New Roman" w:eastAsia="Times New Roman" w:hAnsi="Times New Roman"/>
          <w:sz w:val="18"/>
          <w:szCs w:val="18"/>
          <w:b w:val="1"/>
          <w:bCs w:val="1"/>
          <w:color w:val="auto"/>
        </w:rPr>
      </w:pPr>
    </w:p>
    <w:p>
      <w:pPr>
        <w:ind w:left="480" w:right="60"/>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2: The ratification of the appointment of BDO as Westwood’s independent auditors for the year ending December 31, 2024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9" w:lineRule="exact"/>
        <w:rPr>
          <w:rFonts w:ascii="Times New Roman" w:cs="Times New Roman" w:eastAsia="Times New Roman" w:hAnsi="Times New Roman"/>
          <w:sz w:val="18"/>
          <w:szCs w:val="18"/>
          <w:b w:val="1"/>
          <w:bCs w:val="1"/>
          <w:color w:val="auto"/>
        </w:rPr>
      </w:pPr>
    </w:p>
    <w:p>
      <w:pPr>
        <w:ind w:left="480" w:right="6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3: The approval of the Tenth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Neither a broker non-vote nor an abstention is a vote cast under applicable law or applicable NYSE rules and will have no effect on the outcome of this proposal.</w:t>
      </w:r>
    </w:p>
    <w:p>
      <w:pPr>
        <w:spacing w:after="0" w:line="9" w:lineRule="exact"/>
        <w:rPr>
          <w:rFonts w:ascii="Times New Roman" w:cs="Times New Roman" w:eastAsia="Times New Roman" w:hAnsi="Times New Roman"/>
          <w:sz w:val="18"/>
          <w:szCs w:val="18"/>
          <w:b w:val="1"/>
          <w:bCs w:val="1"/>
          <w:color w:val="auto"/>
        </w:rPr>
      </w:pPr>
    </w:p>
    <w:p>
      <w:pPr>
        <w:ind w:left="480"/>
        <w:spacing w:after="0" w:line="22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1" w:lineRule="exact"/>
        <w:rPr>
          <w:rFonts w:ascii="Times New Roman" w:cs="Times New Roman" w:eastAsia="Times New Roman" w:hAnsi="Times New Roman"/>
          <w:sz w:val="18"/>
          <w:szCs w:val="18"/>
          <w:b w:val="1"/>
          <w:bCs w:val="1"/>
          <w:color w:val="auto"/>
        </w:rPr>
      </w:pPr>
    </w:p>
    <w:p>
      <w:pPr>
        <w:ind w:left="480" w:right="2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5: The approval of the amendment to the Company’s Amended and Restated Certificate of Incorporation requires the affirmative “FOR” vote of a majority of outstanding stock entitled to vote. You may vote “FOR,” “AGAINST,” OR “ABSTAIN” with respect to this proposal. As the approval of Proposal 5 is a non-routine matter under applicable rules, your bank, broker or other nominee cannot vote without instructions from you. Both broker non-votes and abstentions will have the effect of a vote “AGAINST” this proposal.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FOR VOTING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10" w:right="379" w:bottom="1440" w:gutter="0" w:footer="0" w:header="0"/>
        </w:sectPr>
      </w:pPr>
    </w:p>
    <w:bookmarkStart w:id="7" w:name="page8"/>
    <w:bookmarkEnd w:id="7"/>
    <w:p>
      <w:pPr>
        <w:ind w:left="480" w:hanging="454"/>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200" w:lineRule="exact"/>
        <w:rPr>
          <w:sz w:val="20"/>
          <w:szCs w:val="20"/>
          <w:color w:val="auto"/>
        </w:rPr>
      </w:pPr>
    </w:p>
    <w:p>
      <w:pPr>
        <w:spacing w:after="0" w:line="272" w:lineRule="exact"/>
        <w:rPr>
          <w:sz w:val="20"/>
          <w:szCs w:val="20"/>
          <w:color w:val="auto"/>
        </w:rPr>
      </w:pPr>
    </w:p>
    <w:p>
      <w:pPr>
        <w:ind w:left="480" w:right="440" w:hanging="454"/>
        <w:spacing w:after="0" w:line="237" w:lineRule="auto"/>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stockholders of record as of the close of business on March 4, 2024, the record date, will be entitled to vote on the proposals at the annual meeting. Each share of common stock is entitled to one vote.</w:t>
      </w:r>
    </w:p>
    <w:p>
      <w:pPr>
        <w:spacing w:after="0" w:line="222" w:lineRule="exact"/>
        <w:rPr>
          <w:sz w:val="20"/>
          <w:szCs w:val="20"/>
          <w:color w:val="auto"/>
        </w:rPr>
      </w:pPr>
    </w:p>
    <w:p>
      <w:pPr>
        <w:ind w:left="480" w:hanging="454"/>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00" w:lineRule="exact"/>
        <w:rPr>
          <w:sz w:val="20"/>
          <w:szCs w:val="20"/>
          <w:color w:val="auto"/>
        </w:rPr>
      </w:pPr>
    </w:p>
    <w:p>
      <w:pPr>
        <w:spacing w:after="0" w:line="272" w:lineRule="exact"/>
        <w:rPr>
          <w:sz w:val="20"/>
          <w:szCs w:val="20"/>
          <w:color w:val="auto"/>
        </w:rPr>
      </w:pPr>
    </w:p>
    <w:p>
      <w:pPr>
        <w:ind w:left="480" w:right="100" w:hanging="454"/>
        <w:spacing w:after="0" w:line="231" w:lineRule="auto"/>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using the control number shown on your proxy card or voting instruction card.</w:t>
      </w:r>
    </w:p>
    <w:p>
      <w:pPr>
        <w:spacing w:after="0" w:line="1" w:lineRule="exact"/>
        <w:rPr>
          <w:rFonts w:ascii="Times New Roman" w:cs="Times New Roman" w:eastAsia="Times New Roman" w:hAnsi="Times New Roman"/>
          <w:sz w:val="18"/>
          <w:szCs w:val="18"/>
          <w:b w:val="1"/>
          <w:bCs w:val="1"/>
          <w:color w:val="auto"/>
        </w:rPr>
      </w:pPr>
    </w:p>
    <w:p>
      <w:pPr>
        <w:ind w:left="480" w:right="2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21" w:lineRule="exact"/>
        <w:rPr>
          <w:sz w:val="20"/>
          <w:szCs w:val="20"/>
          <w:color w:val="auto"/>
        </w:rPr>
      </w:pPr>
    </w:p>
    <w:p>
      <w:pPr>
        <w:ind w:left="480" w:hanging="454"/>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proxy revocable and can I change my vote?</w:t>
      </w:r>
    </w:p>
    <w:p>
      <w:pPr>
        <w:spacing w:after="0" w:line="242" w:lineRule="exact"/>
        <w:rPr>
          <w:rFonts w:ascii="Times New Roman" w:cs="Times New Roman" w:eastAsia="Times New Roman" w:hAnsi="Times New Roman"/>
          <w:sz w:val="18"/>
          <w:szCs w:val="18"/>
          <w:b w:val="1"/>
          <w:bCs w:val="1"/>
          <w:color w:val="auto"/>
        </w:rPr>
      </w:pPr>
    </w:p>
    <w:p>
      <w:pPr>
        <w:ind w:left="560" w:hanging="489"/>
        <w:spacing w:after="0"/>
        <w:tabs>
          <w:tab w:leader="none" w:pos="5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may revoke your proxy at any time before it is officially voted by doing one of the following:</w:t>
      </w:r>
    </w:p>
    <w:p>
      <w:pPr>
        <w:spacing w:after="0" w:line="27" w:lineRule="exact"/>
        <w:rPr>
          <w:rFonts w:ascii="Times New Roman" w:cs="Times New Roman" w:eastAsia="Times New Roman" w:hAnsi="Times New Roman"/>
          <w:sz w:val="18"/>
          <w:szCs w:val="18"/>
          <w:b w:val="1"/>
          <w:bCs w:val="1"/>
          <w:color w:val="auto"/>
        </w:rPr>
      </w:pPr>
    </w:p>
    <w:p>
      <w:pPr>
        <w:ind w:left="1080" w:hanging="523"/>
        <w:spacing w:after="0"/>
        <w:tabs>
          <w:tab w:leader="none" w:pos="10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revoking your proxy to our Corporate Secretary at 200 Crescent Court, Suite 1200, Dallas, Texas 75201;</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mailing to us a proxy bearing a later date;</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your vote by Internet (if you voted by Internet); or</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our virtual annual meeting and voting then.</w:t>
      </w:r>
    </w:p>
    <w:p>
      <w:pPr>
        <w:spacing w:after="0" w:line="301" w:lineRule="exact"/>
        <w:rPr>
          <w:sz w:val="20"/>
          <w:szCs w:val="20"/>
          <w:color w:val="auto"/>
        </w:rPr>
      </w:pPr>
    </w:p>
    <w:p>
      <w:pPr>
        <w:ind w:left="640" w:right="100"/>
        <w:spacing w:after="0" w:line="226" w:lineRule="auto"/>
        <w:rPr>
          <w:sz w:val="20"/>
          <w:szCs w:val="20"/>
          <w:color w:val="auto"/>
        </w:rPr>
      </w:pPr>
      <w:r>
        <w:rPr>
          <w:rFonts w:ascii="Times New Roman" w:cs="Times New Roman" w:eastAsia="Times New Roman" w:hAnsi="Times New Roman"/>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35" w:lineRule="exact"/>
        <w:rPr>
          <w:sz w:val="20"/>
          <w:szCs w:val="20"/>
          <w:color w:val="auto"/>
        </w:rPr>
      </w:pPr>
    </w:p>
    <w:p>
      <w:pPr>
        <w:ind w:left="520" w:hanging="449"/>
        <w:spacing w:after="0"/>
        <w:tabs>
          <w:tab w:leader="none" w:pos="52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200" w:lineRule="exact"/>
        <w:rPr>
          <w:rFonts w:ascii="Times New Roman" w:cs="Times New Roman" w:eastAsia="Times New Roman" w:hAnsi="Times New Roman"/>
          <w:sz w:val="18"/>
          <w:szCs w:val="18"/>
          <w:b w:val="1"/>
          <w:bCs w:val="1"/>
          <w:color w:val="auto"/>
        </w:rPr>
      </w:pPr>
    </w:p>
    <w:p>
      <w:pPr>
        <w:spacing w:after="0" w:line="285" w:lineRule="exact"/>
        <w:rPr>
          <w:rFonts w:ascii="Times New Roman" w:cs="Times New Roman" w:eastAsia="Times New Roman" w:hAnsi="Times New Roman"/>
          <w:sz w:val="18"/>
          <w:szCs w:val="18"/>
          <w:b w:val="1"/>
          <w:bCs w:val="1"/>
          <w:color w:val="auto"/>
        </w:rPr>
      </w:pPr>
    </w:p>
    <w:p>
      <w:pPr>
        <w:ind w:left="480" w:right="300" w:hanging="454"/>
        <w:spacing w:after="0" w:line="237" w:lineRule="auto"/>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CURRENT STOCK OWNERSHIP</w:t>
      </w:r>
    </w:p>
    <w:p>
      <w:pPr>
        <w:spacing w:after="0" w:line="158" w:lineRule="exact"/>
        <w:rPr>
          <w:sz w:val="20"/>
          <w:szCs w:val="20"/>
          <w:color w:val="auto"/>
        </w:rPr>
      </w:pPr>
    </w:p>
    <w:p>
      <w:pPr>
        <w:ind w:left="480" w:hanging="454"/>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percentage of stock do the directors and executive officers own?</w:t>
      </w:r>
    </w:p>
    <w:p>
      <w:pPr>
        <w:spacing w:after="0" w:line="256" w:lineRule="exact"/>
        <w:rPr>
          <w:sz w:val="20"/>
          <w:szCs w:val="20"/>
          <w:color w:val="auto"/>
        </w:rPr>
      </w:pPr>
    </w:p>
    <w:p>
      <w:pPr>
        <w:ind w:left="480" w:right="600" w:hanging="454"/>
        <w:spacing w:after="0" w:line="237" w:lineRule="auto"/>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Collectively, our named executive officers and directors beneficially owned approximately 1,055,393 shares, or approximately 11.3%, of our outstanding common stock as of March 4, 2024.</w:t>
      </w:r>
    </w:p>
    <w:p>
      <w:pPr>
        <w:spacing w:after="0" w:line="77" w:lineRule="exact"/>
        <w:rPr>
          <w:rFonts w:ascii="Times New Roman" w:cs="Times New Roman" w:eastAsia="Times New Roman" w:hAnsi="Times New Roman"/>
          <w:sz w:val="18"/>
          <w:szCs w:val="18"/>
          <w:b w:val="1"/>
          <w:bCs w:val="1"/>
          <w:color w:val="auto"/>
        </w:rPr>
      </w:pPr>
    </w:p>
    <w:p>
      <w:pPr>
        <w:ind w:left="480" w:right="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200" w:lineRule="exact"/>
        <w:rPr>
          <w:sz w:val="20"/>
          <w:szCs w:val="20"/>
          <w:color w:val="auto"/>
        </w:rPr>
      </w:pPr>
    </w:p>
    <w:p>
      <w:pPr>
        <w:spacing w:after="0" w:line="337" w:lineRule="exact"/>
        <w:rPr>
          <w:sz w:val="20"/>
          <w:szCs w:val="20"/>
          <w:color w:val="auto"/>
        </w:rPr>
      </w:pPr>
    </w:p>
    <w:p>
      <w:pPr>
        <w:ind w:left="480" w:hanging="454"/>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are the largest principal stockholders?</w:t>
      </w:r>
    </w:p>
    <w:p>
      <w:pPr>
        <w:spacing w:after="0" w:line="200" w:lineRule="exact"/>
        <w:rPr>
          <w:sz w:val="20"/>
          <w:szCs w:val="20"/>
          <w:color w:val="auto"/>
        </w:rPr>
      </w:pPr>
    </w:p>
    <w:p>
      <w:pPr>
        <w:spacing w:after="0" w:line="259" w:lineRule="exact"/>
        <w:rPr>
          <w:sz w:val="20"/>
          <w:szCs w:val="20"/>
          <w:color w:val="auto"/>
        </w:rPr>
      </w:pPr>
    </w:p>
    <w:p>
      <w:pPr>
        <w:ind w:left="480" w:hanging="454"/>
        <w:spacing w:after="0" w:line="223" w:lineRule="auto"/>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our review of Schedule 13G, Schedule 13D and Form 13F filings, as of March 4, 2024, the ten institutional stockholders with the largest percentage ownership of our outstanding common stock were Hoak Public Equities, L.P. (6.4%), Allspring Global Investments Holding LLC (6.1%), DePrince, Race &amp; Zollo, Inc. (5.2%), Renaissance Technologies LLC (5.0%), GAMCO Investors, Inc. (4.8%), The Vanguard Group, Inc. (4.3%), North Star Investment Management Group (3.8%), Luther King Capital Management Corp (2.6%), Dimensional Fund Advisors LP (2.5%), and Russell Investment Management LLC (2.2%).</w:t>
      </w:r>
    </w:p>
    <w:p>
      <w:pPr>
        <w:spacing w:after="0" w:line="77" w:lineRule="exact"/>
        <w:rPr>
          <w:rFonts w:ascii="Times New Roman" w:cs="Times New Roman" w:eastAsia="Times New Roman" w:hAnsi="Times New Roman"/>
          <w:sz w:val="18"/>
          <w:szCs w:val="18"/>
          <w:b w:val="1"/>
          <w:bCs w:val="1"/>
          <w:color w:val="auto"/>
        </w:rPr>
      </w:pPr>
    </w:p>
    <w:p>
      <w:pPr>
        <w:ind w:left="480" w:right="60"/>
        <w:spacing w:after="0" w:line="22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O. Casey, our Chief Executive Officer, owned 5.2%, and Susan M. Byrne, our Vice Chairman, whose term will end at the 2024 annual meeting, owned 3.0% of our outstanding common stock as of March 4, 2024. Our employees and directors, including Mr. Casey, collectively owned approximately 28.1% of our outstanding common stock as of March 4, 2024.</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59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58" w:lineRule="exact"/>
        <w:rPr>
          <w:sz w:val="20"/>
          <w:szCs w:val="20"/>
          <w:color w:val="auto"/>
        </w:rPr>
      </w:pPr>
    </w:p>
    <w:p>
      <w:pPr>
        <w:ind w:left="480" w:hanging="454"/>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72" w:lineRule="exact"/>
        <w:rPr>
          <w:sz w:val="20"/>
          <w:szCs w:val="20"/>
          <w:color w:val="auto"/>
        </w:rPr>
      </w:pPr>
    </w:p>
    <w:p>
      <w:pPr>
        <w:jc w:val="both"/>
        <w:ind w:left="480" w:right="140" w:hanging="454"/>
        <w:spacing w:after="0" w:line="226" w:lineRule="auto"/>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21"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additional questions?</w:t>
      </w:r>
    </w:p>
    <w:p>
      <w:pPr>
        <w:spacing w:after="0" w:line="200" w:lineRule="exact"/>
        <w:rPr>
          <w:sz w:val="20"/>
          <w:szCs w:val="20"/>
          <w:color w:val="auto"/>
        </w:rPr>
      </w:pPr>
    </w:p>
    <w:p>
      <w:pPr>
        <w:spacing w:after="0" w:line="272" w:lineRule="exact"/>
        <w:rPr>
          <w:sz w:val="20"/>
          <w:szCs w:val="20"/>
          <w:color w:val="auto"/>
        </w:rPr>
      </w:pPr>
    </w:p>
    <w:p>
      <w:pPr>
        <w:ind w:left="480" w:right="380" w:hanging="454"/>
        <w:spacing w:after="0" w:line="237" w:lineRule="auto"/>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9" w:lineRule="exact"/>
        <w:rPr>
          <w:rFonts w:ascii="Times New Roman" w:cs="Times New Roman" w:eastAsia="Times New Roman" w:hAnsi="Times New Roman"/>
          <w:sz w:val="18"/>
          <w:szCs w:val="18"/>
          <w:b w:val="1"/>
          <w:bCs w:val="1"/>
          <w:color w:val="auto"/>
        </w:rPr>
      </w:pPr>
    </w:p>
    <w:p>
      <w:pPr>
        <w:ind w:left="480" w:right="7120"/>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Terry Forbes, Chief Financial Officer &amp; Treasurer Westwood Holdings Group, Inc.</w:t>
      </w:r>
    </w:p>
    <w:p>
      <w:pPr>
        <w:spacing w:after="0" w:line="1" w:lineRule="exact"/>
        <w:rPr>
          <w:rFonts w:ascii="Times New Roman" w:cs="Times New Roman" w:eastAsia="Times New Roman" w:hAnsi="Times New Roman"/>
          <w:sz w:val="18"/>
          <w:szCs w:val="18"/>
          <w:b w:val="1"/>
          <w:bCs w:val="1"/>
          <w:color w:val="auto"/>
        </w:rPr>
      </w:pPr>
    </w:p>
    <w:p>
      <w:pPr>
        <w:ind w:left="480" w:right="8460"/>
        <w:spacing w:after="0" w:line="2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200 Crescent Court, Suite 1200 Dallas, Texas 75201 Telephone: (214) 756-6900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2023, filed with the Securities and Exchange Commission ("SEC") on March 7, 2024 (the "2023 Form 10-K"), which is being sent to you with this proxy statement.</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549"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Bylaws provide that the Board of Directors of the Company (the "Board") will consist of between three and eleven directors, as may be determined from time to time by resolution of the Board. The Board has previously set the number of directors at six, but the Board has also taken action to reduce the number of directors to five upon the expiration of Susan Byrne’s current term at the 2024 Annual Meeting, as she is not standing for reelection. Each director elected at the 2024 Annual Meeting will serve until the 2025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7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not serve if elected. If any of them should become unavailable to serve as a director, and if the Board designates a substitute nominee, the persons named in the accompanying proxy will vote for the substitute nominee designated by the Board, unless a contrary instruction is given in the proxy.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stockholder is entitled to cast one vote for each director nominee per share of common stock held by them at the close of business on March 4,</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2024.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persons nominated to be directors are listed below. The following information is submitted concerning the nominees for election as directors: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Westwood</w:t>
            </w:r>
          </w:p>
        </w:tc>
      </w:tr>
      <w:tr>
        <w:trPr>
          <w:trHeight w:val="23"/>
        </w:trPr>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EACH OF THE DIRECTOR NOMINEES.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biographical information for each director nominee is set forth below.</w:t>
      </w:r>
    </w:p>
    <w:p>
      <w:pPr>
        <w:spacing w:after="0" w:line="115" w:lineRule="exact"/>
        <w:rPr>
          <w:sz w:val="20"/>
          <w:szCs w:val="20"/>
          <w:color w:val="auto"/>
        </w:rPr>
      </w:pPr>
    </w:p>
    <w:p>
      <w:pPr>
        <w:ind w:right="60" w:firstLine="40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Brian O. Casey </w:t>
      </w:r>
      <w:r>
        <w:rPr>
          <w:rFonts w:ascii="Times New Roman" w:cs="Times New Roman" w:eastAsia="Times New Roman" w:hAnsi="Times New Roman"/>
          <w:sz w:val="17"/>
          <w:szCs w:val="17"/>
          <w:color w:val="auto"/>
        </w:rPr>
        <w:t>has served Westwood as Chief Executive Officer of Westwood since January 2006, as a director since its inception in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2001, as President from December 2001 to May 2022, as Secretary from December 2001 to March 2014, and as Chief Operating Officer from 2001 to 2005. Mr. Casey has served as Chief Executive Officer of Westwood Management since January 2006, as a director since 2000, as President from 2002 to 2022, as Chief Operating Officer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6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the Chief Executive Officer of the Company with over 24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66"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M. Frank </w:t>
      </w:r>
      <w:r>
        <w:rPr>
          <w:rFonts w:ascii="Times New Roman" w:cs="Times New Roman" w:eastAsia="Times New Roman" w:hAnsi="Times New Roman"/>
          <w:sz w:val="18"/>
          <w:szCs w:val="18"/>
          <w:color w:val="auto"/>
        </w:rPr>
        <w:t>has served as a director of Westwood and Westwood Trust since February 2006, and as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7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441" w:right="359" w:bottom="1440" w:gutter="0" w:footer="0" w:header="0"/>
        </w:sectPr>
      </w:pPr>
    </w:p>
    <w:bookmarkStart w:id="10" w:name="page11"/>
    <w:bookmarkEnd w:id="10"/>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Ellen H. Masterson </w:t>
      </w:r>
      <w:r>
        <w:rPr>
          <w:rFonts w:ascii="Times New Roman" w:cs="Times New Roman" w:eastAsia="Times New Roman" w:hAnsi="Times New Roman"/>
          <w:sz w:val="18"/>
          <w:szCs w:val="18"/>
          <w:color w:val="auto"/>
        </w:rPr>
        <w:t>has served as a director of Westwood and Westwood Trust since 2014. She retired as a partner with PricewaterhouseCoopers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w:t>
      </w:r>
    </w:p>
    <w:p>
      <w:pPr>
        <w:spacing w:after="0" w:line="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largest doctor-owned medical malpractice insurer in the United States. Since 1982, she has served on the boards of directors for numerous nonprofit and charitable organizations.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over 40 years of serving clients and acting as a public company Chief Financial Officer and a trustee of nonprofit organizations.</w:t>
      </w:r>
    </w:p>
    <w:p>
      <w:pPr>
        <w:spacing w:after="0" w:line="6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Geoffrey R. Norman </w:t>
      </w:r>
      <w:r>
        <w:rPr>
          <w:rFonts w:ascii="Times New Roman" w:cs="Times New Roman" w:eastAsia="Times New Roman" w:hAnsi="Times New Roman"/>
          <w:sz w:val="18"/>
          <w:szCs w:val="18"/>
          <w:color w:val="auto"/>
        </w:rPr>
        <w:t>has served as a director of Westwood and Westwood Trust since April 2007. He was employed by General Electric from 1968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7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Mr. Norman brings extensive financial, operational, regulatory and strategic expertise to the Board, having served in several finance and executive management roles over his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7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Randy A. Bowman </w:t>
      </w:r>
      <w:r>
        <w:rPr>
          <w:rFonts w:ascii="Times New Roman" w:cs="Times New Roman" w:eastAsia="Times New Roman" w:hAnsi="Times New Roman"/>
          <w:sz w:val="18"/>
          <w:szCs w:val="18"/>
          <w:color w:val="auto"/>
        </w:rPr>
        <w:t>has served as a director of Westwood and Westwood Trust since 2021. He has served as the Chair, CEO and President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 The Urban Boarding Experience ("AT LAST!"), a non-profit organization that provides impoverished elementary school-aged children with urban boarding opportunities and educational resources, from January 2017 to the present. From July 2001 to January 2017, Mr. Bowman served as the President and Co-Owner of MW Logistics, a provider of transportation and logistics solutions for Fortune 200 manufacturers. Prior to founding his logistics company, Mr. Bowman spent 12 years as a corporate finance lawyer, primarily representing publicly-held and privately-owned clients in transactions ranging from initial capitalizations through ultimate liquidity events. Since 2016, he has served as a Board member and Chair of Impact Dallas Capital, a fund supporting increased economic development in southern Dallas. From 2016 to 2020, Mr. Bowman served as a Board member and Chair of the City of Dallas Employee Retirement Fund. From 2011 to 2015, he served as Board Chair of the Parkland Hospital Foundation.</w:t>
      </w:r>
    </w:p>
    <w:p>
      <w:pPr>
        <w:spacing w:after="0" w:line="7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Mr. Bowman brings significant business development, operational and strategic expertise as a result of his seventeen years owning and presiding over a successful logistics company, and experience with sophisticated corporate transactions from his twelve years as a former corporate finance lawyer. As former Chair of the City of Dallas Employee Retirement Fund, he brings substantial knowledge of oversight of investment management and allocation from a plan sponsor perspective. Mr. Bowman also has extensive civic and community knowledge, reputation and relationship capital through his nonprofit service, having founded AT LAST! and served as Chair of multiple high-impact nonprofit organizations.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held seven meetings during 2023. All director nominees attended all meetings held in 2023. The standing committees of the Board of Directors currently consist of the Audit Committee, the Compensation and Human Capital Committee, and the Governance/Nominating Committee. The membership and duties of these committees are described below.</w:t>
      </w:r>
    </w:p>
    <w:p>
      <w:pPr>
        <w:spacing w:after="0" w:line="169" w:lineRule="exact"/>
        <w:rPr>
          <w:sz w:val="20"/>
          <w:szCs w:val="20"/>
          <w:color w:val="auto"/>
        </w:rPr>
      </w:pPr>
    </w:p>
    <w:tbl>
      <w:tblPr>
        <w:tblLayout w:type="fixed"/>
        <w:tblInd w:w="216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400" w:type="dxa"/>
            <w:vAlign w:val="bottom"/>
            <w:vMerge w:val="restart"/>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6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Governance/Nominating</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Independent Directors</w:t>
            </w:r>
            <w:r>
              <w:rPr>
                <w:rFonts w:ascii="Times New Roman" w:cs="Times New Roman" w:eastAsia="Times New Roman" w:hAnsi="Times New Roman"/>
                <w:sz w:val="18"/>
                <w:szCs w:val="18"/>
                <w:b w:val="1"/>
                <w:bCs w:val="1"/>
                <w:i w:val="1"/>
                <w:iCs w:val="1"/>
                <w:color w:val="auto"/>
                <w:vertAlign w:val="superscript"/>
              </w:rPr>
              <w:t>(1)</w:t>
            </w:r>
          </w:p>
        </w:tc>
        <w:tc>
          <w:tcPr>
            <w:tcW w:w="240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5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0"/>
        </w:trPr>
        <w:tc>
          <w:tcPr>
            <w:tcW w:w="40" w:type="dxa"/>
            <w:vAlign w:val="bottom"/>
          </w:tcPr>
          <w:p>
            <w:pPr>
              <w:spacing w:after="0"/>
              <w:rPr>
                <w:sz w:val="19"/>
                <w:szCs w:val="19"/>
                <w:color w:val="auto"/>
              </w:rPr>
            </w:pPr>
          </w:p>
        </w:tc>
        <w:tc>
          <w:tcPr>
            <w:tcW w:w="5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(3)</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0"/>
        </w:trPr>
        <w:tc>
          <w:tcPr>
            <w:tcW w:w="40" w:type="dxa"/>
            <w:vAlign w:val="bottom"/>
          </w:tcPr>
          <w:p>
            <w:pPr>
              <w:spacing w:after="0"/>
              <w:rPr>
                <w:sz w:val="19"/>
                <w:szCs w:val="19"/>
                <w:color w:val="auto"/>
              </w:rPr>
            </w:pPr>
          </w:p>
        </w:tc>
        <w:tc>
          <w:tcPr>
            <w:tcW w:w="5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(3)</w:t>
            </w:r>
          </w:p>
        </w:tc>
        <w:tc>
          <w:tcPr>
            <w:tcW w:w="1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6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w:t>
            </w:r>
          </w:p>
        </w:tc>
        <w:tc>
          <w:tcPr>
            <w:tcW w:w="1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4"/>
        </w:trPr>
        <w:tc>
          <w:tcPr>
            <w:tcW w:w="40" w:type="dxa"/>
            <w:vAlign w:val="bottom"/>
          </w:tcPr>
          <w:p>
            <w:pPr>
              <w:spacing w:after="0"/>
              <w:rPr>
                <w:sz w:val="20"/>
                <w:szCs w:val="20"/>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r>
      <w:tr>
        <w:trPr>
          <w:trHeight w:val="197"/>
        </w:trPr>
        <w:tc>
          <w:tcPr>
            <w:tcW w:w="5700" w:type="dxa"/>
            <w:vAlign w:val="bottom"/>
            <w:gridSpan w:val="2"/>
          </w:tcPr>
          <w:p>
            <w:pPr>
              <w:jc w:val="right"/>
              <w:ind w:right="4750"/>
              <w:spacing w:after="0"/>
              <w:rPr>
                <w:sz w:val="20"/>
                <w:szCs w:val="20"/>
                <w:color w:val="auto"/>
              </w:rPr>
            </w:pPr>
            <w:r>
              <w:rPr>
                <w:rFonts w:ascii="Times New Roman" w:cs="Times New Roman" w:eastAsia="Times New Roman" w:hAnsi="Times New Roman"/>
                <w:sz w:val="9"/>
                <w:szCs w:val="9"/>
                <w:color w:val="auto"/>
                <w:w w:val="98"/>
              </w:rPr>
              <w:t>___________________</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5" w:lineRule="exact"/>
        <w:rPr>
          <w:sz w:val="20"/>
          <w:szCs w:val="20"/>
          <w:color w:val="auto"/>
        </w:rPr>
      </w:pPr>
    </w:p>
    <w:p>
      <w:pPr>
        <w:ind w:right="9820" w:firstLine="8"/>
        <w:spacing w:after="0" w:line="281" w:lineRule="auto"/>
        <w:tabs>
          <w:tab w:leader="none" w:pos="2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C Committee chair</w:t>
      </w:r>
    </w:p>
    <w:p>
      <w:pPr>
        <w:spacing w:after="0" w:line="1" w:lineRule="exact"/>
        <w:rPr>
          <w:sz w:val="20"/>
          <w:szCs w:val="20"/>
          <w:color w:val="auto"/>
        </w:rPr>
      </w:pPr>
    </w:p>
    <w:p>
      <w:pPr>
        <w:ind w:left="660" w:right="240" w:hanging="652"/>
        <w:spacing w:after="0" w:line="271" w:lineRule="auto"/>
        <w:tabs>
          <w:tab w:leader="none" w:pos="32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all members of the Audit, Compensation and Human Capital, and Governance/Nominating Committees are "independent directors" under the applicable rules of the NYSE and the Securities and Exchange Commission ("SEC").</w:t>
      </w: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M. Frank is the Chairman of the Board of Directors and, as such, he chairs executive sessions of the Board of Directors.</w:t>
      </w:r>
    </w:p>
    <w:p>
      <w:pPr>
        <w:spacing w:after="0" w:line="28" w:lineRule="exact"/>
        <w:rPr>
          <w:rFonts w:ascii="Times New Roman" w:cs="Times New Roman" w:eastAsia="Times New Roman" w:hAnsi="Times New Roman"/>
          <w:sz w:val="14"/>
          <w:szCs w:val="14"/>
          <w:color w:val="auto"/>
        </w:rPr>
      </w:pPr>
    </w:p>
    <w:p>
      <w:pPr>
        <w:ind w:left="660" w:right="300" w:hanging="652"/>
        <w:spacing w:after="0" w:line="302" w:lineRule="auto"/>
        <w:tabs>
          <w:tab w:leader="none" w:pos="32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Committees</w:t>
      </w:r>
    </w:p>
    <w:p>
      <w:pPr>
        <w:spacing w:after="0" w:line="11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operates pursuant to a charter approved by our Board of Directors, which the Audit Committee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cybersecurity testing and policies, and overall enterprise risk management, including Environmental, Social and Governance ("ESG"). The Audit Committee met six times during 2023.</w:t>
      </w:r>
    </w:p>
    <w:p>
      <w:pPr>
        <w:spacing w:after="0" w:line="7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Human Capital Committee</w:t>
      </w:r>
      <w:r>
        <w:rPr>
          <w:rFonts w:ascii="Times New Roman" w:cs="Times New Roman" w:eastAsia="Times New Roman" w:hAnsi="Times New Roman"/>
          <w:sz w:val="18"/>
          <w:szCs w:val="18"/>
          <w:color w:val="auto"/>
        </w:rPr>
        <w:t>. The Compensation and Human Capital Committee operates pursuant to a charter approved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of Directors, which the Compensation and Human Capital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Compensation and Human Capital Committee supports the Board of Directors by establishing our executive compensation philosophy and objectives, overseeing the development and implementation of our compensation, benefits and retirement policies and programs, reviewing and approving Company and individual goals relevant to the compensation of the CEO and other executive officers, recommending the compensation of the CEO for approval by the Board of Directors, and determining and administering the compensation for our other executive officers. In addition, the Compensation and Human Capital Committee oversees our incentive compensation plans, determines any incentive awards to be made to our officers, oversees our stock incentive and other equity ownership plans, reviews management development and succession plans related to executive officers, reviews our human capital initiatives related to diversity, equity and inclusion programs and other workforce initiatives, as well as oversees other matters relating to compensation and benefits. The Compensation and Human Capital Committee met five times during 2023.</w:t>
      </w:r>
    </w:p>
    <w:p>
      <w:pPr>
        <w:spacing w:after="0" w:line="84"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CEO, who is not a member of the Compensation and Human Capital Committee, attended all of the Committee’s meetings held in 2023 in order to contribute to and understand the Committee’s oversight of our executive compensation. The CEO did not attend portions of meetings relating to his own compensation. The Compensation and Human Capital Committee regularly conducts executive sessions without management present.</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engages in an ongoing dialog with the CEO and the Committee’s independent compensation consultants in the evaluation and establishment of our executive compensation program and received input from the Senior Vice President, Head of Human Capital when making executive compensation decisions.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retained McLagan Partners to serve as an independent consultant to the Committee regarding executive compensation. The Committee did not direct McLagan Partners to perform its services in any particular manner or under any particular method. The Committee has the final authority to retain the compensation consultant and it evaluates the compensation consultant annually. McLagan Partners does not provide any services to the Company other than as an advisor to the Committee and the Committee has determined that no conflicts of interest exist as a result of the engagement of McLagan Partners.</w:t>
      </w:r>
    </w:p>
    <w:p>
      <w:pPr>
        <w:spacing w:after="0" w:line="73"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Governance/Nominating Committee</w:t>
      </w:r>
      <w:r>
        <w:rPr>
          <w:rFonts w:ascii="Times New Roman" w:cs="Times New Roman" w:eastAsia="Times New Roman" w:hAnsi="Times New Roman"/>
          <w:sz w:val="18"/>
          <w:szCs w:val="18"/>
          <w:color w:val="auto"/>
        </w:rPr>
        <w:t>. The Governance/Nominating Committee operates pursuant to a charter approved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the Governance/Nominating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primary functions of the Governance/Nominating Committee are to develop and oversee the application of corporate governance principles to Westwood, review and assess the composition of the Board, identify and evaluate qualified candidates for Board membership, recommend director nominees to the Board to be voted on at the annual meeting of stockholders, develop and recommend Corporate Governance Guidelines, determine a director’s independence, coordinate educational sessions on topics, including cyber security, and communicate with members of the Board regarding Board and committee meeting format and procedures. The Governance/Nominating Committee met four times during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Independence</w:t>
      </w:r>
    </w:p>
    <w:p>
      <w:pPr>
        <w:spacing w:after="0" w:line="11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regarding director independence, among other matters. The full text of our Corporate Governance Guidelines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our Corporate Governance Guidelines is available upon written request to our Corporate Secretary at our principal executive office (200 Crescent Court, Suite 1200, Dallas, Texas 75201).</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51" w:right="339" w:bottom="1440" w:gutter="0" w:footer="0" w:header="0"/>
        </w:sectPr>
      </w:pPr>
    </w:p>
    <w:bookmarkStart w:id="12" w:name="page13"/>
    <w:bookmarkEnd w:id="12"/>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Pursuant to our Corporate Governance Guidelines, a majority of the members of our Board, as well as of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reviews director independence annually. In the 2023 review, the Board reviewed directors’ responses to a questionnaire inquiring about their relationships, and the relationships of their family members, with us, and other potential conflicts of interest. Our Board is aware that some of our directors and individuals or entities affiliated with such directors have asset management accounts held by one of our subsidiaries and managed by us. Our Board of Directors did not consider donations made during 2023 by Ms. Byrne to AT LAST! to be an impairment of Mr. Bowman’s independence. After noting such items our Board of Directors unanimously determined that none of these relationships constituted a material relationship with us that would affect the “independence” of any such director under SEC and NYSE rules.</w:t>
      </w:r>
    </w:p>
    <w:p>
      <w:pPr>
        <w:spacing w:after="0" w:line="8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Messrs. Frank, Norman, Bowman and Ms. Masterson are “independent” as defined under SEC and NYSE rules. Mr. Casey, who served as an executive officer of the Company during 2023, is not an independent director.</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Board Leadership Structure</w:t>
      </w:r>
    </w:p>
    <w:p>
      <w:pPr>
        <w:spacing w:after="0" w:line="11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separates the roles of Chief Executive Officer and Chairman of the Board. However, the Board does not have a policy that requires these two roles to remain separate. Brian O. Casey serves as our Chief Executive Officer and director, and Richard M. Frank serves as our Chairman of the Board. As Chief Executive Officer, Mr. Casey manages the day-to-day operations of the Company together with Fabian Gomez, our President and Chief Operating Officer. Mr. Casey provides leadership on the Company’s key strategic objectives. As Chairman of the Board, Mr. Frank (i) provides leadership to the Board and chairs its meetings, (ii) chairs executive sessions of the non-management directors, and (iii) sets the agendas for such meetings and sessions. In accordance with our Corporate Governance Guidelines, our non-management directors meet in executive session without the presence of management on a regular basis.</w:t>
      </w:r>
    </w:p>
    <w:p>
      <w:pPr>
        <w:spacing w:after="0" w:line="8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With a supermajority of independent directors, an Audit Committee, a Compensation and Human Capital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7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Board has adopted a Board Refreshment Policy that requires the Board to annually examine its composition through the lens of the skills and experience that best serve the Company’s needs, and the results of the director evaluations required to be performed each year. The Board also established age limits and tenure caps as additional governance tools, but does not rely solely on those tools. If there is a compelling reason aligned with the best interest of the Company and its stockholders, the Board has the ability to delay the application of an age limit or tenure cap to a director for a twelve (12) month period, and may do so for an individual director no more than two (2) times. Finally, the Board also created an Emerita Director position which will help ensure that it is not arbitrarily losing necessary and valuable attributes as a result of the age limit and tenure cap. The Board chair will determine the Emerita Director’s charge, which will be comprised of Board-appropriate duties. The Board has voted to delay the effectiveness of the age limit and tenure cap to Mr. Norman and the tenure cap to Mr. Frank for a period of twelve (12) months in each instance.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Board's Role in Risk Oversight</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cybersecurity, ESG and strategic risks. The Audit Committee is responsible for oversight of risks relating to accounting matters, financial reporting, cybersecurity, and legal and regulatory compliance. To satisfy these oversight responsibilities, the Audit Committee meets regularly with management, Protiviti, the Company’s internal auditor, and BDO, the Company's independent auditor. The Audit Committee also oversees and approves the engagement of a third-party service provider to perform cybersecurity assistance services and cybersecurity testing throughout the year. The Compensation and Human Capital Committee is responsible for overseeing risks relating to employment policies and the Company's compensation and benefits programs, including diversity, equity and inclusion. To satisfy these oversight responsibilities, the Compensation and Human Capital Committee meets regularly with management to understand the implications of compensation decisions, particularly the risks our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Board’s risk oversight function is supported by our Chief Executive Officer and director, Mr. Casey, whose industry knowledge and experience provide the Board with a deep understanding of risks facing the Company. The Board believes that having Mr. Casey on the Board, together with a supermajority of independent directors and three wholly independent Board committees, provides the appropriate leadership structure for effective risk oversight by the Board.</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Compensation Policies and Practices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53" w:right="339" w:bottom="1440" w:gutter="0" w:footer="0" w:header="0"/>
        </w:sectPr>
      </w:pPr>
    </w:p>
    <w:bookmarkStart w:id="13" w:name="page14"/>
    <w:bookmarkEnd w:id="13"/>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As part of its oversight of our executive and non-executive compensation programs, the Compensation and Human Capital Committee considers the impact on our risk profile of our compensation programs, and the incentives created by the compensation awards that it administers. The Committee reviews its compensation policies and procedures, including incentives and factors that may influence excessive risk-taking, to determine whether they present a material risk to the Company. The Compensation and Human Capital Committee also utilizes these risk mitigating factors:</w:t>
      </w:r>
    </w:p>
    <w:p>
      <w:pPr>
        <w:spacing w:after="0" w:line="9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Overall compensation levels that are competitive with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Limits on annual cash incentive awards;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Discretionary authority to reduce annual cash incentive awards;</w:t>
      </w:r>
    </w:p>
    <w:p>
      <w:pPr>
        <w:spacing w:after="0" w:line="143"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Long-term equity incentive awards to reward executives and other key employees for driving sustainable, profitable growth for stockholders and clients;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Vesting periods for long-term equity incentive awards that encourage key employees to focus on sustained stock price appreciation;</w:t>
      </w:r>
    </w:p>
    <w:p>
      <w:pPr>
        <w:spacing w:after="0" w:line="130" w:lineRule="exact"/>
        <w:rPr>
          <w:rFonts w:ascii="Arial" w:cs="Arial" w:eastAsia="Arial" w:hAnsi="Arial"/>
          <w:sz w:val="22"/>
          <w:szCs w:val="22"/>
          <w:color w:val="auto"/>
        </w:rPr>
      </w:pPr>
    </w:p>
    <w:p>
      <w:pPr>
        <w:ind w:left="660" w:right="5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Internal controls over financial reporting and other financial, operational and compliance policies and practices that are intended to prevent manipulation of performance;</w:t>
      </w:r>
    </w:p>
    <w:p>
      <w:pPr>
        <w:spacing w:after="0" w:line="132" w:lineRule="exact"/>
        <w:rPr>
          <w:rFonts w:ascii="Arial" w:cs="Arial" w:eastAsia="Arial" w:hAnsi="Arial"/>
          <w:sz w:val="22"/>
          <w:szCs w:val="22"/>
          <w:color w:val="auto"/>
        </w:rPr>
      </w:pPr>
    </w:p>
    <w:p>
      <w:pPr>
        <w:ind w:left="660" w:right="4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Maintain key risk mitigating policies, including a clawback policy to recover incentives for financial restatements due to misconduct or fraud, and stock ownership guidelines that require officers and directors to own a significant amount of Company stock;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Policies related to the promotion of diversity, equity and inclusion in our workforce.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8"/>
          <w:szCs w:val="18"/>
          <w:color w:val="auto"/>
        </w:rPr>
        <w:t xml:space="preserve">Since our inception as a company we have deliberately worked to create a corporate culture focused on our core values. In pursuit of that goal, we have found meaningful inspiration in Coach John Wooden’s, </w:t>
      </w:r>
      <w:r>
        <w:rPr>
          <w:rFonts w:ascii="Times New Roman" w:cs="Times New Roman" w:eastAsia="Times New Roman" w:hAnsi="Times New Roman"/>
          <w:sz w:val="21"/>
          <w:szCs w:val="21"/>
          <w:i w:val="1"/>
          <w:iCs w:val="1"/>
          <w:color w:val="auto"/>
        </w:rPr>
        <w:t>Pyramid of Success</w:t>
      </w:r>
      <w:r>
        <w:rPr>
          <w:rFonts w:ascii="Times New Roman" w:cs="Times New Roman" w:eastAsia="Times New Roman" w:hAnsi="Times New Roman"/>
          <w:sz w:val="18"/>
          <w:szCs w:val="18"/>
          <w:color w:val="auto"/>
        </w:rPr>
        <w:t>™ which helps us to reach for and maintain a culture of teamwork and integrity that always puts our clients’ interests ahead of our own.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Westwood, impacted by cultural shifts affecting the industry, we have reflected on and further refined the criteria that we believe will keep us relevant.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focus is guided by the following six pillars:</w:t>
      </w:r>
    </w:p>
    <w:p>
      <w:pPr>
        <w:spacing w:after="0" w:line="9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consider ESG issues not only in our investment process but also in our daily business lives because it makes good business sense. It enables us to create an environment that values true diversity, inclusiveness and transparency and ultimately supports employee growth over the long term.</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an active asset manager, we take a fundamental, financial materiality approach to identifying high-quality companies and strong businesses around the world. Our responsible investment commitment is linked into our investment process across our broad range of high-conviction equity and outcome-oriented solutions. We integrate ESG issues into our proprietary investment process and consider them important in conducting bottom-up, fundamental analysis when evaluating a company’s strategy, downside risk and valuation. Based on our research, we find sustainability plays a critical role in company selection and it has always been an input to our analytical process. As ESG evaluation techniques evolve, we will continue to adapt our investment approach to stay true to our fiduciary responsibilities.</w:t>
      </w:r>
    </w:p>
    <w:p>
      <w:pPr>
        <w:spacing w:after="0" w:line="7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Being an active manager describes more than our approach to investing. It sums up how we run our business as a publicly traded company. Our focus on transparency, corporate governance, life principles, ethical conduct and giving back to our communities is central to our values. Diversity is an important part of our culture: approximately 43% of our employees are women, including 33% at or above the Vice President level and about 34% of our employees self-identify as members of minority communities. In 2023, Westwood was honored as one of Pension &amp; Investments “Best Places to Work in Money Management,” an award Westwood has achieved nine times.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553" w:right="359" w:bottom="1440" w:gutter="0" w:footer="0" w:header="0"/>
        </w:sectPr>
      </w:pPr>
    </w:p>
    <w:bookmarkStart w:id="14" w:name="page15"/>
    <w:bookmarkEnd w:id="14"/>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Westwood is a signatory of the United Nations Principles for Responsible Investment ("UNPRI") and is committed to adopting and implementing responsible investment principles in a manner consistent with our fiduciary duties. We support the UNPRI and fully recognize the importance of considering ESG issues in our overall investment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both corporate and investment levels. We have established two governing structures, a Responsible Investment Committee and a Corporate Responsibility Committee, to ensure we have the strategic influence and leadership in place to create a clear corporate sustainability strategy across our business. The separation of responsibilities among these two structures was designed to ensure accountability across our firm.</w:t>
      </w:r>
    </w:p>
    <w:p>
      <w:pPr>
        <w:spacing w:after="0" w:line="7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Responsible Investment Committee deals with the maintenance, development and implementation of investment practices to support our ESG policy. The Corporate Responsibility Committee oversees and implements our corporate sustainability strategy and ESG policies, engaging leadership across corporate functions to provide oversight and strategic guidance. Westwood has embraced Diversity, Equity and Inclusion as an essential part of our history, culture and identity. We support opportunity for individuals from all backgrounds and are committed to valuing unique ideas, perspectives and experiences. In such an environment, we want all of our employees to feel valued, included and empowered to do their best work and deliver the best possible service to our clients.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available data on Diversity, Equity &amp; Inclusion best practices, the Committee’s efforts focus on these goals:</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managers on recruiting and managing a diverse workforce.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 inclusive work environment that ensures equal opportunity for professional growth and advancement.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cultural competence and responsiveness to maximize our effectiveness in interpersonal interactions to best meet client needs.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Integration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Across all our strategies, our ESG analysis focuses on material factors. We acknowledge that fundamental ESG analysis is highly nuanced by security (sector, size, geography) and investment strategy (holding period, position size, share rights). The specifics of integration and execution are at the discretion of the investment teams.</w:t>
      </w:r>
    </w:p>
    <w:p>
      <w:pPr>
        <w:spacing w:after="0" w:line="6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ESG analysis is performed by our industry analysts during the first step of our fundamental investment process in which analysts conduct deep, forward-looking research. As part of this process, our analysts meet with management and investor relations at target companies to understand their business strategy and financial strength. When ESG issues are of specific concern, our team identifies the target company’s plans to address them and establishes a “tracking” perspective to monitor their progress. Analysts have access to multiple third-party ESG metric providers and often generate their own inputs which are integrated into a proprietary financial statement projection as part of our investment recommendation.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Westwood treats proxy voting rights as valuable portfolio assets. Our overarching principle is to exercise voting responsibilities solely in the best interests of our clients. We view proxy voting as a way to address corporate governance issues and to encourage corporate actions that enhance stockholder value. Westwood uses guidelines from a third-party proxy research service, Glass-Lewis, that we believe create value for our clients. The Investment Operations Team oversees implementation of our proxy voting policy. Our Corporate Responsibility Committee, in collaboration with our investment team’s bi-monthly review of ballots, confirms that our proxy voting ESG guidelines generally match Glass-Lewis policy, which is to vote in favor when a clear link exists between the proposal and value enhancement or risk mitigation to stockholders. Our goal is to vote all proxies and, although we generally agree with the recommendations of our proxy research service, we vote against their recommendations when we believe it to be in our clients’ best interests. An annual summary of voting is sent to each client for whom proxies are voted.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Community involvement is a cornerstone of our culture, which drives employee engagement and makes employees proud to work at Westwood. Every year we donate to local and national nonprofits and we are pleased to support clients and employees in their volunteer efforts. Westwood employees participate in various community volunteer activities throughout the year, such as serving food to the homeless and at-risk individuals at The Stewpot or building homes with Habitat for Humanity.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Westwood, the ways in which we care about our communities and the world around us include our initiative to calculate our carbon footprint and buy offsetting carbon credits. Our Green Committee establishes initiatives to support this important work.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Recommendations for Director Candidates</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Board of Directors has delegated specific responsibilities to the Governance/Nominating Committee relating to selection of directors to serve on the Board. The Governance/Nominating Committee is responsible for identifying potential candidates for Board membership and for recommending a slate of director candidates to stand for election at the annual meeting of our stockholders. The Governance/Nominating Committee seeks to identify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w:t>
      </w:r>
    </w:p>
    <w:p>
      <w:pPr>
        <w:sectPr>
          <w:pgSz w:w="11900" w:h="16838" w:orient="portrait"/>
          <w:cols w:equalWidth="0" w:num="1">
            <w:col w:w="11240"/>
          </w:cols>
          <w:pgMar w:left="320" w:top="553"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553" w:right="339" w:bottom="1440" w:gutter="0" w:footer="0" w:header="0"/>
          <w:type w:val="continuous"/>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The Governance/Nominating Committee believes these criteria are the key factors in identifying qualified director candidates.</w:t>
      </w:r>
    </w:p>
    <w:p>
      <w:pPr>
        <w:spacing w:after="0" w:line="7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Governance/Nominating Committee has a policy for considering new director candidates recommended by our stockholders if such recommendations are made in compliance with applicable laws, rules and regulations, our Bylaws, and procedures established by the Committee. Director candidates recommended by stockholders are evaluated by the Governance/Nominating Committee using the same criteria described in the previous paragraph.</w:t>
      </w:r>
    </w:p>
    <w:p>
      <w:pPr>
        <w:spacing w:after="0" w:line="7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Under our Bylaws, stockholders can nominate persons for election to our Board of Directors. Any director nomination must comply with the requirements set forth in our Bylaws and must be received by our Corporate Secretary at our principal executive offices not later than the close of business on January 31, 2025, and not earlier than the close of business on January 1, 2025. In the event that the date of the 2025 annual meeting of stockholders is more than 30 days before or more than 60 days after the one-year anniversary of the 2024 Annual Meeting of Stockholders, notice of such stockholder proposal must be received no earlier than the close of business on the 120th day before the 2025 annual meeting of stockholders and no later than the close of business on the later of the two following dates: the 90th day prior to the 2025 annual meeting of stockholders, or the 10th day following the day on which public announcement of the date for our 2025 annual meeting of stockholders is first made.</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Communications with the Board</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legal@westwoodgroup.com or by telephone to 214-756-6900. The Board encourages shareholder communication with the Board and company management. The Company conducted a shareholder outreach drive and held meetings or calls with any requesting shareholder. Additionally, our Chief Executive Officer routinely conducts calls with the Company’s largest shareholders.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 stockholder or other interested party is encouraged to contact directly the Chairman of the Audit Committee, Ellen H. Masterson at emasterson@westwoodgroup.com.</w:t>
      </w:r>
    </w:p>
    <w:p>
      <w:pPr>
        <w:spacing w:after="0" w:line="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Stockholders may also communicate with Board members at the annual meetings of stockholders, as it is our policy that Board members should attend such meetings and make themselves available to address any matters properly brought before the meetings. Instructions for methods to communicate with Board members at any virtual annual meeting of stockholders will be explained at the outset of the meeting. All of our Board members attended the 2023 annual meeting of stockholders.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Code of Business Conduct</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employees are required to report any conduct that they believe could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For 2023, we paid each non-employee member of our Board of Directors a $62,000 annual retainer. The Chairman of the Board received an additional $20,000 annual retainer, the committee chairs for the Audit and Compensation and Human Capital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serving on the separate Board of Directors for Westwood Trust.</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Board has established stock ownership guidelines for non-employee directors. All such directors are in compliance with the policy by holding the required net vested shares until such time as the minimum is achieved.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553" w:right="359" w:bottom="1440" w:gutter="0" w:footer="0" w:header="0"/>
        </w:sectPr>
      </w:pPr>
    </w:p>
    <w:bookmarkStart w:id="16" w:name="page17"/>
    <w:bookmarkEnd w:id="16"/>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Compensation and Human Capital Committee reviews our compensation arrangements for directors from time to time. Brian O. Casey, our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Summary Compensation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36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Cash</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(1)</w:t>
            </w:r>
          </w:p>
        </w:tc>
        <w:tc>
          <w:tcPr>
            <w:tcW w:w="10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 (2)</w:t>
            </w:r>
          </w:p>
        </w:tc>
        <w:tc>
          <w:tcPr>
            <w:tcW w:w="10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Byrne</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w:t>
      </w:r>
    </w:p>
    <w:p>
      <w:pPr>
        <w:spacing w:after="0" w:line="8" w:lineRule="exact"/>
        <w:rPr>
          <w:sz w:val="20"/>
          <w:szCs w:val="20"/>
          <w:color w:val="auto"/>
        </w:rPr>
      </w:pPr>
    </w:p>
    <w:p>
      <w:pPr>
        <w:ind w:left="340" w:right="20" w:hanging="332"/>
        <w:spacing w:after="0" w:line="241" w:lineRule="auto"/>
        <w:tabs>
          <w:tab w:leader="none" w:pos="3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Susan M. Byrne earned $98,031 as a consultant for the Company for 2023. Each non-employee director also earns a $1,000 annual retainer and $1,000 for each regularly scheduled quarterly meeting for serving on the separate Board of Directors of Westwood Trust.</w:t>
      </w:r>
    </w:p>
    <w:p>
      <w:pPr>
        <w:ind w:left="340" w:right="120" w:hanging="332"/>
        <w:spacing w:after="0"/>
        <w:tabs>
          <w:tab w:leader="none" w:pos="3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2023 in accordance with Accounting Standards Codification Topic 718 ("ASC 718"), "Stock Compensation." The assumptions used in the valuation of the restricted stock awards are discussed in Note 8 "Employee Benefits" of our audited financial statements, which are included in our 2023 Annual Report on Form 10-K. All restricted stock grants were made under the Ninth Amended and Restated Westwood Holdings Group, Inc. Stock Incentive Plan, as amended, and are subject to a one-year vesting period as described above.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our directors, other than Brian O. Casey, held the following unvested restricted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37"/>
        </w:trPr>
        <w:tc>
          <w:tcPr>
            <w:tcW w:w="988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988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9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Susan M. Byrne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29"/>
        </w:trPr>
        <w:tc>
          <w:tcPr>
            <w:tcW w:w="9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Randy A. Bowman</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Issued on April 26, 2023 with a vesting date of April 26, 2024, subject to such director's continued service as a director through the vesting date.</w:t>
      </w: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Biographical information regarding Westwood's executive officers and other key employees during 2023 is as follows:</w:t>
      </w:r>
    </w:p>
    <w:p>
      <w:pPr>
        <w:spacing w:after="0" w:line="115" w:lineRule="exact"/>
        <w:rPr>
          <w:sz w:val="20"/>
          <w:szCs w:val="20"/>
          <w:color w:val="auto"/>
        </w:rPr>
      </w:pPr>
    </w:p>
    <w:p>
      <w:pPr>
        <w:jc w:val="both"/>
        <w:ind w:right="500" w:firstLine="405"/>
        <w:spacing w:after="0" w:line="281" w:lineRule="auto"/>
        <w:rPr>
          <w:sz w:val="20"/>
          <w:szCs w:val="20"/>
          <w:color w:val="auto"/>
        </w:rPr>
      </w:pPr>
      <w:r>
        <w:rPr>
          <w:rFonts w:ascii="Times New Roman" w:cs="Times New Roman" w:eastAsia="Times New Roman" w:hAnsi="Times New Roman"/>
          <w:sz w:val="17"/>
          <w:szCs w:val="17"/>
          <w:i w:val="1"/>
          <w:iCs w:val="1"/>
          <w:color w:val="auto"/>
        </w:rPr>
        <w:t>Leah Bennett</w:t>
      </w:r>
      <w:r>
        <w:rPr>
          <w:rFonts w:ascii="Times New Roman" w:cs="Times New Roman" w:eastAsia="Times New Roman" w:hAnsi="Times New Roman"/>
          <w:sz w:val="17"/>
          <w:szCs w:val="17"/>
          <w:color w:val="auto"/>
        </w:rPr>
        <w:t>, age 55, has served as President, Westwood Wealth Management since May 2022. From March 2018 to May 2022 she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of Westwood Wealth Management – Houston and from June 2016 to March 2018 as Vice President, Trust Officer. Prior to Westwood, Ms. Bennett was Co-Chief Investment Officer at South Texas Money Management, Managing Director and Chief Investment Officer at King Investment Advisors, Inc. and a Research Analyst for Capital Research &amp; Management. Ms. Bennett earned her B.S in Economics from Texas A&amp;M University.</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age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biographical information in the "Proposal 1 – Election of Directors" section.</w:t>
      </w:r>
    </w:p>
    <w:p>
      <w:pPr>
        <w:spacing w:after="0" w:line="117"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A. Ehinger, Jr., </w:t>
      </w:r>
      <w:r>
        <w:rPr>
          <w:rFonts w:ascii="Times New Roman" w:cs="Times New Roman" w:eastAsia="Times New Roman" w:hAnsi="Times New Roman"/>
          <w:sz w:val="18"/>
          <w:szCs w:val="18"/>
          <w:color w:val="auto"/>
        </w:rPr>
        <w:t>age 50, has served as Westwood's Head of Legal and Chief Compliance Officer since April 2023. Mr. Ehinger joined Westwood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2016 as Senior Legal Counsel. Prior to joining Westwood, Mr. Ehinger served as general counsel and chief compliance officer with Placemark Investments, Inc. and as transition counsel with Envestnet Asset Management, Inc. after its acquisition of Placemark. Previously he was an associate with Balch &amp; Bingham LP in Alabama and a staff attorney with the U.S. Securities and Exchange Commission, Division of Market Regulation (now Trading and Markets) in Washington, DC. Mr. Ehinger earned his BA in history from Auburn University and his JD from Vanderbilt University. He is a member of the Texas State Bar.</w:t>
      </w:r>
    </w:p>
    <w:p>
      <w:pPr>
        <w:spacing w:after="0" w:line="74"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Murray "Terry" Forbes III, </w:t>
      </w:r>
      <w:r>
        <w:rPr>
          <w:rFonts w:ascii="Times New Roman" w:cs="Times New Roman" w:eastAsia="Times New Roman" w:hAnsi="Times New Roman"/>
          <w:sz w:val="18"/>
          <w:szCs w:val="18"/>
          <w:color w:val="auto"/>
        </w:rPr>
        <w:t>age 46, has served as Senior Vice President, Chief Financial Officer and Treasurer since November 2018.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of Finance from December 2014 to October 2018. Prior to joining Westwood, Mr. Forbes served as Senior Director and Assistant Controller of CEC. CEC was an NYSE-listed company until February 2014. From 2000 to 2012, he was with KPMG LLP, most recently as an audit senior manager. Mr. Forbes earned a B.B.A. in Accounting from the University of Richmond.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53" w:right="339" w:bottom="1440" w:gutter="0" w:footer="0" w:header="0"/>
        </w:sectPr>
      </w:pPr>
    </w:p>
    <w:bookmarkStart w:id="17" w:name="page18"/>
    <w:bookmarkEnd w:id="17"/>
    <w:p>
      <w:pPr>
        <w:ind w:right="60" w:firstLine="405"/>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Fabian Gomez, </w:t>
      </w:r>
      <w:r>
        <w:rPr>
          <w:rFonts w:ascii="Times New Roman" w:cs="Times New Roman" w:eastAsia="Times New Roman" w:hAnsi="Times New Roman"/>
          <w:sz w:val="17"/>
          <w:szCs w:val="17"/>
          <w:color w:val="auto"/>
        </w:rPr>
        <w:t>age 58, has served as President since May 2022 and Chief Operating Officer since July 2023. He previously served as Senior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Chief Operating Officer from February 2018 to May 2022. He served as Chief Information Officer from July 2015 and as Director of Operations</w:t>
      </w:r>
    </w:p>
    <w:p>
      <w:pPr>
        <w:ind w:right="40"/>
        <w:spacing w:after="0" w:line="281" w:lineRule="auto"/>
        <w:rPr>
          <w:sz w:val="20"/>
          <w:szCs w:val="20"/>
          <w:color w:val="auto"/>
        </w:rPr>
      </w:pPr>
      <w:r>
        <w:rPr>
          <w:rFonts w:ascii="Times New Roman" w:cs="Times New Roman" w:eastAsia="Times New Roman" w:hAnsi="Times New Roman"/>
          <w:sz w:val="17"/>
          <w:szCs w:val="17"/>
          <w:color w:val="auto"/>
        </w:rPr>
        <w:t>beginning in February 2016. Before joining Westwood, Mr. Gomez worked at Invesco Ltd. as Global Head of Equity and Alternative Investment Applications responsible for strategic planning, oversight of all major project initiatives, and staff development at a global level. Mr. Gomez worked at McDonnell Investment Management for six years as a Managing Director and Chief Information Officer and also worked for Nuveen Investments, Morgan</w:t>
      </w:r>
    </w:p>
    <w:p>
      <w:pPr>
        <w:spacing w:after="0" w:line="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Stanley Investment Management and Van Kampen Funds. Mr. Gomez earned an MBA in Finance and International Management from Rice University Business School and a B.A. in Biology from The University of Texas at Austin.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family relationships among the directors, executive officers and other key employees of Westwood.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under Item 10 of Regulation S-K promulgated under the Securities and Exchange Act of 1934 and the following compensation disclosure is intended to comply with the requirements applicable to smaller reporting companies. The rules allow the Company to provide less detail about its executive compensation program, however the Compensation and Human Capital Committee (the “Committee”) wishes to provide additional information to help stockholders understand its executive compensation decisions.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560" w:firstLine="405"/>
        <w:spacing w:after="0" w:line="271" w:lineRule="auto"/>
        <w:rPr>
          <w:sz w:val="20"/>
          <w:szCs w:val="20"/>
          <w:color w:val="auto"/>
        </w:rPr>
      </w:pPr>
      <w:r>
        <w:rPr>
          <w:rFonts w:ascii="Times New Roman" w:cs="Times New Roman" w:eastAsia="Times New Roman" w:hAnsi="Times New Roman"/>
          <w:sz w:val="18"/>
          <w:szCs w:val="18"/>
          <w:color w:val="auto"/>
        </w:rPr>
        <w:t>This section provides information regarding our executive compensation program in 2023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9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 Bennett</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Westwood Wealth Management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Performance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challenging market conditions, the Company delivered strong financial and strategic results during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Company's 2023 financial results include the following:</w:t>
      </w:r>
    </w:p>
    <w:p>
      <w:pPr>
        <w:spacing w:after="0" w:line="13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Total Revenues increased approximately 31% compared to 2022.</w:t>
      </w:r>
    </w:p>
    <w:p>
      <w:pPr>
        <w:spacing w:after="0" w:line="130" w:lineRule="exact"/>
        <w:rPr>
          <w:rFonts w:ascii="Arial" w:cs="Arial" w:eastAsia="Arial" w:hAnsi="Arial"/>
          <w:sz w:val="22"/>
          <w:szCs w:val="22"/>
          <w:color w:val="auto"/>
        </w:rPr>
      </w:pPr>
    </w:p>
    <w:p>
      <w:pPr>
        <w:ind w:left="660" w:right="260" w:hanging="328"/>
        <w:spacing w:after="0" w:line="234"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Comprehensive Income of approximately $9.5 million compared favorably with a loss of approximately $4.6 million in the prior year thanks to revenue growth, expense discipline and positive non-recurring items.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Backed by strong investment performance and superior client service, our asset retention levels were outstanding.</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We paid out approximately $5.5 million in dividends to our stockholders.</w:t>
      </w:r>
    </w:p>
    <w:p>
      <w:pPr>
        <w:spacing w:after="0" w:line="130"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Our financial position remains strong with liquid cash and short-term investments of approximately $53.1 million, and no debt as of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Company’s 2023 strategic results include the following:</w:t>
      </w:r>
    </w:p>
    <w:p>
      <w:pPr>
        <w:spacing w:after="0" w:line="13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successfully completed the integration of Salient's asset management business following our 2022 acquisition.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added Managed Investment Solutions, which bolsters our ability to provide customized solutions to institutional and wealth investors.</w:t>
      </w:r>
    </w:p>
    <w:p>
      <w:pPr>
        <w:spacing w:after="0" w:line="130" w:lineRule="exact"/>
        <w:rPr>
          <w:rFonts w:ascii="Arial" w:cs="Arial" w:eastAsia="Arial" w:hAnsi="Arial"/>
          <w:sz w:val="22"/>
          <w:szCs w:val="22"/>
          <w:color w:val="auto"/>
        </w:rPr>
      </w:pPr>
    </w:p>
    <w:p>
      <w:pPr>
        <w:ind w:left="660" w:right="400" w:hanging="328"/>
        <w:spacing w:after="0" w:line="24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acquired an additional 32% interest in Broadmark, an RIA managing and/or sub-advising mutual funds, retail and institutional separately-managed accounts, bringing our ownership to just under 80%.</w:t>
      </w:r>
    </w:p>
    <w:p>
      <w:pPr>
        <w:spacing w:after="0" w:line="126"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SMidCap Value, SmallCap Value, MidCap Value, High Alpha, Enhanced Balanced, High Income, Alternative Income, Global Real Estate and Real Estate Income all beat their primary benchmarks for the year.</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Key 2023 Compensation Decisions for Named Executive Officers</w:t>
      </w:r>
    </w:p>
    <w:p>
      <w:pPr>
        <w:spacing w:after="0" w:line="121"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our “pay-for-performance” compensation philosophy, the Committee generally allocates a substantial majority of each named executive officer’s direct compensation (i.e., base salary, target annual cash incentive, and target value of long-term incentives) to variable “at-risk” compensation. In this way, our executive compensation program is designed to (a) align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551" w:right="339" w:bottom="1440" w:gutter="0" w:footer="0" w:header="0"/>
        </w:sectPr>
      </w:pPr>
    </w:p>
    <w:bookmarkStart w:id="18" w:name="page19"/>
    <w:bookmarkEnd w:id="18"/>
    <w:p>
      <w:pPr>
        <w:ind w:right="580"/>
        <w:spacing w:after="0" w:line="282" w:lineRule="auto"/>
        <w:rPr>
          <w:sz w:val="20"/>
          <w:szCs w:val="20"/>
          <w:color w:val="auto"/>
        </w:rPr>
      </w:pPr>
      <w:r>
        <w:rPr>
          <w:rFonts w:ascii="Times New Roman" w:cs="Times New Roman" w:eastAsia="Times New Roman" w:hAnsi="Times New Roman"/>
          <w:sz w:val="18"/>
          <w:szCs w:val="18"/>
          <w:color w:val="auto"/>
        </w:rPr>
        <w:t>interests of our named executive officers with those of our stockholders and (b) reward successful achievement of annual performance and strategic objectives.</w:t>
      </w:r>
    </w:p>
    <w:p>
      <w:pPr>
        <w:spacing w:after="0" w:line="5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Accordingly, the compensation decisions with respect to each of our named executive officers for 2023 were primarily driven by our performance against Company-wide financial and strategic objectives and individual objectives that were developed at the beginning of the year.</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Reflecting a rigorous assessment of the Company’s performance, the bonus pool and the aggregate incentives for our named executive officers were close to flat between 2022 and 2023.</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w:t>
      </w:r>
    </w:p>
    <w:p>
      <w:pPr>
        <w:spacing w:after="0" w:line="117" w:lineRule="exact"/>
        <w:rPr>
          <w:sz w:val="20"/>
          <w:szCs w:val="20"/>
          <w:color w:val="auto"/>
        </w:rPr>
      </w:pPr>
    </w:p>
    <w:p>
      <w:pPr>
        <w:ind w:left="6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made no change to Mr. Casey’s annual base salary and, based on 2023 performance as measured against pre-established financial and strategic objectives, approved an annual cash incentive bonus to Mr. Casey in the amount equal to 89.7% of target. Mr. Casey’s 2023 incentive awards reflected the Company’s overall performance and his impact on our successful acquisition of Broadmark and integration of Salient, which the Committee recognized.</w:t>
      </w:r>
    </w:p>
    <w:p>
      <w:pPr>
        <w:spacing w:after="0" w:line="71" w:lineRule="exact"/>
        <w:rPr>
          <w:rFonts w:ascii="Times New Roman" w:cs="Times New Roman" w:eastAsia="Times New Roman" w:hAnsi="Times New Roman"/>
          <w:sz w:val="18"/>
          <w:szCs w:val="18"/>
          <w:color w:val="auto"/>
        </w:rPr>
      </w:pPr>
    </w:p>
    <w:p>
      <w:pPr>
        <w:ind w:left="660" w:right="7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approved an annual cash incentive bonus to Mr. Gomez for 2023 in an amount equal to 81.6% of target, reflecting 2023 performance as measured against pre-established financial, strategic, and individual performance objectives, along with the Committee’s assessment of his impact on our successful acquisition of Broadmark and the integration of Salient.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Bennett’s compensation is determined based on the Wealth Management Revenue Share objectives described later, with the Committee noting that Ms. Bennett met some but not all of her objectives.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Committee approved the following awards of restricted stock to each of our named executive officers based on our fiscal 2022 performance: Mr. Casey – 50,649 shares; Mr. Gomez – 16,208 shares; and Ms. Bennett – 16,208 shares.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Committee approved the following awards of restricted stock to each of our named executive officers based on our fiscal 2023 performance: Mr. Casey – 48,230 shares; Mr. Gomez – 32,908 shares; and Ms. Bennett – 21,667 shares. These restricted stock awards were granted after the end of 2023 and accordingly will be reported in our 2025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12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intellectual capabilities of our employees are among our most important assets. Our financial results depend on the level of assets we manage; and our ability to generate competitive long-term investment performance; build strong relationships with clients; investment consulting firms and other financial intermediaries; provide outstanding client service; and develop new client relationships.</w:t>
      </w:r>
    </w:p>
    <w:p>
      <w:pPr>
        <w:spacing w:after="0" w:line="6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quality, expertise and commitment of our named executive officers are critical to delivering superior long-term results to our clients and shareholders and to achieving our overall business objectives. Our executive compensation program aims: to align executive compensation with performance delivered for shareholders and clients; to deliver pay in a balanced combination of base salary, cash awards and long-term, shareholder-aligned equity; and to attract, motivate and retain top talent.</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review our executive compensation program on an ongoing basis to ensure that it reflects market best practices related to corporate governance and risk mitigation. Highlights of our executive compensation program related to these matters include the following: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553" w:right="3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000" w:type="dxa"/>
            <w:vAlign w:val="bottom"/>
            <w:tcBorders>
              <w:top w:val="single" w:sz="8" w:color="auto"/>
              <w:bottom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What We Do Not Do</w:t>
            </w:r>
          </w:p>
        </w:tc>
      </w:tr>
      <w:tr>
        <w:trPr>
          <w:trHeight w:val="169"/>
        </w:trPr>
        <w:tc>
          <w:tcPr>
            <w:tcW w:w="4980" w:type="dxa"/>
            <w:vAlign w:val="bottom"/>
            <w:tcBorders>
              <w:left w:val="single" w:sz="8" w:color="auto"/>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Variable "at risk" compensation targeted at a larger share vs.</w:t>
            </w:r>
          </w:p>
        </w:tc>
        <w:tc>
          <w:tcPr>
            <w:tcW w:w="5000" w:type="dxa"/>
            <w:vAlign w:val="bottom"/>
            <w:tcBorders>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provide fringe benefits or perquisites to executives</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fixed base salary</w:t>
            </w: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that are not available to all employees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Compensation aligned with performance achievements</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hedging and short-sales of Company stock by</w:t>
            </w:r>
          </w:p>
        </w:tc>
      </w:tr>
      <w:tr>
        <w:trPr>
          <w:trHeight w:val="239"/>
        </w:trPr>
        <w:tc>
          <w:tcPr>
            <w:tcW w:w="4980" w:type="dxa"/>
            <w:vAlign w:val="bottom"/>
            <w:tcBorders>
              <w:left w:val="single" w:sz="8" w:color="auto"/>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executives and directors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Incentive plan payouts capped on amounts that executives can</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gross-up change-in-control related benefits for excise</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earn</w:t>
            </w: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tax</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Change-in-control severance is a "double trigger" for our CEO</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pay dividends on unvested equity-based</w:t>
            </w:r>
          </w:p>
        </w:tc>
      </w:tr>
      <w:tr>
        <w:trPr>
          <w:trHeight w:val="239"/>
        </w:trPr>
        <w:tc>
          <w:tcPr>
            <w:tcW w:w="4980" w:type="dxa"/>
            <w:vAlign w:val="bottom"/>
            <w:tcBorders>
              <w:left w:val="single" w:sz="8" w:color="auto"/>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Officers and directors are required to satisfy industry-aligned</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repricing of stock options without stockholder</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standards related to Company stock ownership</w:t>
            </w:r>
          </w:p>
        </w:tc>
        <w:tc>
          <w:tcPr>
            <w:tcW w:w="50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approval</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Clawback policy requires recovery of erroneously received</w:t>
            </w:r>
          </w:p>
        </w:tc>
        <w:tc>
          <w:tcPr>
            <w:tcW w:w="5000" w:type="dxa"/>
            <w:vAlign w:val="bottom"/>
            <w:tcBorders>
              <w:right w:val="single" w:sz="8" w:color="auto"/>
            </w:tcBorders>
          </w:tcPr>
          <w:p>
            <w:pPr>
              <w:spacing w:after="0"/>
              <w:rPr>
                <w:sz w:val="15"/>
                <w:szCs w:val="15"/>
                <w:color w:val="auto"/>
              </w:rPr>
            </w:pPr>
          </w:p>
        </w:tc>
      </w:tr>
      <w:tr>
        <w:trPr>
          <w:trHeight w:val="184"/>
        </w:trPr>
        <w:tc>
          <w:tcPr>
            <w:tcW w:w="4980" w:type="dxa"/>
            <w:vAlign w:val="bottom"/>
            <w:tcBorders>
              <w:left w:val="single" w:sz="8" w:color="auto"/>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compensation in the event of a financial restatement and other</w:t>
            </w:r>
          </w:p>
        </w:tc>
        <w:tc>
          <w:tcPr>
            <w:tcW w:w="5000" w:type="dxa"/>
            <w:vAlign w:val="bottom"/>
            <w:tcBorders>
              <w:right w:val="single" w:sz="8" w:color="auto"/>
            </w:tcBorders>
          </w:tcPr>
          <w:p>
            <w:pPr>
              <w:spacing w:after="0"/>
              <w:rPr>
                <w:sz w:val="16"/>
                <w:szCs w:val="16"/>
                <w:color w:val="auto"/>
              </w:rPr>
            </w:pPr>
          </w:p>
        </w:tc>
      </w:tr>
      <w:tr>
        <w:trPr>
          <w:trHeight w:val="234"/>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material failures</w:t>
            </w:r>
          </w:p>
        </w:tc>
        <w:tc>
          <w:tcPr>
            <w:tcW w:w="5000" w:type="dxa"/>
            <w:vAlign w:val="bottom"/>
            <w:tcBorders>
              <w:right w:val="single" w:sz="8" w:color="auto"/>
            </w:tcBorders>
          </w:tcPr>
          <w:p>
            <w:pPr>
              <w:spacing w:after="0"/>
              <w:rPr>
                <w:sz w:val="20"/>
                <w:szCs w:val="20"/>
                <w:color w:val="auto"/>
              </w:rPr>
            </w:pPr>
          </w:p>
        </w:tc>
      </w:tr>
      <w:tr>
        <w:trPr>
          <w:trHeight w:val="169"/>
        </w:trPr>
        <w:tc>
          <w:tcPr>
            <w:tcW w:w="4980" w:type="dxa"/>
            <w:vAlign w:val="bottom"/>
            <w:tcBorders>
              <w:left w:val="single" w:sz="8" w:color="auto"/>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Appropriate post-employment and change-in-control</w:t>
            </w:r>
          </w:p>
        </w:tc>
        <w:tc>
          <w:tcPr>
            <w:tcW w:w="5000" w:type="dxa"/>
            <w:vAlign w:val="bottom"/>
            <w:tcBorders>
              <w:right w:val="single" w:sz="8" w:color="auto"/>
            </w:tcBorders>
          </w:tcPr>
          <w:p>
            <w:pPr>
              <w:spacing w:after="0"/>
              <w:rPr>
                <w:sz w:val="14"/>
                <w:szCs w:val="14"/>
                <w:color w:val="auto"/>
              </w:rPr>
            </w:pP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arrangements</w:t>
            </w:r>
          </w:p>
        </w:tc>
        <w:tc>
          <w:tcPr>
            <w:tcW w:w="5000" w:type="dxa"/>
            <w:vAlign w:val="bottom"/>
            <w:tcBorders>
              <w:right w:val="single" w:sz="8" w:color="auto"/>
            </w:tcBorders>
          </w:tcPr>
          <w:p>
            <w:pPr>
              <w:spacing w:after="0"/>
              <w:rPr>
                <w:sz w:val="20"/>
                <w:szCs w:val="20"/>
                <w:color w:val="auto"/>
              </w:rPr>
            </w:pP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McLagan Partners' survey results used for competitive</w:t>
            </w:r>
          </w:p>
        </w:tc>
        <w:tc>
          <w:tcPr>
            <w:tcW w:w="5000" w:type="dxa"/>
            <w:vAlign w:val="bottom"/>
            <w:tcBorders>
              <w:right w:val="single" w:sz="8" w:color="auto"/>
            </w:tcBorders>
          </w:tcPr>
          <w:p>
            <w:pPr>
              <w:spacing w:after="0"/>
              <w:rPr>
                <w:sz w:val="15"/>
                <w:szCs w:val="15"/>
                <w:color w:val="auto"/>
              </w:rPr>
            </w:pP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compensation market data and ad hoc compensation analysis</w:t>
            </w:r>
          </w:p>
        </w:tc>
        <w:tc>
          <w:tcPr>
            <w:tcW w:w="50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80"/>
          </w:cols>
          <w:pgMar w:left="740" w:top="579" w:right="11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Stockholders Advisory Vote on Executive Compensation (“Say-on-Pay”)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 to the 2023 Say-on-Pay Vote</w:t>
      </w:r>
    </w:p>
    <w:p>
      <w:pPr>
        <w:spacing w:after="0" w:line="11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At our 2023 Annual meeting of Stockholders held in April 2023, approximately 70% of the votes cast (excluding abstentions and broker non-votes) on the say-on-pay proposal at the meeting were voted in favor of the proposal, however we were disappointed to receive less support than in previous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Engagement</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part of our regular shareholder engagement program, we reached out this past year to our top institutional shareholders, representing 4.7 million shares or 51.5% of total shares outstanding, in an effort to obtain more specific feedback on our executive compensation program.</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Compensation Committee welcomes stockholder perspectives on our executive compensation program and will continue to carefully consider future say-on-pay votes when making compensation decisions for our executive officers.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Previous stockholders’ comments regarding our executive compensation program generally focused on the following themes:</w:t>
      </w:r>
    </w:p>
    <w:p>
      <w:pPr>
        <w:spacing w:after="0" w:line="117" w:lineRule="exact"/>
        <w:rPr>
          <w:sz w:val="20"/>
          <w:szCs w:val="20"/>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disclosures on the process for establishing performance goals and improve the link between executive pay and Company performance, and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more information about the Compensation Committee’s decisions on executive compensation and the rationale for the existing structure and approach.</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Compensation Committee values feedback from our stockholders and is committed to continuing to do the following:</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out to our large stockholders to discuss our executive compensation program and corporate governance structure and practices.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and improve the transparency of our philosophy, the Compensation Committee process, and compensation decisions with respect to our named executive officers. In this regard, in 2023 we initiated a detailed scorecard-based assessment for named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our “pay-for-performance” philosophy, the Committee allocated a substantial majority of each named executive officer’s direct compensation to variable “at-risk” compensation. This aligns the interests of our named executive officers with those of our stockholders and rewards successful achievement of annual performance and strategic objectives. Compensation decisions were primarily driven by performance against Company-wide financial and strategic objectives together with individual objectives established at the beginning of the year.</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remain committed to achieving strong stockholder support for our compensation programs and look forward to better results stemming from our engagement efforts from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designing and implementing our executive compensation program, the Compensation and Human Capital Committee is guided by the following philosophy and objectives:</w:t>
      </w:r>
    </w:p>
    <w:p>
      <w:pPr>
        <w:spacing w:after="0" w:line="7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Deliver competitive compensation at levels that attract, motivate and retain talented executives who contribute to the success of our business;</w:t>
      </w:r>
    </w:p>
    <w:p>
      <w:pPr>
        <w:spacing w:after="0" w:line="130" w:lineRule="exact"/>
        <w:rPr>
          <w:rFonts w:ascii="Arial" w:cs="Arial" w:eastAsia="Arial" w:hAnsi="Arial"/>
          <w:sz w:val="22"/>
          <w:szCs w:val="22"/>
          <w:color w:val="auto"/>
        </w:rPr>
      </w:pPr>
    </w:p>
    <w:p>
      <w:pPr>
        <w:ind w:left="660" w:right="280" w:hanging="328"/>
        <w:spacing w:after="0" w:line="234" w:lineRule="auto"/>
        <w:tabs>
          <w:tab w:leader="none" w:pos="65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Award compensation that motivates and rewards short- and long-term individual and company performance while discouraging excessive risk-taking; and</w:t>
      </w:r>
    </w:p>
    <w:p>
      <w:pPr>
        <w:spacing w:after="0" w:line="91"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Align named executive officers’ interests with those of our stockholders.</w:t>
      </w:r>
    </w:p>
    <w:p>
      <w:pPr>
        <w:spacing w:after="0" w:line="11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an executive's role expands in scope, duties and responsibilities, we believe that: (1) an increasing share of total direct compensation should be at risk and performance-based; (2) base salary should be a relatively smaller portion of total direct compensation; and (3) most of incentive compensation should vary with overall Company results. Reflecting these principles, in 2023, 33% of Mr. Casey’s total compensation was delivered in performance-based compensation and 30% was delivered in long-term equity awards which provide direct alignment with our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Compensation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making its pay decisions, the Committee reviewed market compensation data from McLagan’s </w:t>
      </w:r>
      <w:r>
        <w:rPr>
          <w:rFonts w:ascii="Times New Roman" w:cs="Times New Roman" w:eastAsia="Times New Roman" w:hAnsi="Times New Roman"/>
          <w:sz w:val="18"/>
          <w:szCs w:val="18"/>
          <w:i w:val="1"/>
          <w:iCs w:val="1"/>
          <w:color w:val="auto"/>
        </w:rPr>
        <w:t>2023 Investment Management Survey – U.S</w:t>
      </w:r>
      <w:r>
        <w:rPr>
          <w:rFonts w:ascii="Times New Roman" w:cs="Times New Roman" w:eastAsia="Times New Roman" w:hAnsi="Times New Roman"/>
          <w:sz w:val="18"/>
          <w:szCs w:val="18"/>
          <w:color w:val="auto"/>
        </w:rPr>
        <w:t>., a widely-used source for compensation information that includes data from approximately 175 public and private investment firms (the “McLagan Survey”). Confidentiality obligations to McLagan Partners and its survey participants prevent disclosure of the firms included in the survey.</w:t>
      </w:r>
    </w:p>
    <w:p>
      <w:pPr>
        <w:spacing w:after="0" w:line="6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Committee considers market compensation data from the McLagan Survey to be useful in helping ensure that our executive pay levels remain competitive. In using the McLagan Survey, the Committee: (1) primarily considered data for firms with assets under management between $15 billion and $34.9 billion, a comparison that the Committee deemed appropriate given our Company’s size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549" w:right="359" w:bottom="1440" w:gutter="0" w:footer="0" w:header="0"/>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auto"/>
        </w:rPr>
        <w:t>and complexity; and (2) did not set any component of our named executive officers’ pay to fall within a specific range or percentile of the reported survey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all compensation earned by our named executive officers for the years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9"/>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9"/>
                <w:szCs w:val="19"/>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8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(h)</w:t>
            </w:r>
          </w:p>
        </w:tc>
        <w:tc>
          <w:tcPr>
            <w:tcW w:w="0" w:type="dxa"/>
            <w:vAlign w:val="bottom"/>
          </w:tcPr>
          <w:p>
            <w:pPr>
              <w:spacing w:after="0"/>
              <w:rPr>
                <w:sz w:val="1"/>
                <w:szCs w:val="1"/>
                <w:color w:val="auto"/>
              </w:rPr>
            </w:pPr>
          </w:p>
        </w:tc>
      </w:tr>
      <w:tr>
        <w:trPr>
          <w:trHeight w:val="207"/>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672,732</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2,067,532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281,250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0" w:type="dxa"/>
            <w:vAlign w:val="bottom"/>
          </w:tcPr>
          <w:p>
            <w:pPr>
              <w:spacing w:after="0"/>
              <w:rPr>
                <w:sz w:val="1"/>
                <w:szCs w:val="1"/>
                <w:color w:val="auto"/>
              </w:rPr>
            </w:pPr>
          </w:p>
        </w:tc>
      </w:tr>
      <w:tr>
        <w:trPr>
          <w:trHeight w:val="222"/>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937,500</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0" w:type="dxa"/>
            <w:vAlign w:val="bottom"/>
          </w:tcPr>
          <w:p>
            <w:pPr>
              <w:spacing w:after="0"/>
              <w:rPr>
                <w:sz w:val="1"/>
                <w:szCs w:val="1"/>
                <w:color w:val="auto"/>
              </w:rPr>
            </w:pPr>
          </w:p>
        </w:tc>
      </w:tr>
      <w:tr>
        <w:trPr>
          <w:trHeight w:val="204"/>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244,885</w:t>
            </w:r>
          </w:p>
        </w:tc>
        <w:tc>
          <w:tcPr>
            <w:tcW w:w="8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864,685</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347,916</w:t>
            </w:r>
          </w:p>
        </w:tc>
        <w:tc>
          <w:tcPr>
            <w:tcW w:w="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257,813</w:t>
            </w:r>
          </w:p>
        </w:tc>
        <w:tc>
          <w:tcPr>
            <w:tcW w:w="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824,029</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282,813</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8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800,213</w:t>
            </w:r>
          </w:p>
        </w:tc>
        <w:tc>
          <w:tcPr>
            <w:tcW w:w="0" w:type="dxa"/>
            <w:vAlign w:val="bottom"/>
          </w:tcPr>
          <w:p>
            <w:pPr>
              <w:spacing w:after="0"/>
              <w:rPr>
                <w:sz w:val="1"/>
                <w:szCs w:val="1"/>
                <w:color w:val="auto"/>
              </w:rPr>
            </w:pPr>
          </w:p>
        </w:tc>
      </w:tr>
      <w:tr>
        <w:trPr>
          <w:trHeight w:val="207"/>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107,448</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867,448</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 Westwood Wealth Management</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244,792</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124,395</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704,187</w:t>
            </w:r>
          </w:p>
        </w:tc>
        <w:tc>
          <w:tcPr>
            <w:tcW w:w="0" w:type="dxa"/>
            <w:vAlign w:val="bottom"/>
          </w:tcPr>
          <w:p>
            <w:pPr>
              <w:spacing w:after="0"/>
              <w:rPr>
                <w:sz w:val="1"/>
                <w:szCs w:val="1"/>
                <w:color w:val="auto"/>
              </w:rPr>
            </w:pPr>
          </w:p>
        </w:tc>
      </w:tr>
      <w:tr>
        <w:trPr>
          <w:trHeight w:val="100"/>
        </w:trPr>
        <w:tc>
          <w:tcPr>
            <w:tcW w:w="3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base compensation earned during each of the fiscal years presented.</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typically granted in February of each year based on our performance for the immediately preceding year. The restricted stock awards shown for 2023 and 2022</w:t>
      </w:r>
    </w:p>
    <w:p>
      <w:pPr>
        <w:spacing w:after="0" w:line="11" w:lineRule="exact"/>
        <w:rPr>
          <w:sz w:val="20"/>
          <w:szCs w:val="20"/>
          <w:color w:val="auto"/>
        </w:rPr>
      </w:pPr>
    </w:p>
    <w:p>
      <w:pPr>
        <w:ind w:left="500" w:right="380"/>
        <w:spacing w:after="0" w:line="261" w:lineRule="auto"/>
        <w:rPr>
          <w:sz w:val="20"/>
          <w:szCs w:val="20"/>
          <w:color w:val="auto"/>
        </w:rPr>
      </w:pPr>
      <w:r>
        <w:rPr>
          <w:rFonts w:ascii="Times New Roman" w:cs="Times New Roman" w:eastAsia="Times New Roman" w:hAnsi="Times New Roman"/>
          <w:sz w:val="14"/>
          <w:szCs w:val="14"/>
          <w:color w:val="auto"/>
        </w:rPr>
        <w:t>were made in February 2023 and February 2022, respectively, based on our performance for, respectively, the 2022 performance year and the 2021 performance year. The restricted award grants for 2023 performance year that were granted in February 2024 are described below.</w:t>
      </w:r>
    </w:p>
    <w:p>
      <w:pPr>
        <w:spacing w:after="0" w:line="1" w:lineRule="exact"/>
        <w:rPr>
          <w:sz w:val="20"/>
          <w:szCs w:val="20"/>
          <w:color w:val="auto"/>
        </w:rPr>
      </w:pPr>
    </w:p>
    <w:p>
      <w:pPr>
        <w:ind w:left="500" w:right="180"/>
        <w:spacing w:after="0" w:line="257" w:lineRule="auto"/>
        <w:rPr>
          <w:sz w:val="20"/>
          <w:szCs w:val="20"/>
          <w:color w:val="auto"/>
        </w:rPr>
      </w:pPr>
      <w:r>
        <w:rPr>
          <w:rFonts w:ascii="Times New Roman" w:cs="Times New Roman" w:eastAsia="Times New Roman" w:hAnsi="Times New Roman"/>
          <w:sz w:val="14"/>
          <w:szCs w:val="14"/>
          <w:color w:val="auto"/>
        </w:rPr>
        <w:t>For 2023, the amounts contained in column (e) reflect (i) for Mr. Casey, the grant date fair value of his time-vested restricted stock award (50,649 shares) (ii) for Mr. Gomez, the grant date fair value of his time-vested restricted stock award (16,208 shares), and (iii) for Ms. Bennett, the grant date fair value of her time-vested restricted stock award (16,208 shares). The above grant date fair values reported in column (e) were calculated in accordance with Accounting Standards Codification Topic 718 (“ASC 718”), “Stock Compensation.” The assumptions used in the valuation of the time-vested restricted stock awards are discussed in Note 8 “Employee Benefits” of our audited financial statements, which are included in our 2023 Form 10-K. See the “Executive Compensation” section above for a further description of these restricted stock awards.</w:t>
      </w:r>
    </w:p>
    <w:p>
      <w:pPr>
        <w:spacing w:after="0" w:line="2" w:lineRule="exact"/>
        <w:rPr>
          <w:sz w:val="20"/>
          <w:szCs w:val="20"/>
          <w:color w:val="auto"/>
        </w:rPr>
      </w:pPr>
    </w:p>
    <w:p>
      <w:pPr>
        <w:ind w:left="500" w:right="200" w:hanging="492"/>
        <w:spacing w:after="0" w:line="254" w:lineRule="auto"/>
        <w:tabs>
          <w:tab w:leader="none" w:pos="2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the amounts for Messrs. Casey and Gomez and Ms. Bennett reflect the cash payments made under our executive compensation program. Each of these payments was approved in 2024.</w:t>
      </w:r>
    </w:p>
    <w:p>
      <w:pPr>
        <w:ind w:left="500" w:right="200" w:hanging="492"/>
        <w:spacing w:after="0" w:line="270" w:lineRule="auto"/>
        <w:tabs>
          <w:tab w:leader="none" w:pos="2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(g) reflect each named executive officer’s 401(k) Company matching contribution, which was $19,800 for each named executive officer for 2023 and $18,300 for each named executive officer for 2022. See “Other Benefits and Perquisites” below for a description of plan contributions. For Ms. Bennett, the amounts in column (g) also include $87,648 and $106,095 in commission payments made to her during 2023 and 2022, respectively, under the New Business Incentive Program for Wealth Management.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For 2023, the principal components of compensation for our named executive officers were base salary, an annual cash incentive award, a long-term equity award paid in restricted stock, and, for Ms. Bennett, commission payments. For the three named executive officers, an average of approximately 60% of 2023 total direct compensation represented variable "at risk" compensation that was delivered in the form of performance-based annual cash incentive awards and time-based long-term equity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Base salary is the fixed component of our named executive officers’ annual cash compensation. The Company provides its named executive officers with a base salary for services rendered during the year and in recognition of their expertise, knowledge and experience.</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Salary levels are typically assessed annually as part of our performance review process, as well as upon promotions, changes in job responsibilities, or in connection with the terms of initial employment.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Awards</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receive performance-based cash incentive bonuses, which are designed to provide appropriate incentives to our executives to achieve defined performance goals and to reward our executives for individual achievement toward these goals. The Company believes that using a combination of cash incentive awards and equity awards moderates the dilution effect of using equity awards alone. The Committee sets performance objectives and subsequently approves annual cash incentive awards for our named executive officers. For Mr. Casey and Mr. Gomez, we use target incentives and a structured scorecard-based system to evaluate performance and determine cash incentive payouts. Performance measures and weightings can vary under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53" w:right="339" w:bottom="1440" w:gutter="0" w:footer="0" w:header="0"/>
        </w:sectPr>
      </w:pPr>
    </w:p>
    <w:bookmarkStart w:id="22" w:name="page23"/>
    <w:bookmarkEnd w:id="22"/>
    <w:p>
      <w:pPr>
        <w:ind w:right="380"/>
        <w:spacing w:after="0" w:line="282" w:lineRule="auto"/>
        <w:rPr>
          <w:sz w:val="20"/>
          <w:szCs w:val="20"/>
          <w:color w:val="auto"/>
        </w:rPr>
      </w:pPr>
      <w:r>
        <w:rPr>
          <w:rFonts w:ascii="Times New Roman" w:cs="Times New Roman" w:eastAsia="Times New Roman" w:hAnsi="Times New Roman"/>
          <w:sz w:val="18"/>
          <w:szCs w:val="18"/>
          <w:color w:val="auto"/>
        </w:rPr>
        <w:t>these executives’ scorecards to reflect differences in responsibilities and impact on results. Ms. Bennett is covered under a team-based revenue sharing plan, with a scorecard-based system to evaluate her performance and determine her payouts under that plan.</w:t>
      </w:r>
    </w:p>
    <w:p>
      <w:pPr>
        <w:spacing w:after="0" w:line="5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Committee closely monitors individual performance throughout the year and completes formal mid-year and end-of-year performance assessments using the pre-defined scorecards. Final incentive payouts are based on the scorecard results and the amounts which the Committee believes balance the need to: (1) retain the executives with industry-competitive total compensation; and (2) provide attractive long-term financial returns to shareholders.</w:t>
      </w:r>
    </w:p>
    <w:p>
      <w:pPr>
        <w:spacing w:after="0" w:line="7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Committee made its determinations for fiscal 2023 annual cash incentives for the CEO and the other named executive officers in early 2024 using the following scorecard-based assessment of results.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Fiscal 2023 Non-Equity Incentive Compensation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vs. High</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Expectations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244"/>
        </w:trPr>
        <w:tc>
          <w:tcPr>
            <w:tcW w:w="1060" w:type="dxa"/>
            <w:vAlign w:val="bottom"/>
            <w:tcBorders>
              <w:top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3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0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Economic earnings</w:t>
            </w: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Slightly below</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$445,857</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execution</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Relative TSR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tcPr>
          <w:p>
            <w:pPr>
              <w:spacing w:after="0"/>
              <w:rPr>
                <w:sz w:val="24"/>
                <w:szCs w:val="24"/>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6"/>
                <w:szCs w:val="16"/>
                <w:color w:val="auto"/>
              </w:rPr>
              <w:t>• Promote a client-first culture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Introduce new products</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$187,500</w:t>
            </w:r>
          </w:p>
        </w:tc>
        <w:tc>
          <w:tcPr>
            <w:tcW w:w="1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Far exceeded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$226,875</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Improve operating infrastructure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Integrate Salient Partners</w:t>
            </w:r>
          </w:p>
        </w:tc>
        <w:tc>
          <w:tcPr>
            <w:tcW w:w="3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$750,000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$672,732</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Slightly exceeded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$38,635</w:t>
            </w:r>
          </w:p>
        </w:tc>
        <w:tc>
          <w:tcPr>
            <w:tcW w:w="0" w:type="dxa"/>
            <w:vAlign w:val="bottom"/>
          </w:tcPr>
          <w:p>
            <w:pPr>
              <w:spacing w:after="0"/>
              <w:rPr>
                <w:sz w:val="1"/>
                <w:szCs w:val="1"/>
                <w:color w:val="auto"/>
              </w:rPr>
            </w:pPr>
          </w:p>
        </w:tc>
      </w:tr>
      <w:tr>
        <w:trPr>
          <w:trHeight w:val="264"/>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vMerge w:val="continue"/>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Met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56"/>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Sales execution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Expand platform distribution</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tcPr>
          <w:p>
            <w:pPr>
              <w:spacing w:after="0"/>
              <w:rPr>
                <w:sz w:val="10"/>
                <w:szCs w:val="10"/>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Slightly below</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$168,750</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Innovate technology tools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60" w:type="dxa"/>
            <w:vAlign w:val="bottom"/>
            <w:tcBorders>
              <w:bottom w:val="single" w:sz="8" w:color="CCEEFF"/>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$300,000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$244,885</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380" w:type="dxa"/>
            <w:vAlign w:val="bottom"/>
          </w:tcPr>
          <w:p>
            <w:pPr>
              <w:spacing w:after="0"/>
              <w:rPr>
                <w:sz w:val="11"/>
                <w:szCs w:val="11"/>
                <w:color w:val="auto"/>
              </w:rPr>
            </w:pPr>
          </w:p>
        </w:tc>
        <w:tc>
          <w:tcPr>
            <w:tcW w:w="272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15.5% Maximum</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Profit margin</w:t>
            </w:r>
          </w:p>
        </w:tc>
        <w:tc>
          <w:tcPr>
            <w:tcW w:w="380" w:type="dxa"/>
            <w:vAlign w:val="bottom"/>
          </w:tcPr>
          <w:p>
            <w:pPr>
              <w:spacing w:after="0"/>
              <w:rPr>
                <w:sz w:val="18"/>
                <w:szCs w:val="18"/>
                <w:color w:val="auto"/>
              </w:rPr>
            </w:pPr>
          </w:p>
        </w:tc>
        <w:tc>
          <w:tcPr>
            <w:tcW w:w="272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Revenue Sharing Rate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Slightly exceeded</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0" w:type="dxa"/>
            <w:vAlign w:val="bottom"/>
          </w:tcPr>
          <w:p>
            <w:pPr>
              <w:spacing w:after="0"/>
              <w:rPr>
                <w:sz w:val="1"/>
                <w:szCs w:val="1"/>
                <w:color w:val="auto"/>
              </w:rPr>
            </w:pPr>
          </w:p>
        </w:tc>
      </w:tr>
      <w:tr>
        <w:trPr>
          <w:trHeight w:val="148"/>
        </w:trPr>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tcPr>
          <w:p>
            <w:pPr>
              <w:spacing w:after="0"/>
              <w:rPr>
                <w:sz w:val="12"/>
                <w:szCs w:val="12"/>
                <w:color w:val="auto"/>
              </w:rPr>
            </w:pPr>
          </w:p>
        </w:tc>
        <w:tc>
          <w:tcPr>
            <w:tcW w:w="28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48" w:lineRule="exact"/>
              <w:rPr>
                <w:sz w:val="20"/>
                <w:szCs w:val="20"/>
                <w:color w:val="auto"/>
              </w:rPr>
            </w:pPr>
            <w:r>
              <w:rPr>
                <w:rFonts w:ascii="Times New Roman" w:cs="Times New Roman" w:eastAsia="Times New Roman" w:hAnsi="Times New Roman"/>
                <w:sz w:val="16"/>
                <w:szCs w:val="16"/>
                <w:color w:val="auto"/>
              </w:rPr>
              <w:t>Expense control</w:t>
            </w:r>
          </w:p>
        </w:tc>
        <w:tc>
          <w:tcPr>
            <w:tcW w:w="380" w:type="dxa"/>
            <w:vAlign w:val="bottom"/>
          </w:tcPr>
          <w:p>
            <w:pPr>
              <w:spacing w:after="0"/>
              <w:rPr>
                <w:sz w:val="12"/>
                <w:szCs w:val="12"/>
                <w:color w:val="auto"/>
              </w:rPr>
            </w:pPr>
          </w:p>
        </w:tc>
        <w:tc>
          <w:tcPr>
            <w:tcW w:w="2720" w:type="dxa"/>
            <w:vAlign w:val="bottom"/>
            <w:gridSpan w:val="3"/>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(adjusted down based on</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vMerge w:val="continue"/>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success</w:t>
            </w:r>
          </w:p>
        </w:tc>
        <w:tc>
          <w:tcPr>
            <w:tcW w:w="38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Asset retention</w:t>
            </w:r>
          </w:p>
        </w:tc>
        <w:tc>
          <w:tcPr>
            <w:tcW w:w="380" w:type="dxa"/>
            <w:vAlign w:val="bottom"/>
          </w:tcPr>
          <w:p>
            <w:pPr>
              <w:spacing w:after="0"/>
              <w:rPr>
                <w:sz w:val="17"/>
                <w:szCs w:val="17"/>
                <w:color w:val="auto"/>
              </w:rPr>
            </w:pPr>
          </w:p>
        </w:tc>
        <w:tc>
          <w:tcPr>
            <w:tcW w:w="272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team costs and results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Team development</w:t>
            </w:r>
          </w:p>
        </w:tc>
        <w:tc>
          <w:tcPr>
            <w:tcW w:w="380" w:type="dxa"/>
            <w:vAlign w:val="bottom"/>
          </w:tcPr>
          <w:p>
            <w:pPr>
              <w:spacing w:after="0"/>
              <w:rPr>
                <w:sz w:val="18"/>
                <w:szCs w:val="18"/>
                <w:color w:val="auto"/>
              </w:rPr>
            </w:pPr>
          </w:p>
        </w:tc>
        <w:tc>
          <w:tcPr>
            <w:tcW w:w="272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060" w:type="dxa"/>
            <w:vAlign w:val="bottom"/>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06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-3839845</wp:posOffset>
            </wp:positionV>
            <wp:extent cx="13716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-3025775</wp:posOffset>
            </wp:positionV>
            <wp:extent cx="13716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-1662430</wp:posOffset>
            </wp:positionV>
            <wp:extent cx="13716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11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believe that long-term equity awards are a valuable compensation tool that aligns the long-term financial interests of our executives with the financial interests of our stockholders. In addition, we believe that long-term equity awards help attract, retain and motivate our named executive officers, and encourage them to devote their best efforts to our business and financial success. Vesting of long-term equity awards is generally tied to continuous service and helping to promote our retention objectives. Each year, the Committee determines long-term equity awards for our named executive officers under the Westwood Holdings Group, Inc. Stock Incentive Plan (the "Stock Incentive Plan").</w:t>
      </w:r>
    </w:p>
    <w:p>
      <w:pPr>
        <w:spacing w:after="0" w:line="7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Similar to the process used to determine annual cash incentive awards, the Committee uses, in its full and complete discretion, a target incentive and scorecard-based measurement system to evaluate performance and determine each executive’s long-term equity award. The scorecard-based measures and weightings used to assess performance for purposes of determining long-term equity awards differ somewhat from the criteria used to determine annual cash incentives, with the long-term program typically focusing more on overall company performance.</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Further, as with annual cash incentive awards, with respect to long-term equity awards the Committee: (A) closely monitors performance throughout the year; (B) completes formal periodic performance assessments using the pre-defined scorecards; and (C) makes final award determinations based on a balanced consideration of the need to (1) retain the executives with executive's target total compensation; and (2) provide attractive long-term financial returns to shareholders. In addition, in determining the individual</w:t>
      </w:r>
    </w:p>
    <w:p>
      <w:pPr>
        <w:sectPr>
          <w:pgSz w:w="11900" w:h="16838" w:orient="portrait"/>
          <w:cols w:equalWidth="0" w:num="1">
            <w:col w:w="11240"/>
          </w:cols>
          <w:pgMar w:left="320" w:top="553"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553" w:right="339" w:bottom="1440" w:gutter="0" w:footer="0" w:header="0"/>
          <w:type w:val="continuous"/>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executive's target and actual long-term equity awards levels, the Committee also considers, in the interests of shareholders, the Company’s overall equity plan share dilution and utilization and its recent stock price performance.</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Using the following scorecard, the Committee approved fiscal 2023 long-term equity awards for the CEO and the other named executive officers on February 7 and 13, 2024, and issued these awards on February 23, 2024.</w:t>
      </w:r>
    </w:p>
    <w:p>
      <w:pPr>
        <w:sectPr>
          <w:pgSz w:w="11900" w:h="16838" w:orient="portrait"/>
          <w:cols w:equalWidth="0" w:num="1">
            <w:col w:w="11220"/>
          </w:cols>
          <w:pgMar w:left="320" w:top="5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6"/>
          <w:szCs w:val="16"/>
          <w:color w:val="auto"/>
        </w:rPr>
        <w:t>Brian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617220" cy="1465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1465580"/>
                    </a:xfrm>
                    <a:prstGeom prst="rect">
                      <a:avLst/>
                    </a:prstGeom>
                    <a:noFill/>
                  </pic:spPr>
                </pic:pic>
              </a:graphicData>
            </a:graphic>
          </wp:anchor>
        </w:drawing>
      </w:r>
    </w:p>
    <w:p>
      <w:pPr>
        <w:jc w:val="center"/>
        <w:ind w:left="220"/>
        <w:spacing w:after="0"/>
        <w:rPr>
          <w:sz w:val="20"/>
          <w:szCs w:val="20"/>
          <w:color w:val="auto"/>
        </w:rPr>
      </w:pPr>
      <w:r>
        <w:rPr>
          <w:rFonts w:ascii="Times New Roman" w:cs="Times New Roman" w:eastAsia="Times New Roman" w:hAnsi="Times New Roman"/>
          <w:sz w:val="16"/>
          <w:szCs w:val="16"/>
          <w:color w:val="auto"/>
        </w:rPr>
        <w:t>Casey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18"/>
                <w:szCs w:val="18"/>
                <w:color w:val="auto"/>
              </w:rPr>
            </w:pPr>
          </w:p>
        </w:tc>
        <w:tc>
          <w:tcPr>
            <w:tcW w:w="67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Fiscal 2023 Long-term Equity Incentive Compensation (granted in 2024)</w:t>
            </w:r>
          </w:p>
        </w:tc>
        <w:tc>
          <w:tcPr>
            <w:tcW w:w="1060" w:type="dxa"/>
            <w:vAlign w:val="bottom"/>
            <w:shd w:val="clear" w:color="auto" w:fill="CCEEFF"/>
          </w:tcPr>
          <w:p>
            <w:pPr>
              <w:spacing w:after="0"/>
              <w:rPr>
                <w:sz w:val="18"/>
                <w:szCs w:val="18"/>
                <w:color w:val="auto"/>
              </w:rPr>
            </w:pPr>
          </w:p>
        </w:tc>
      </w:tr>
      <w:tr>
        <w:trPr>
          <w:trHeight w:val="212"/>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4"/>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r>
      <w:tr>
        <w:trPr>
          <w:trHeight w:val="222"/>
        </w:trPr>
        <w:tc>
          <w:tcPr>
            <w:tcW w:w="1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44"/>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307"/>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AUM</w:t>
            </w:r>
          </w:p>
        </w:tc>
        <w:tc>
          <w:tcPr>
            <w:tcW w:w="2480" w:type="dxa"/>
            <w:vAlign w:val="bottom"/>
            <w:gridSpan w:val="2"/>
          </w:tcPr>
          <w:p>
            <w:pPr>
              <w:jc w:val="center"/>
              <w:ind w:left="121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Met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-361950</wp:posOffset>
            </wp:positionV>
            <wp:extent cx="13716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340" w:hanging="159"/>
        <w:spacing w:after="0" w:line="211" w:lineRule="auto"/>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control</w:t>
      </w:r>
    </w:p>
    <w:p>
      <w:pPr>
        <w:ind w:left="340" w:hanging="159"/>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 on corporate investments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Promote a client-first culture</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Introduce new products</w:t>
            </w:r>
          </w:p>
        </w:tc>
        <w:tc>
          <w:tcPr>
            <w:tcW w:w="15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75.0%</w:t>
            </w:r>
          </w:p>
        </w:tc>
        <w:tc>
          <w:tcPr>
            <w:tcW w:w="13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$375,000</w:t>
            </w:r>
          </w:p>
        </w:tc>
        <w:tc>
          <w:tcPr>
            <w:tcW w:w="16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Far exceeded</w:t>
            </w:r>
          </w:p>
        </w:tc>
        <w:tc>
          <w:tcPr>
            <w:tcW w:w="11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121%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$453,750</w:t>
            </w:r>
          </w:p>
        </w:tc>
        <w:tc>
          <w:tcPr>
            <w:tcW w:w="0" w:type="dxa"/>
            <w:vAlign w:val="bottom"/>
          </w:tcPr>
          <w:p>
            <w:pPr>
              <w:spacing w:after="0"/>
              <w:rPr>
                <w:sz w:val="1"/>
                <w:szCs w:val="1"/>
                <w:color w:val="auto"/>
              </w:rPr>
            </w:pPr>
          </w:p>
        </w:tc>
      </w:tr>
      <w:tr>
        <w:trPr>
          <w:trHeight w:val="180"/>
        </w:trPr>
        <w:tc>
          <w:tcPr>
            <w:tcW w:w="2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-302260</wp:posOffset>
            </wp:positionV>
            <wp:extent cx="13716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340" w:hanging="159"/>
        <w:spacing w:after="0" w:line="211" w:lineRule="auto"/>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operating infrastructure</w:t>
      </w:r>
    </w:p>
    <w:p>
      <w:pPr>
        <w:ind w:left="340" w:hanging="159"/>
        <w:spacing w:after="0"/>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Salient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-33020</wp:posOffset>
            </wp:positionV>
            <wp:extent cx="668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-33020</wp:posOffset>
            </wp:positionV>
            <wp:extent cx="15773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ind w:left="3560"/>
        <w:spacing w:after="0"/>
        <w:tabs>
          <w:tab w:leader="none" w:pos="4760" w:val="left"/>
          <w:tab w:leader="none" w:pos="8840" w:val="left"/>
        </w:tabs>
        <w:rPr>
          <w:sz w:val="20"/>
          <w:szCs w:val="20"/>
          <w:color w:val="auto"/>
        </w:rPr>
      </w:pPr>
      <w:r>
        <w:rPr>
          <w:rFonts w:ascii="Times New Roman" w:cs="Times New Roman" w:eastAsia="Times New Roman" w:hAnsi="Times New Roman"/>
          <w:sz w:val="16"/>
          <w:szCs w:val="16"/>
          <w:color w:val="auto"/>
        </w:rPr>
        <w:t>100.0%</w:t>
      </w:r>
      <w:r>
        <w:rPr>
          <w:sz w:val="20"/>
          <w:szCs w:val="20"/>
          <w:color w:val="auto"/>
        </w:rPr>
        <w:tab/>
      </w:r>
      <w:r>
        <w:rPr>
          <w:rFonts w:ascii="Times New Roman" w:cs="Times New Roman" w:eastAsia="Times New Roman" w:hAnsi="Times New Roman"/>
          <w:sz w:val="16"/>
          <w:szCs w:val="16"/>
          <w:b w:val="1"/>
          <w:bCs w:val="1"/>
          <w:color w:val="auto"/>
        </w:rPr>
        <w:t>$500,000</w:t>
      </w:r>
      <w:r>
        <w:rPr>
          <w:sz w:val="20"/>
          <w:szCs w:val="20"/>
          <w:color w:val="auto"/>
        </w:rPr>
        <w:tab/>
      </w:r>
      <w:r>
        <w:rPr>
          <w:rFonts w:ascii="Times New Roman" w:cs="Times New Roman" w:eastAsia="Times New Roman" w:hAnsi="Times New Roman"/>
          <w:sz w:val="16"/>
          <w:szCs w:val="16"/>
          <w:b w:val="1"/>
          <w:bCs w:val="1"/>
          <w:color w:val="auto"/>
        </w:rPr>
        <w:t>$578,750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103505</wp:posOffset>
            </wp:positionV>
            <wp:extent cx="6823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280"/>
            <w:col w:w="10160"/>
          </w:cols>
          <w:pgMar w:left="320" w:top="553" w:right="35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0" w:type="dxa"/>
            <w:vAlign w:val="bottom"/>
            <w:shd w:val="clear" w:color="auto" w:fill="CCEEFF"/>
          </w:tcPr>
          <w:p>
            <w:pPr>
              <w:spacing w:after="0"/>
              <w:rPr>
                <w:sz w:val="22"/>
                <w:szCs w:val="22"/>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$38,635</w:t>
            </w:r>
          </w:p>
        </w:tc>
        <w:tc>
          <w:tcPr>
            <w:tcW w:w="0" w:type="dxa"/>
            <w:vAlign w:val="bottom"/>
          </w:tcPr>
          <w:p>
            <w:pPr>
              <w:spacing w:after="0"/>
              <w:rPr>
                <w:sz w:val="1"/>
                <w:szCs w:val="1"/>
                <w:color w:val="auto"/>
              </w:rPr>
            </w:pPr>
          </w:p>
        </w:tc>
      </w:tr>
      <w:tr>
        <w:trPr>
          <w:trHeight w:val="256"/>
        </w:trPr>
        <w:tc>
          <w:tcPr>
            <w:tcW w:w="980" w:type="dxa"/>
            <w:vAlign w:val="bottom"/>
            <w:shd w:val="clear" w:color="auto" w:fill="CCEEFF"/>
          </w:tcPr>
          <w:p>
            <w:pPr>
              <w:spacing w:after="0"/>
              <w:rPr>
                <w:sz w:val="22"/>
                <w:szCs w:val="22"/>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Met</w:t>
            </w: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57"/>
        </w:trPr>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w:t>
            </w: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980" w:type="dxa"/>
            <w:vAlign w:val="bottom"/>
            <w:vMerge w:val="continue"/>
            <w:shd w:val="clear" w:color="auto" w:fill="CCEEFF"/>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Salient integration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Gomez</w:t>
            </w: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Executive succession planning</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75%</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$225,000</w:t>
            </w:r>
          </w:p>
        </w:tc>
        <w:tc>
          <w:tcPr>
            <w:tcW w:w="1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Slightly below</w:t>
            </w:r>
          </w:p>
        </w:tc>
        <w:tc>
          <w:tcPr>
            <w:tcW w:w="126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5"/>
              </w:rPr>
              <w:t>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$168,750</w:t>
            </w: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 development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8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8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$300,000</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$244,885</w:t>
            </w: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15.5% Maximum</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80" w:type="dxa"/>
            <w:vAlign w:val="bottom"/>
            <w:shd w:val="clear" w:color="auto" w:fill="CCEEFF"/>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2480" w:type="dxa"/>
            <w:vAlign w:val="bottom"/>
            <w:gridSpan w:val="3"/>
            <w:vMerge w:val="continue"/>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980" w:type="dxa"/>
            <w:vAlign w:val="bottom"/>
            <w:shd w:val="clear" w:color="auto" w:fill="CCEEFF"/>
          </w:tcPr>
          <w:p>
            <w:pPr>
              <w:spacing w:after="0"/>
              <w:rPr>
                <w:sz w:val="24"/>
                <w:szCs w:val="24"/>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Profit margin</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Revenue Sharing Rate</w:t>
            </w: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 control</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(adjusted down based on</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rPr>
                <w:sz w:val="11"/>
                <w:szCs w:val="11"/>
                <w:color w:val="auto"/>
              </w:rPr>
            </w:pPr>
          </w:p>
        </w:tc>
        <w:tc>
          <w:tcPr>
            <w:tcW w:w="360" w:type="dxa"/>
            <w:vAlign w:val="bottom"/>
          </w:tcPr>
          <w:p>
            <w:pPr>
              <w:ind w:left="2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292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Sales success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team costs and results</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Asset retention</w:t>
            </w:r>
          </w:p>
        </w:tc>
        <w:tc>
          <w:tcPr>
            <w:tcW w:w="2480" w:type="dxa"/>
            <w:vAlign w:val="bottom"/>
            <w:gridSpan w:val="3"/>
            <w:vMerge w:val="continue"/>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Team development</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80" w:type="dxa"/>
            <w:vAlign w:val="bottom"/>
            <w:shd w:val="clear" w:color="auto" w:fill="CCEEFF"/>
          </w:tcPr>
          <w:p>
            <w:pPr>
              <w:spacing w:after="0"/>
              <w:rPr>
                <w:sz w:val="4"/>
                <w:szCs w:val="4"/>
                <w:color w:val="auto"/>
              </w:rPr>
            </w:pPr>
          </w:p>
        </w:tc>
        <w:tc>
          <w:tcPr>
            <w:tcW w:w="3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980" w:type="dxa"/>
            <w:vAlign w:val="bottom"/>
            <w:shd w:val="clear" w:color="auto" w:fill="CCEEFF"/>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-1662430</wp:posOffset>
            </wp:positionV>
            <wp:extent cx="137160" cy="57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Committee used a similar process to assess performance and determine long-term equity awards for fiscal 2022. In particular, using the following scorecard, the Committee determined and approved fiscal 2022 long-term equity awards for the CEO and the other named executive officers on February 7, 2023, and issued these awards on February 23,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553" w:right="359" w:bottom="1440" w:gutter="0" w:footer="0" w:header="0"/>
          <w:type w:val="continuous"/>
        </w:sectPr>
      </w:pPr>
    </w:p>
    <w:bookmarkStart w:id="24" w:name="page25"/>
    <w:bookmarkEnd w:id="24"/>
    <w:tbl>
      <w:tblPr>
        <w:tblLayout w:type="fixed"/>
        <w:tblInd w:w="1120" w:type="dxa"/>
        <w:tblCellMar>
          <w:top w:w="0" w:type="dxa"/>
          <w:left w:w="0" w:type="dxa"/>
          <w:bottom w:w="0" w:type="dxa"/>
          <w:right w:w="0" w:type="dxa"/>
        </w:tblCellMar>
      </w:tblPr>
      <w:tr>
        <w:trPr>
          <w:trHeight w:val="216"/>
        </w:trPr>
        <w:tc>
          <w:tcPr>
            <w:tcW w:w="2020" w:type="dxa"/>
            <w:vAlign w:val="bottom"/>
            <w:shd w:val="clear" w:color="auto" w:fill="CCEEFF"/>
          </w:tcPr>
          <w:p>
            <w:pPr>
              <w:spacing w:after="0"/>
              <w:rPr>
                <w:sz w:val="18"/>
                <w:szCs w:val="18"/>
                <w:color w:val="auto"/>
              </w:rPr>
            </w:pPr>
          </w:p>
        </w:tc>
        <w:tc>
          <w:tcPr>
            <w:tcW w:w="5620" w:type="dxa"/>
            <w:vAlign w:val="bottom"/>
            <w:gridSpan w:val="8"/>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Fiscal 2022 Long-term Equity Incentive Compensation (granted in 2023)</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4"/>
        </w:trPr>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r>
      <w:tr>
        <w:trPr>
          <w:trHeight w:val="222"/>
        </w:trPr>
        <w:tc>
          <w:tcPr>
            <w:tcW w:w="20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4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307"/>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AUM</w:t>
            </w:r>
          </w:p>
        </w:tc>
        <w:tc>
          <w:tcPr>
            <w:tcW w:w="2560" w:type="dxa"/>
            <w:vAlign w:val="bottom"/>
            <w:gridSpan w:val="2"/>
          </w:tcPr>
          <w:p>
            <w:pPr>
              <w:jc w:val="center"/>
              <w:ind w:left="117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Below</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59765" cy="1465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765" cy="146558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-361950</wp:posOffset>
            </wp:positionV>
            <wp:extent cx="137160"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1460" w:hanging="152"/>
        <w:spacing w:after="0" w:line="211" w:lineRule="auto"/>
        <w:tabs>
          <w:tab w:leader="none" w:pos="1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control</w:t>
      </w:r>
    </w:p>
    <w:p>
      <w:pPr>
        <w:ind w:left="1460" w:hanging="152"/>
        <w:spacing w:after="0"/>
        <w:tabs>
          <w:tab w:leader="none" w:pos="1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 on corporate investments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Brian O. Casey</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80" w:type="dxa"/>
            <w:vAlign w:val="bottom"/>
          </w:tcPr>
          <w:p>
            <w:pPr>
              <w:ind w:lef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Salient acquisition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Client and personnel retention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$375,000</w:t>
            </w:r>
          </w:p>
        </w:tc>
        <w:tc>
          <w:tcPr>
            <w:tcW w:w="1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Far exceeded</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150%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Succession planning for firm</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80" w:type="dxa"/>
            <w:vAlign w:val="bottom"/>
          </w:tcPr>
          <w:p>
            <w:pPr>
              <w:ind w:left="2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WestCloud</w:t>
            </w: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$625,000</w:t>
            </w:r>
          </w:p>
        </w:tc>
        <w:tc>
          <w:tcPr>
            <w:tcW w:w="0" w:type="dxa"/>
            <w:vAlign w:val="bottom"/>
          </w:tcPr>
          <w:p>
            <w:pPr>
              <w:spacing w:after="0"/>
              <w:rPr>
                <w:sz w:val="1"/>
                <w:szCs w:val="1"/>
                <w:color w:val="auto"/>
              </w:rPr>
            </w:pPr>
          </w:p>
        </w:tc>
      </w:tr>
      <w:tr>
        <w:trPr>
          <w:trHeight w:val="154"/>
        </w:trPr>
        <w:tc>
          <w:tcPr>
            <w:tcW w:w="10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2"/>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$37,500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Below</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53%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3340" w:type="dxa"/>
            <w:vAlign w:val="bottom"/>
            <w:gridSpan w:val="2"/>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$37,500</w:t>
            </w: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Far exceeded</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execution</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38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Expand platform distribution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$225,000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Slightly below</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63%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$142,500</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CCEEFF"/>
          </w:tcPr>
          <w:p>
            <w:pPr>
              <w:spacing w:after="0"/>
              <w:rPr>
                <w:sz w:val="18"/>
                <w:szCs w:val="18"/>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Innovate technology tools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40" w:type="dxa"/>
            <w:vAlign w:val="bottom"/>
            <w:tcBorders>
              <w:bottom w:val="single" w:sz="8" w:color="CCEEFF"/>
            </w:tcBorders>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4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$300,000</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2"/>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3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272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15.5% Maximum Revenue</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3340" w:type="dxa"/>
            <w:vAlign w:val="bottom"/>
            <w:gridSpan w:val="2"/>
            <w:vMerge w:val="continue"/>
          </w:tcPr>
          <w:p>
            <w:pPr>
              <w:spacing w:after="0"/>
              <w:rPr>
                <w:sz w:val="19"/>
                <w:szCs w:val="19"/>
                <w:color w:val="auto"/>
              </w:rPr>
            </w:pPr>
          </w:p>
        </w:tc>
        <w:tc>
          <w:tcPr>
            <w:tcW w:w="2720" w:type="dxa"/>
            <w:vAlign w:val="bottom"/>
            <w:gridSpan w:val="4"/>
            <w:vMerge w:val="continue"/>
          </w:tcPr>
          <w:p>
            <w:pPr>
              <w:spacing w:after="0"/>
              <w:rPr>
                <w:sz w:val="19"/>
                <w:szCs w:val="19"/>
                <w:color w:val="auto"/>
              </w:rPr>
            </w:pP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Profit margin</w:t>
            </w:r>
          </w:p>
        </w:tc>
        <w:tc>
          <w:tcPr>
            <w:tcW w:w="174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Sharing Rate</w:t>
            </w: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control</w:t>
            </w:r>
          </w:p>
        </w:tc>
        <w:tc>
          <w:tcPr>
            <w:tcW w:w="272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color w:val="auto"/>
              </w:rPr>
              <w:t>(adjusted down based 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Slightly below</w:t>
            </w:r>
          </w:p>
        </w:tc>
        <w:tc>
          <w:tcPr>
            <w:tcW w:w="13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0" w:type="dxa"/>
            <w:vAlign w:val="bottom"/>
          </w:tcPr>
          <w:p>
            <w:pPr>
              <w:spacing w:after="0"/>
              <w:rPr>
                <w:sz w:val="1"/>
                <w:szCs w:val="1"/>
                <w:color w:val="auto"/>
              </w:rPr>
            </w:pPr>
          </w:p>
        </w:tc>
      </w:tr>
      <w:tr>
        <w:trPr>
          <w:trHeight w:val="135"/>
        </w:trPr>
        <w:tc>
          <w:tcPr>
            <w:tcW w:w="1040" w:type="dxa"/>
            <w:vAlign w:val="bottom"/>
            <w:vMerge w:val="continue"/>
            <w:shd w:val="clear" w:color="auto" w:fill="CCEEFF"/>
          </w:tcPr>
          <w:p>
            <w:pPr>
              <w:spacing w:after="0"/>
              <w:rPr>
                <w:sz w:val="11"/>
                <w:szCs w:val="11"/>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Sales success</w:t>
            </w:r>
          </w:p>
        </w:tc>
        <w:tc>
          <w:tcPr>
            <w:tcW w:w="272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team costs and results</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38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272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retention</w:t>
            </w:r>
          </w:p>
        </w:tc>
        <w:tc>
          <w:tcPr>
            <w:tcW w:w="272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Team development</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040" w:type="dxa"/>
            <w:vAlign w:val="bottom"/>
            <w:shd w:val="clear" w:color="auto" w:fill="CCEEFF"/>
          </w:tcPr>
          <w:p>
            <w:pPr>
              <w:spacing w:after="0"/>
              <w:rPr>
                <w:sz w:val="2"/>
                <w:szCs w:val="2"/>
                <w:color w:val="auto"/>
              </w:rPr>
            </w:pPr>
          </w:p>
        </w:tc>
        <w:tc>
          <w:tcPr>
            <w:tcW w:w="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-3188335</wp:posOffset>
            </wp:positionV>
            <wp:extent cx="137160"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-1825625</wp:posOffset>
            </wp:positionV>
            <wp:extent cx="137160" cy="574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16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Stock Incentive Plan authorizes grants of several different types of equity awards, with the Committee determining in both 2024 (for fiscal 2023 performance) and 2023 (for fiscal 2022 performance) that long-term equity awards would be in the form of restricted stock awards that vest as follows:</w:t>
      </w:r>
    </w:p>
    <w:p>
      <w:pPr>
        <w:spacing w:after="0" w:line="54"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awards vest upon the first anniversary of the grant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second anniversary of the grant date;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third anniversary of the grant date.</w:t>
      </w:r>
    </w:p>
    <w:p>
      <w:pPr>
        <w:spacing w:after="0" w:line="11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For awards made in both 2024 and 2023: dividends on restricted stock awards are accrued and paid when underlying restricted shares vest; accrued dividends on forfeited shares are not paid; and restricted shares may not be sold, transferred, or pledged prior to vesting.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Business Incentive Program</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Wealth Management employees, including Ms. Bennett, are eligible to participate in the New Business Incentive Program, which is designed to incentivize new client relationships. When a new client relationship is directly initiated as the result of an employee’s efforts, the employee receives 25% of the account’s fees collected during the first year. If the employee refers the client to a Private Wealth Advisors eligible to establish the new client relationship, the 25% payout is split equally between the employee and the Advisor handling the relationship as a quarterly payment based on actual client fees collected.</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Other Benefits and Perquisites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We offer employee and post-retirement benefits to all full-time employees, including named executive officers, in order to provide them with financial support in the event of injury, illness or disability and to help them accumulate retirement savings on a tax-favored basis. Our employees are generally eligible to participate in benefits programs including medical, dental, vision, disability, life insurance, and health savings or flexible spending accounts. The cost of health insurance and savings plans is partially borne by the Company, including costs for named executive officers. We pay for disability insurance and a set amount of term life insurance for all employees.</w:t>
      </w:r>
    </w:p>
    <w:p>
      <w:pPr>
        <w:sectPr>
          <w:pgSz w:w="11900" w:h="16838" w:orient="portrait"/>
          <w:cols w:equalWidth="0" w:num="1">
            <w:col w:w="11240"/>
          </w:cols>
          <w:pgMar w:left="320" w:top="598"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598" w:right="339" w:bottom="1440" w:gutter="0" w:footer="0" w:header="0"/>
          <w:type w:val="continuous"/>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i w:val="1"/>
          <w:iCs w:val="1"/>
          <w:color w:val="auto"/>
        </w:rPr>
        <w:t>Savings Plan and Matching Contributions</w:t>
      </w:r>
    </w:p>
    <w:p>
      <w:pPr>
        <w:spacing w:after="0" w:line="119"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Under Westwood Holdings Group, Inc.’s Savings Plan (the "Savings Plan"), all U.S. employees, including named executive officers, are eligible to make 401(k) contributions subject to annual IRS limits. We fully match employee contributions up to 6% of their eligible compensation (subject to IRS limits). Employees are vested immediately in their 401(k) contributions as well as in the Company matching portion.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Profit Sharing Contributions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Savings Plan authorizes us to make discretionary annual contributions to U.S. employees’ Savings Plan accounts based on our profitability and performance. The profit-sharing component of the Savings Plan is broad-based and all employees, including the named executive officers, are eligible for discretionary profit-sharing contributions. Profit sharing contributions are subject to a four-year vesting schedule based on an employee's years of service.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did not make any profit-sharing contributions during 2023.</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provide perquisites to our named executive officers during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Board has established stock ownership guidelines for the CEO, NEOs, and certain other executives because we believe that equity ownership encourages employees to have a long-term view of our success and a healthy concern for the entire Company. Executives subject to stock ownership guidelines are required to hold 50% of net shares acquired through vesting of equity-based compensation programs until the minimum guideline level is met. If a decline in the price of our common stock causes an executive’s holdings to fall below the applicable threshold, the executive will not be required to purchase additional shares but is required to hold 50% of net shares acquired through vesting of equity-based compensation programs until the threshold is regained. Compliance with stock ownership guidelines is evaluated periodically by our Board of Directors. With the decline in the price of our stock, the value of shares held by certain executives fell below the applicable thresholds. As of March 4, 2024, Mr. Casey was in compliance with the stock ownership holding requirement. All named executive officers are in compliance by holding the net vested shares required by the guidelines until such time as the minimum is achieved.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Related Agreements</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believes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Accordingly, in December 2015, the Committee entered into a new employment agreement with Mr. Casey, which auto-renewed for an additional one-year period on January 1, 2024, and is subject to automatic renewals for subsequent one-year periods.</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There is no written employment agreement with Mr. Gomez. However, in connection with his appointment as President on May 26, 2022, the Company and Mr. Gomez entered into a letter agreement (the “Gomez Letter Agreement”) and an Employee Confidentiality and Non-Compete Agreement (the “Gomez CNCA”). 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CNCA contains (a) customary confidentiality provisions, (b) a non-compete covenant that applies during Mr. Gomez’s employment and for 12 months thereafter and which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 for monthly salary continuation payments and monthly prorated bonus payments (based on the most recent annual cash bonus paid to Mr. Gomez before his termination).</w:t>
      </w:r>
    </w:p>
    <w:p>
      <w:pPr>
        <w:spacing w:after="0" w:line="89"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There is no written employment agreement with Ms. Bennett. However, in connection with her appointment as President, Westwood Wealth Management on May 26, 2022, the Company, and Ms. Bennett entered into a letter agreement (the “Bennett Letter Agreement” and an Employee Confidentiality and Non-Compete Agreement (the “Bennett CNCA”). The Bennett Letter Agreement provides for continued vesting for Ms. Bennett’s outstanding unvested restricted stock awards (time-based and performance-based)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551" w:right="339" w:bottom="1440" w:gutter="0" w:footer="0" w:header="0"/>
        </w:sectPr>
      </w:pPr>
    </w:p>
    <w:bookmarkStart w:id="26" w:name="page27"/>
    <w:bookmarkEnd w:id="26"/>
    <w:p>
      <w:pPr>
        <w:ind w:right="100"/>
        <w:spacing w:after="0" w:line="254" w:lineRule="auto"/>
        <w:rPr>
          <w:sz w:val="20"/>
          <w:szCs w:val="20"/>
          <w:color w:val="auto"/>
        </w:rPr>
      </w:pPr>
      <w:r>
        <w:rPr>
          <w:rFonts w:ascii="Times New Roman" w:cs="Times New Roman" w:eastAsia="Times New Roman" w:hAnsi="Times New Roman"/>
          <w:sz w:val="18"/>
          <w:szCs w:val="18"/>
          <w:color w:val="auto"/>
        </w:rPr>
        <w:t>upon her involuntary termination of employment by the Company without “cause” (as defined in the Bennett Letter Agreement) or her voluntary termination of employment with the Company for “good reason” (as defined in the Bennett Letter Agreement), provided she (a) complies fully with all obligations under the Bennett Letter Agreement and the Bennett CNCA, and (b) executes and does not revoke a general release of all claims arising out of or related to her employment with the Company. The Bennett CNCA contains (a) customary confidentiality provisions, (b) a non-compete covenant that applies during Ms. Bennett’s employment and for 12 months thereafter and which restricts her from performing services for any person or entity in the United States that is or was a client of Westwood with respect to whom Ms. Bennett did business and/or had personal contact during her employment with Westwood, and (c) customary employee and client non-solicitation restrictive covenants that apply during Ms. Bennett’s employment and for 24 months thereafter. In addition, under the Bennett CNCA, Westwood can elect to restrict Ms. Bennett from competing against Westwood in any capacity for up to six months following her termination of employment in exchange for monthly salary continuation payments.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compensation and benefits payable to Messrs. Casey, Gomez and Ms. Bennett in the event their employment is terminated.</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our Stock Incentive Plan, in the event of their death or a "change in control" of the Company, unvested time-vested restricted stock awards would vest. Other than the terms of Mr. Gomez's severance benefit agreement discussed in "Employment and Related Agreements" above and the acceleration of restricted stock awards for Mr. Gomez and Ms. Bennett upon death or a "change in control," they are not contractually entitled to any other severance payments upon their termination or a "change in control" of the Company.</w:t>
      </w:r>
    </w:p>
    <w:p>
      <w:pPr>
        <w:spacing w:after="0" w:line="7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Under the employment agreement in place, payments to Mr. Casey could vary depending on the cause of termination and whether or not the Board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various payment scenarios for Mr. Casey are:</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without cause, by the executive for good reason or non-renewal by the Company (the non-compete agreement is automatically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has not been already paid:</w:t>
      </w:r>
    </w:p>
    <w:p>
      <w:pPr>
        <w:spacing w:after="0" w:line="117" w:lineRule="exact"/>
        <w:rPr>
          <w:sz w:val="20"/>
          <w:szCs w:val="20"/>
          <w:color w:val="auto"/>
        </w:rPr>
      </w:pPr>
    </w:p>
    <w:p>
      <w:pPr>
        <w:ind w:left="660" w:right="1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the sum of one year's salary plus the annual bonus paid for the most recently completed year, to be paid in monthly installments over eighteen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unvested restricted shares shall be fully vested; provided, however, that to the extent that any such awards are subject to performance-based vesting conditions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year's salary paid in monthly installments, less the amount of medical insurance premiums that would have paid had he remained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not enforced.</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553" w:right="3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he has not been already paid:</w:t>
      </w:r>
    </w:p>
    <w:p>
      <w:pPr>
        <w:spacing w:after="0" w:line="11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not been already paid:</w:t>
      </w:r>
    </w:p>
    <w:p>
      <w:pPr>
        <w:spacing w:after="0" w:line="117"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one year's salary plus the annual bonus paid for the most recently completed year, to be paid in monthly installments over twenty-four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 if any, at least equal to those then provided by the Company to disabled executives and their families;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outstanding equity awards held by our named executive officers as of December 31, 2023:</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553" w:right="4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8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of</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Award Grant</w:t>
            </w: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62"/>
        </w:trPr>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4"/>
                <w:szCs w:val="14"/>
                <w:color w:val="auto"/>
              </w:rPr>
            </w:pPr>
          </w:p>
        </w:tc>
        <w:tc>
          <w:tcPr>
            <w:tcW w:w="8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Have</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 (#)</w:t>
            </w: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Vested (#) (2)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 (3)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0" w:type="dxa"/>
            <w:vAlign w:val="bottom"/>
          </w:tcPr>
          <w:p>
            <w:pPr>
              <w:spacing w:after="0"/>
              <w:rPr>
                <w:sz w:val="1"/>
                <w:szCs w:val="1"/>
                <w:color w:val="auto"/>
              </w:rPr>
            </w:pPr>
          </w:p>
        </w:tc>
      </w:tr>
      <w:tr>
        <w:trPr>
          <w:trHeight w:val="217"/>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(i)</w:t>
            </w:r>
          </w:p>
        </w:tc>
        <w:tc>
          <w:tcPr>
            <w:tcW w:w="0" w:type="dxa"/>
            <w:vAlign w:val="bottom"/>
          </w:tcPr>
          <w:p>
            <w:pPr>
              <w:spacing w:after="0"/>
              <w:rPr>
                <w:sz w:val="1"/>
                <w:szCs w:val="1"/>
                <w:color w:val="auto"/>
              </w:rPr>
            </w:pPr>
          </w:p>
        </w:tc>
      </w:tr>
      <w:tr>
        <w:trPr>
          <w:trHeight w:val="28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50,649</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636,658</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154,774</w:t>
            </w:r>
          </w:p>
        </w:tc>
        <w:tc>
          <w:tcPr>
            <w:tcW w:w="132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203,735</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127,686</w:t>
            </w:r>
          </w:p>
        </w:tc>
        <w:tc>
          <w:tcPr>
            <w:tcW w:w="1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54,453</w:t>
            </w: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203,735</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116,386</w:t>
            </w:r>
          </w:p>
        </w:tc>
        <w:tc>
          <w:tcPr>
            <w:tcW w:w="13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8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40,274</w:t>
            </w:r>
          </w:p>
        </w:tc>
        <w:tc>
          <w:tcPr>
            <w:tcW w:w="1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0" w:right="340" w:hanging="412"/>
        <w:spacing w:after="0" w:line="258"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years in column (e) reflect the year in which the award was granted. The 2020 grant was for 2019 performance year, the 2021 grant was for 2020 performance year, the 2022 grant was for 2021 performance year, and the 2023 grant was for the 2022 performance year.</w:t>
      </w:r>
    </w:p>
    <w:p>
      <w:pPr>
        <w:ind w:left="420" w:right="60" w:hanging="412"/>
        <w:spacing w:after="0" w:line="253"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column (g) will vest in late February of each year according to the following schedule provided that the individual is still employed on the vesting date. The 2020 grant vested with 25% vesting Year 1, 25% vesting Year 2, 25% vesting Year 3, and 25% vesting Year 4. The 2021, 2022 and 2023 grants vest over a 3-year period with 34% vesting Year 1, 33% vesting Year 2, and 33% vesting Year 3.</w:t>
      </w:r>
    </w:p>
    <w:p>
      <w:pPr>
        <w:spacing w:after="0" w:line="1" w:lineRule="exact"/>
        <w:rPr>
          <w:rFonts w:ascii="Times New Roman" w:cs="Times New Roman" w:eastAsia="Times New Roman" w:hAnsi="Times New Roman"/>
          <w:sz w:val="16"/>
          <w:szCs w:val="16"/>
          <w:color w:val="auto"/>
        </w:rPr>
      </w:pPr>
    </w:p>
    <w:p>
      <w:pPr>
        <w:ind w:left="420" w:right="360" w:hanging="412"/>
        <w:spacing w:after="0" w:line="270"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columns (h) and (i) reflect the value of the shares shown in columns (g) and (i), respectively, multiplied by $12.57, the closing market price of our common stock as of December 29, 2023, the last business day in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equity-based incentive awards are governed by the Stock Incentive Plan (the “Plan”).</w:t>
      </w:r>
    </w:p>
    <w:p>
      <w:pPr>
        <w:spacing w:after="0" w:line="117"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2023, equity awards under the Plan consisted of our authorized restricted common stock. Awards under the Plan may be made to employees, including officers and directors who may be employees, non-employee directors, and consultants. Any shares issued under the Plan may consist of authorized but unissued shares or forfeited shares, or a combination thereof.</w:t>
      </w:r>
    </w:p>
    <w:p>
      <w:pPr>
        <w:spacing w:after="0" w:line="6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Plan authorizes the grant of several types of equity-based awards, including incentive stock options ("ISOs"), nonstatutory stock options ("NSOs") restricted stock, mutual fund awards, stock purchase rights, stock appreciation rights ("SARs"), restricted stock units ("RSUs") and performance shares (in the form of deferred stock awards). The Plan also authorizes cash awards in the form of annual incentive awards, performance-based awards, and discretionary bonus awards. The various types of awards authorized under the Plan may be utilized in the future if determined to be appropriate by the Compensation and Human Capital Committee (the “Committee”). Currently, the Committee limits its equity-based awards under the Plan to restricted stock and mutual fund awards. The Committee believes that restricted stock awards are the most effective vehicle to align the interests of employees with stockholders and clients. Unless the Committee determines otherwise, the recipient of restricted shares will generally have the right to vote the restricted shares. No dividends are payable with respect to unvested restricted stock. The Committee has determined that dividends payable on unvested restricted stock will be accrued and therefore dividends are subject to forfeiture conditions and payable to the recipient only when the underlying shares of restricted stock vest. The Committee believes that these terms and conditions for restricted stock awards offer the best balance of providing value to the employee as we succeed as a company as well as providing a mechanism to retain key employees over the long-term as they build a meaningful portion of their wealth in the form of Company equity.</w:t>
      </w:r>
    </w:p>
    <w:p>
      <w:pPr>
        <w:spacing w:after="0" w:line="8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or the Committee administers the Plan with respect to all eligible individuals. Cash incentive awards are typically communicated to employees and paid in the first quarter of the following year to coincide with year-end performance reviews. Annual time-vested restricted stock awards are generally awarded in the first quarter of the year and reflect performance in the prior year.</w:t>
      </w:r>
    </w:p>
    <w:p>
      <w:pPr>
        <w:spacing w:after="0" w:line="6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Determinations of the Committee are final, conclusive, and binding upon all persons having an interest in the Plan. Any action or determination by the Committee regarding an award to a non-employee director must be approved by the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Named Executive Officers (“NEOs”) and Company performance for the fiscal years listed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5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below. The Compensation Committee did not consider the pay versus performance disclosure below in making its pay decisions for any of the years shown.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 Brian</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 Casey</w:t>
            </w:r>
            <w:r>
              <w:rPr>
                <w:rFonts w:ascii="Times New Roman" w:cs="Times New Roman" w:eastAsia="Times New Roman" w:hAnsi="Times New Roman"/>
                <w:sz w:val="9"/>
                <w:szCs w:val="9"/>
                <w:b w:val="1"/>
                <w:bCs w:val="1"/>
                <w:color w:val="auto"/>
              </w:rPr>
              <w:t>1,2,3</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1</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r>
              <w:rPr>
                <w:rFonts w:ascii="Times New Roman" w:cs="Times New Roman" w:eastAsia="Times New Roman" w:hAnsi="Times New Roman"/>
                <w:sz w:val="17"/>
                <w:szCs w:val="17"/>
                <w:b w:val="1"/>
                <w:bCs w:val="1"/>
                <w:color w:val="auto"/>
                <w:vertAlign w:val="superscript"/>
              </w:rPr>
              <w:t>4</w:t>
            </w:r>
            <w:r>
              <w:rPr>
                <w:rFonts w:ascii="Times New Roman" w:cs="Times New Roman" w:eastAsia="Times New Roman" w:hAnsi="Times New Roman"/>
                <w:sz w:val="14"/>
                <w:szCs w:val="14"/>
                <w:b w:val="1"/>
                <w:bCs w:val="1"/>
                <w:color w:val="auto"/>
              </w:rPr>
              <w:t>: TSR</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rPr>
              <w:t>Brian O. Casey</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2"/>
              </w:rPr>
              <w:t>NEOs</w:t>
            </w:r>
            <w:r>
              <w:rPr>
                <w:rFonts w:ascii="Times New Roman" w:cs="Times New Roman" w:eastAsia="Times New Roman" w:hAnsi="Times New Roman"/>
                <w:sz w:val="18"/>
                <w:szCs w:val="18"/>
                <w:b w:val="1"/>
                <w:bCs w:val="1"/>
                <w:color w:val="auto"/>
                <w:w w:val="92"/>
                <w:vertAlign w:val="superscript"/>
              </w:rPr>
              <w:t>1,2,3</w:t>
            </w:r>
            <w:r>
              <w:rPr>
                <w:rFonts w:ascii="Times New Roman" w:cs="Times New Roman" w:eastAsia="Times New Roman" w:hAnsi="Times New Roman"/>
                <w:sz w:val="14"/>
                <w:szCs w:val="14"/>
                <w:b w:val="1"/>
                <w:bCs w:val="1"/>
                <w:color w:val="auto"/>
                <w:w w:val="92"/>
              </w:rPr>
              <w:t xml:space="preserve">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21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2,067,532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2,135,660</w:t>
            </w:r>
          </w:p>
        </w:tc>
        <w:tc>
          <w:tcPr>
            <w:tcW w:w="10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866,067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924,267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764,108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623,349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1,744,152</w:t>
            </w:r>
          </w:p>
        </w:tc>
        <w:tc>
          <w:tcPr>
            <w:tcW w:w="10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813,975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840,913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O. Casey was our PEO for each year presented. The individuals comprising the Non-PEO NEOs for each year presented are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CEEFF"/>
            </w:tcBorders>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Julie K. Gerron</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Leah Bennett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Leah Bennett</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Murray "Terry" Forbes III</w:t>
            </w:r>
          </w:p>
        </w:tc>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r>
      <w:tr>
        <w:trPr>
          <w:trHeight w:val="23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Steven Paddon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175" w:lineRule="exact"/>
        <w:rPr>
          <w:sz w:val="20"/>
          <w:szCs w:val="20"/>
          <w:color w:val="auto"/>
        </w:rPr>
      </w:pPr>
    </w:p>
    <w:p>
      <w:pPr>
        <w:ind w:left="660" w:right="20" w:hanging="328"/>
        <w:spacing w:after="0" w:line="271"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ind w:left="660" w:right="380" w:hanging="328"/>
        <w:spacing w:after="0" w:line="254"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w:t>
      </w:r>
    </w:p>
    <w:p>
      <w:pPr>
        <w:spacing w:after="0" w:line="1" w:lineRule="exact"/>
        <w:rPr>
          <w:rFonts w:ascii="Times New Roman" w:cs="Times New Roman" w:eastAsia="Times New Roman" w:hAnsi="Times New Roman"/>
          <w:sz w:val="14"/>
          <w:szCs w:val="14"/>
          <w:color w:val="auto"/>
        </w:rPr>
      </w:pPr>
    </w:p>
    <w:p>
      <w:pPr>
        <w:ind w:left="660" w:right="60" w:hanging="328"/>
        <w:spacing w:after="0" w:line="283"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$100 was invested in the Company for the period starting December 31, 2021, through the end of the listed year. Historical stock performance is not necessarily indicative of future stock performance.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Exclusion of Stock Awards for</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96"/>
        </w:trPr>
        <w:tc>
          <w:tcPr>
            <w:tcW w:w="2360" w:type="dxa"/>
            <w:vAlign w:val="bottom"/>
            <w:gridSpan w:val="2"/>
            <w:vMerge w:val="continue"/>
          </w:tcPr>
          <w:p>
            <w:pPr>
              <w:spacing w:after="0"/>
              <w:rPr>
                <w:sz w:val="17"/>
                <w:szCs w:val="17"/>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for Brian O. Casey ($)</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r>
        <w:trPr>
          <w:trHeight w:val="216"/>
        </w:trPr>
        <w:tc>
          <w:tcPr>
            <w:tcW w:w="2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2,067,532</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693,128</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2,135,660</w:t>
            </w:r>
          </w:p>
        </w:tc>
        <w:tc>
          <w:tcPr>
            <w:tcW w:w="0" w:type="dxa"/>
            <w:vAlign w:val="bottom"/>
          </w:tcPr>
          <w:p>
            <w:pPr>
              <w:spacing w:after="0"/>
              <w:rPr>
                <w:sz w:val="1"/>
                <w:szCs w:val="1"/>
                <w:color w:val="auto"/>
              </w:rPr>
            </w:pPr>
          </w:p>
        </w:tc>
      </w:tr>
      <w:tr>
        <w:trPr>
          <w:trHeight w:val="353"/>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 NEOs</w:t>
            </w: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24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6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Values for Non-PEO NEOs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to Non-PEO NEOs ($)</w:t>
            </w:r>
          </w:p>
        </w:tc>
        <w:tc>
          <w:tcPr>
            <w:tcW w:w="0" w:type="dxa"/>
            <w:vAlign w:val="bottom"/>
          </w:tcPr>
          <w:p>
            <w:pPr>
              <w:spacing w:after="0"/>
              <w:rPr>
                <w:sz w:val="1"/>
                <w:szCs w:val="1"/>
                <w:color w:val="auto"/>
              </w:rPr>
            </w:pPr>
          </w:p>
        </w:tc>
      </w:tr>
      <w:tr>
        <w:trPr>
          <w:trHeight w:val="214"/>
        </w:trPr>
        <w:tc>
          <w:tcPr>
            <w:tcW w:w="2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866,067</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924,267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ectPr>
          <w:pgSz w:w="11900" w:h="16838" w:orient="portrait"/>
          <w:cols w:equalWidth="0" w:num="1">
            <w:col w:w="11240"/>
          </w:cols>
          <w:pgMar w:left="320" w:top="553" w:right="339" w:bottom="1440" w:gutter="0" w:footer="0" w:header="0"/>
        </w:sect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6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162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Prior Year to Last</w:t>
            </w:r>
          </w:p>
        </w:tc>
        <w:tc>
          <w:tcPr>
            <w:tcW w:w="12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Year That Remained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of</w:t>
            </w:r>
          </w:p>
        </w:tc>
        <w:tc>
          <w:tcPr>
            <w:tcW w:w="12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Unvested as of Last</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0" w:type="dxa"/>
            <w:vAlign w:val="bottom"/>
          </w:tcPr>
          <w:p>
            <w:pPr>
              <w:spacing w:after="0"/>
              <w:rPr>
                <w:sz w:val="1"/>
                <w:szCs w:val="1"/>
                <w:color w:val="auto"/>
              </w:rPr>
            </w:pPr>
          </w:p>
        </w:tc>
      </w:tr>
      <w:tr>
        <w:trPr>
          <w:trHeight w:val="137"/>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2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Day of Year for</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Awards for Brian O.</w:t>
            </w:r>
          </w:p>
        </w:tc>
        <w:tc>
          <w:tcPr>
            <w:tcW w:w="12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16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Dividends or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Prior Year to Vesting</w:t>
            </w: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Day of Prior Year of</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 Earnings Paid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Equity Awards</w:t>
            </w:r>
          </w:p>
        </w:tc>
        <w:tc>
          <w:tcPr>
            <w:tcW w:w="12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Not Otherwise</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 for Brian O.</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Included for Brian</w:t>
            </w:r>
          </w:p>
        </w:tc>
        <w:tc>
          <w:tcPr>
            <w:tcW w:w="12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3"/>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 Casey ($)</w:t>
            </w:r>
          </w:p>
        </w:tc>
        <w:tc>
          <w:tcPr>
            <w:tcW w:w="12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20" w:space="180"/>
            <w:col w:w="57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10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659,450</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693,128</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Vesting-</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Value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42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1440" w:type="dxa"/>
            <w:vAlign w:val="bottom"/>
            <w:gridSpan w:val="2"/>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of</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 Other</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During Year That</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 Last Day of Prior</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 on</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Remained Unvested</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Year of Equity</w:t>
            </w:r>
          </w:p>
        </w:tc>
        <w:tc>
          <w:tcPr>
            <w:tcW w:w="14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Equity Awards Not</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 of Last Day of</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 Vested</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Otherwise Included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0" w:type="dxa"/>
            <w:vAlign w:val="bottom"/>
          </w:tcPr>
          <w:p>
            <w:pPr>
              <w:spacing w:after="0"/>
              <w:rPr>
                <w:sz w:val="1"/>
                <w:szCs w:val="1"/>
                <w:color w:val="auto"/>
              </w:rPr>
            </w:pPr>
          </w:p>
        </w:tc>
      </w:tr>
      <w:tr>
        <w:trPr>
          <w:trHeight w:val="216"/>
        </w:trPr>
        <w:tc>
          <w:tcPr>
            <w:tcW w:w="10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211,028</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31,233</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258,200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Company Total Shareholder Return ("TSR")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53" w:right="339" w:bottom="1440" w:gutter="0" w:footer="0" w:header="0"/>
          <w:type w:val="continuous"/>
        </w:sectPr>
      </w:pPr>
    </w:p>
    <w:bookmarkStart w:id="30" w:name="page31"/>
    <w:bookmarkEnd w:id="30"/>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6172200" cy="3402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Non-PEO NEO Compensation Actually Paid and Net Income</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3402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553" w:right="47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BDO USA, P.C. as Independent Auditors</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auditors for 2024. Representatives of BDO will attend the virtual annual meeting to answer questions and may make a statement if they so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by BDO</w:t>
      </w:r>
    </w:p>
    <w:p>
      <w:pPr>
        <w:spacing w:after="0" w:line="121" w:lineRule="exact"/>
        <w:rPr>
          <w:sz w:val="20"/>
          <w:szCs w:val="20"/>
          <w:color w:val="auto"/>
        </w:rPr>
      </w:pPr>
    </w:p>
    <w:p>
      <w:pPr>
        <w:ind w:right="220" w:firstLine="405"/>
        <w:spacing w:after="0" w:line="276" w:lineRule="auto"/>
        <w:rPr>
          <w:sz w:val="20"/>
          <w:szCs w:val="20"/>
          <w:color w:val="auto"/>
        </w:rPr>
      </w:pPr>
      <w:r>
        <w:rPr>
          <w:rFonts w:ascii="Times New Roman" w:cs="Times New Roman" w:eastAsia="Times New Roman" w:hAnsi="Times New Roman"/>
          <w:sz w:val="17"/>
          <w:szCs w:val="17"/>
          <w:color w:val="auto"/>
        </w:rPr>
        <w:t>BDO was appointed to serve as independent auditor for the Company in 2022. In addition to performing the audit of the Company's consolidated financial statements, BDO also provides various other services to the Company and to common trust funds sponsored by Westwood Trust.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presents aggregate fees billed to the Company and the common trust funds in 2022 and 2023</w:t>
      </w:r>
      <w:r>
        <w:rPr>
          <w:rFonts w:ascii="Times New Roman" w:cs="Times New Roman" w:eastAsia="Times New Roman" w:hAnsi="Times New Roman"/>
          <w:sz w:val="21"/>
          <w:szCs w:val="2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482,000</w:t>
            </w: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80" w:hanging="562"/>
        <w:spacing w:after="0" w:line="261" w:lineRule="auto"/>
        <w:tabs>
          <w:tab w:leader="none" w:pos="112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ind w:left="1380" w:right="180" w:hanging="562"/>
        <w:spacing w:after="0" w:line="261" w:lineRule="auto"/>
        <w:tabs>
          <w:tab w:leader="none" w:pos="112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financial audit services to common trust funds sponsored by Westwood Trust. These fees are not paid by Westwood but are paid by the common trust funds.</w:t>
      </w:r>
    </w:p>
    <w:p>
      <w:pPr>
        <w:ind w:left="1120" w:hanging="302"/>
        <w:spacing w:after="0"/>
        <w:tabs>
          <w:tab w:leader="none" w:pos="11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aggregate fees billed for tax services provided to the common trust funds and partly paid by the common trust funds.</w:t>
      </w:r>
    </w:p>
    <w:p>
      <w:pPr>
        <w:spacing w:after="0" w:line="11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Pre-approval policies and procedures for audit and non-audit services. </w:t>
      </w:r>
      <w:r>
        <w:rPr>
          <w:rFonts w:ascii="Times New Roman" w:cs="Times New Roman" w:eastAsia="Times New Roman" w:hAnsi="Times New Roman"/>
          <w:sz w:val="18"/>
          <w:szCs w:val="18"/>
          <w:color w:val="auto"/>
        </w:rPr>
        <w:t>The Audit Committee has established a policy regarding pre-approval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76" w:lineRule="exact"/>
        <w:rPr>
          <w:sz w:val="20"/>
          <w:szCs w:val="20"/>
          <w:color w:val="auto"/>
        </w:rPr>
      </w:pPr>
    </w:p>
    <w:p>
      <w:pPr>
        <w:ind w:right="440" w:firstLine="405"/>
        <w:spacing w:after="0" w:line="375" w:lineRule="auto"/>
        <w:rPr>
          <w:sz w:val="20"/>
          <w:szCs w:val="20"/>
          <w:color w:val="auto"/>
        </w:rPr>
      </w:pPr>
      <w:r>
        <w:rPr>
          <w:rFonts w:ascii="Times New Roman" w:cs="Times New Roman" w:eastAsia="Times New Roman" w:hAnsi="Times New Roman"/>
          <w:sz w:val="18"/>
          <w:szCs w:val="18"/>
          <w:color w:val="auto"/>
        </w:rPr>
        <w:t xml:space="preserve">The Audit Committee or the chairperson acting on its behalf pre-approved all services provided by BDO for the year ended December 31, 2023. </w:t>
      </w:r>
      <w:r>
        <w:rPr>
          <w:rFonts w:ascii="Times New Roman" w:cs="Times New Roman" w:eastAsia="Times New Roman" w:hAnsi="Times New Roman"/>
          <w:sz w:val="18"/>
          <w:szCs w:val="18"/>
          <w:b w:val="1"/>
          <w:bCs w:val="1"/>
          <w:color w:val="auto"/>
        </w:rPr>
        <w:t>Vote Sought and Recommendation</w:t>
      </w:r>
    </w:p>
    <w:p>
      <w:pPr>
        <w:spacing w:after="0" w:line="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Although stockholder action on this matter is not required, the appointment of BDO is being recommended to the stockholders for ratification. The affirmative "FOR" vote of a majority of the votes cast at the annual meeting will serve to ratify the appointment of BDO as independent auditors for 2024. Abstentions will not affect the outcome of a vote on this proposal.</w:t>
      </w:r>
    </w:p>
    <w:p>
      <w:pPr>
        <w:spacing w:after="0" w:line="64"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BDO AS OUR INDEPENDENT AUDITORS FOR 2024.</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4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Approval of the Tenth Amended and Restated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Westwood Holdings Group, Inc. Stock Incentive Plan</w:t>
      </w:r>
    </w:p>
    <w:p>
      <w:pPr>
        <w:spacing w:after="0" w:line="9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(the “Committee”) and the Board of Directors have approved and have proposed that our stockholders approve the Tenth (the “Amendment”) Amended and Restated Westwood Holdings Group, Inc. Stock Incentive Plan (the "Plan") at the annual meeting. Westwood originally adopted the Plan on February 1, 2002. On April 26, 2023, our stockholders approved the Plan (effective as of March 16, 2023), with a reserve of 6,248,100 shares of common stock. If approved by our stockholders, the Plan will be amended to increase the maximum number of shares available for issuance by 500,000 shares to 6,748,100 shares.</w:t>
      </w:r>
    </w:p>
    <w:p>
      <w:pPr>
        <w:spacing w:after="0" w:line="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Westwood is seeking stockholder approval for the Amendment. Stockholder approval is required under the requirements of the NYSE Corporate Governance Listing Standards, which are applicable to Westwood.</w:t>
      </w:r>
    </w:p>
    <w:p>
      <w:pPr>
        <w:spacing w:after="0" w:line="5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Committee believes it is important to authorize an additional 500,000 shares for granting under the Plan. As of March 4, 2024, approximately 5,870,057 shares had been issued under the Plan, leaving 378,043 shares available under the Plan for issuance. The Committee does not believe that this amount is sufficient to meet the Company's anticipated grants of awards through the date of our 2025 Annual Meeting of Stockholders. If stockholders do not approve the Amendment, the Plan will remain in effect however shares available for equity-based compensation may be quickly depleted and we will lose the ability to use equity as a compensation tool, requiring a greater cash allocation to support our incentive programs. The Committee plans to request additional shares on an annual basis to accommodate anticipated grants related to the hiring, retention and promotion of employees. In 2023, 2022 and 2021, the number of shares of common stock underlying equity awards granted was approximately 500,000, 400,000, and 180,000,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Stockholders Should Vote to Approve the Amendment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in a Competitive Labor Market</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the asset management industry, there is significant competition for experienced individuals with the skills necessary to execute our strategy and advance our business. Our success depends on such key employees. To compete in a competitive market for talent, we believe that it is important to offer competitive compensation packages that include equity and cash components. Equity compensation is an important part of our employment value proposition.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 Key Part of Our Compensation Program</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Equity compensation is a key element of the total compensation we provide because equity grants align our employees’ and directors’ interests with those of our other stockholders, effectuate a culture of ownership among our employees and other recipients and preserve our cash resources. Equity incentives link long-term performance and payouts through the value of our shares. We believe that employees and other recipients with a personal stake in the future success of the Company are motivated to achieve our objectives and increase stockholder value. These unique and valuable aspects of equity compensation have made it a key element of our compensation strategy, and thus we grant equity compensation to multiple levels of our organization to provide opportunities to participate in ownership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to Talent Acquisition and Retention</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Equity compensation is important to our ability to attract, motivate and retain employees and officers and, as noted above, to be successful in the competitive market for highly skilled individuals. We use equity incentives as a key tool to motivate and reward recipients to execute our long-term strategy and, through their equity, share in the stockholder value they create. Long-term equity grants also promote retention because recipients usually must remain in service in order for their equity to vest.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Request Is Reasonable</w:t>
      </w:r>
    </w:p>
    <w:p>
      <w:pPr>
        <w:spacing w:after="0" w:line="12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If our request to approve the Plan and its share reserve is approved, we will have 878,043 shares available for grant after May 1, 2024, which we believe represents a reasonable amount to cover our needs for a very limited period of time. The Compensation Committee currently anticipates that we likely need to again request additional Shares at our 2025 Annual Meeting of Stockholders, based on our current share price, recent burn rate history, and historical new hire and annual grant practices. In making this determination the Compensation Committee took into account the potential impact of any expected future changes in employee population on projected share use. We cannot predict our future equity grant practices, the future price of our shares or future hiring activity with any degree of certainty at this time, and the share reserve under the Plan could last for a shorter or longer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Monitoring of Dilution</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contemplating the number of shares to authorize for issuance under the Plan, the Committee considered the potential dilution to current stockholders and projected future share usage, among other things. The Committee is cognizant that the Company’s equity compensation programs have a dilutive effect on our stockholders, and continuously strives to balance this concern with our need to compete for talent using practices that are prevalent in the market, including equity grants.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Amendment Is Intended to Protect Stockholder Interests and Is Consistent with Good Corporate Governance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441" w:right="359" w:bottom="1440" w:gutter="0" w:footer="0" w:header="0"/>
        </w:sectPr>
      </w:pPr>
    </w:p>
    <w:bookmarkStart w:id="33" w:name="page34"/>
    <w:bookmarkEnd w:id="33"/>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Award Vesting Limitations</w:t>
      </w:r>
      <w:r>
        <w:rPr>
          <w:rFonts w:ascii="Times New Roman" w:cs="Times New Roman" w:eastAsia="Times New Roman" w:hAnsi="Times New Roman"/>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50"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 Stock Options. </w:t>
      </w:r>
      <w:r>
        <w:rPr>
          <w:rFonts w:ascii="Times New Roman" w:cs="Times New Roman" w:eastAsia="Times New Roman" w:hAnsi="Times New Roman"/>
          <w:sz w:val="18"/>
          <w:szCs w:val="18"/>
          <w:color w:val="auto"/>
        </w:rPr>
        <w:t>The Plan prohibits the grant of a stock option with an exercise price less than the fair market value of Westwood’s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 (except in connection with substitute awards).</w:t>
      </w:r>
    </w:p>
    <w:p>
      <w:pPr>
        <w:spacing w:after="0" w:line="5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Share Recycling</w:t>
      </w:r>
      <w:r>
        <w:rPr>
          <w:rFonts w:ascii="Times New Roman" w:cs="Times New Roman" w:eastAsia="Times New Roman" w:hAnsi="Times New Roman"/>
          <w:sz w:val="18"/>
          <w:szCs w:val="18"/>
          <w:color w:val="auto"/>
        </w:rPr>
        <w:t>. Any shares subject to an award under the Plan that are forfeited, settled for cash, expire, or otherwise are terminated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such shares, become available for awards under the Plan. In addition, cash awards do not reduce the shares available under the Plan or to a participant in any calendar year. Shares delivered to the Company to pay the exercise price or base price of an award or to satisfy tax withholding obligations, or shares purchased on the open market using option proceeds or shares not issued in connection with a SAR share settlement, will not become available again for issuance under the Plan.</w:t>
      </w:r>
    </w:p>
    <w:p>
      <w:pPr>
        <w:spacing w:after="0" w:line="75"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each outstanding award under the Plan shall become 100% vested and exercisable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ten (10) days prior to the date of the change in control.</w:t>
      </w:r>
    </w:p>
    <w:p>
      <w:pPr>
        <w:spacing w:after="0" w:line="4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Payment of dividends only if underlying awards vest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dividends and dividend equivalents, if permitted to be earned on any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only to the extent that the underlying award vests.</w:t>
      </w:r>
    </w:p>
    <w:p>
      <w:pPr>
        <w:spacing w:after="0" w:line="49" w:lineRule="exact"/>
        <w:rPr>
          <w:sz w:val="20"/>
          <w:szCs w:val="20"/>
          <w:color w:val="auto"/>
        </w:rPr>
      </w:pPr>
    </w:p>
    <w:p>
      <w:pPr>
        <w:ind w:right="3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The Plan prohibits the repricing of awards or the repurchase and/or cancellation of underwater awards in exchange for cash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without stockholder approval.</w:t>
      </w:r>
    </w:p>
    <w:p>
      <w:pPr>
        <w:spacing w:after="0" w:line="50"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automatic share replenishment or “evergreen” provision. </w:t>
      </w:r>
      <w:r>
        <w:rPr>
          <w:rFonts w:ascii="Times New Roman" w:cs="Times New Roman" w:eastAsia="Times New Roman" w:hAnsi="Times New Roman"/>
          <w:sz w:val="18"/>
          <w:szCs w:val="18"/>
          <w:color w:val="auto"/>
        </w:rPr>
        <w:t>No automatic share replenishment or “evergreen” provision. There is no evergreen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 pursuant to which the shares authorized for issuance under the Plan will be automatically replenished</w:t>
      </w:r>
    </w:p>
    <w:p>
      <w:pPr>
        <w:spacing w:after="0" w:line="50"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increase in shares available without stockholder approval</w:t>
      </w:r>
      <w:r>
        <w:rPr>
          <w:rFonts w:ascii="Times New Roman" w:cs="Times New Roman" w:eastAsia="Times New Roman" w:hAnsi="Times New Roman"/>
          <w:sz w:val="18"/>
          <w:szCs w:val="18"/>
          <w:color w:val="auto"/>
        </w:rPr>
        <w:t>. The Plan prohibits any amendment that operates to increase the total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under the plan (other than customary adjustments in connection with certain corporate reorganizations or other events.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Plan are subject to the Company’s clawback and/or recoupment policies.</w:t>
      </w:r>
    </w:p>
    <w:p>
      <w:pPr>
        <w:spacing w:after="0" w:line="117" w:lineRule="exact"/>
        <w:rPr>
          <w:sz w:val="20"/>
          <w:szCs w:val="20"/>
          <w:color w:val="auto"/>
        </w:rPr>
      </w:pPr>
    </w:p>
    <w:p>
      <w:pPr>
        <w:ind w:right="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amendments. </w:t>
      </w:r>
      <w:r>
        <w:rPr>
          <w:rFonts w:ascii="Times New Roman" w:cs="Times New Roman" w:eastAsia="Times New Roman" w:hAnsi="Times New Roman"/>
          <w:sz w:val="18"/>
          <w:szCs w:val="18"/>
          <w:color w:val="auto"/>
        </w:rPr>
        <w:t>No amendments to the Plan can be made without stockholder approval if any such amendment would require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pursuant to applicable law or the applicable rules of the national securities exchange on which the Company’s shares are principally listed.</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Tenth Amended and Restated Plan, as amended</w:t>
      </w:r>
    </w:p>
    <w:p>
      <w:pPr>
        <w:spacing w:after="0" w:line="11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52"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7"/>
          <w:szCs w:val="17"/>
          <w:i w:val="1"/>
          <w:iCs w:val="1"/>
          <w:color w:val="auto"/>
        </w:rPr>
        <w:t>Key Features of the Plan</w:t>
      </w:r>
      <w:r>
        <w:rPr>
          <w:rFonts w:ascii="Times New Roman" w:cs="Times New Roman" w:eastAsia="Times New Roman" w:hAnsi="Times New Roman"/>
          <w:sz w:val="17"/>
          <w:szCs w:val="17"/>
          <w:color w:val="auto"/>
        </w:rPr>
        <w:t>. Awards under the Plan will consist of cash or Westwood's authorized common stock. The fair market value of Westwood's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of March 4, 2024, was $11.99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to non-employee directors or advisors. There are currently 145 Westwood employees and four non-employee directors who may be eligible to receive awards under the Plan. The total number of shares of common stock available pursuant to awards under the Plan over its entire term is 6,748,100 plus any shares of common stock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be available for issuance under the Plan. Subject to adjustment, no more than 316,033 shares of common stock may be covered by stock-based awards granted to any participant under the Plan in a calendar year.</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Term of the Plan. </w:t>
      </w:r>
      <w:r>
        <w:rPr>
          <w:rFonts w:ascii="Times New Roman" w:cs="Times New Roman" w:eastAsia="Times New Roman" w:hAnsi="Times New Roman"/>
          <w:sz w:val="18"/>
          <w:szCs w:val="18"/>
          <w:color w:val="auto"/>
        </w:rPr>
        <w:t>No awards may be made under the Plan after March 10, 2027.</w:t>
      </w:r>
    </w:p>
    <w:p>
      <w:pPr>
        <w:spacing w:after="0" w:line="117" w:lineRule="exact"/>
        <w:rPr>
          <w:sz w:val="20"/>
          <w:szCs w:val="20"/>
          <w:color w:val="auto"/>
        </w:rPr>
      </w:pPr>
    </w:p>
    <w:p>
      <w:pPr>
        <w:jc w:val="both"/>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Unless our Board of Directors determines otherwise, the Plan will be administered by the Committee whose determinations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and binding on any interested person. Such determinations include selecting participants, determining awards made under the Plan, interpreting plan provisions, and deciding the terms and conditions of any award.</w:t>
      </w:r>
    </w:p>
    <w:p>
      <w:pPr>
        <w:spacing w:after="0" w:line="65"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Plan may be amended by the Board of Directors or by the Committee. Amendments will be subject to stockholder approval if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required by applicable law, regulations or rules. Any amendment that would increase the aggregate number of shares of stock that may be issued under the Plan must be approved by our stockholders.</w:t>
      </w:r>
    </w:p>
    <w:p>
      <w:pPr>
        <w:spacing w:after="0" w:line="65" w:lineRule="exact"/>
        <w:rPr>
          <w:sz w:val="20"/>
          <w:szCs w:val="20"/>
          <w:color w:val="auto"/>
        </w:rPr>
      </w:pPr>
    </w:p>
    <w:p>
      <w:pPr>
        <w:jc w:val="both"/>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In the event of any stock dividend, stock split, reverse stock split, recapitalization, combination, reclassification or similar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Committee or the Board of Directors determines fair and equitable.</w:t>
      </w:r>
    </w:p>
    <w:p>
      <w:pPr>
        <w:spacing w:after="0" w:line="72" w:lineRule="exact"/>
        <w:rPr>
          <w:sz w:val="20"/>
          <w:szCs w:val="20"/>
          <w:color w:val="auto"/>
        </w:rPr>
      </w:pPr>
    </w:p>
    <w:p>
      <w:pPr>
        <w:ind w:right="1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Persons Eligible for Grants</w:t>
      </w:r>
      <w:r>
        <w:rPr>
          <w:rFonts w:ascii="Times New Roman" w:cs="Times New Roman" w:eastAsia="Times New Roman" w:hAnsi="Times New Roman"/>
          <w:sz w:val="18"/>
          <w:szCs w:val="18"/>
          <w:color w:val="auto"/>
        </w:rPr>
        <w:t>. Any employee or non-employee director of Westwood or any of its parents or subsidiaries is eligible to be selected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receive an award under the Plan determined by the Committee, acting in its discretion. ISOs will be granted only to participants who are employees of Westwood or a subsidiary thereof.</w:t>
      </w:r>
    </w:p>
    <w:p>
      <w:pPr>
        <w:sectPr>
          <w:pgSz w:w="11900" w:h="16838" w:orient="portrait"/>
          <w:cols w:equalWidth="0" w:num="1">
            <w:col w:w="11220"/>
          </w:cols>
          <w:pgMar w:left="320" w:top="551" w:right="359" w:bottom="1440" w:gutter="0" w:footer="0" w:header="0"/>
        </w:sectPr>
      </w:pP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551" w:right="359" w:bottom="1440" w:gutter="0" w:footer="0" w:header="0"/>
          <w:type w:val="continuous"/>
        </w:sectPr>
      </w:pPr>
    </w:p>
    <w:bookmarkStart w:id="34" w:name="page35"/>
    <w:bookmarkEnd w:id="34"/>
    <w:p>
      <w:pPr>
        <w:ind w:right="20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Plan authorizes the grant of several types of stock-based awards, including, without limitation,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and Human Capital Committee. To date the Committee has only granted stock-based awards under the Plan in the form of restricted stock and NSOs.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ISOs and NSOs are stock options allowing the recipient to purchase a fixed number of shares of common stock at a fixed price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Committee and set forth in the option agreement evidencing such option; provided, however, that (i) no option shall be exercisable after the expiration of ten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Committee in the grant of an option, any option granted hereunder shall terminate ten years after the effective date of grant of the option, unless earlier terminated in accordance with its provisions.</w:t>
      </w:r>
    </w:p>
    <w:p>
      <w:pPr>
        <w:spacing w:after="0" w:line="8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considerations approved by the Committee to the extent permitted by applicable law, or (v) by any combination thereof.</w:t>
      </w:r>
    </w:p>
    <w:p>
      <w:pPr>
        <w:spacing w:after="0" w:line="70"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The Committee may also make awards of restricted shares of our stock. The vesting of restricted stock may be conditioned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lapse of time and/or the satisfaction of other factors determined by the Committee. Unless the Committee determines otherwise, the recipient of restricted shares will generally have the right to vote the shares. Dividends and dividend equivalents will not be payable with respect to restricted stock however the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also make awards of SARs, which allow the recipient to exercise all or a specified portion of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Committee. Dividends and dividend equivalents will not be payable with respect to SARs.</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Compensation and Human Capital Committee may also make awards of RSUs. The settlement of RSUs may be 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delivery of shares of our stock, cash in an amount equal to the fair market value of the specified number of shares of our stock, or a combination thereof, as determined by the Committee. Dividends and dividend equivalents will not be payable with respect to RSUs, however the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75" w:lineRule="exact"/>
        <w:rPr>
          <w:sz w:val="20"/>
          <w:szCs w:val="20"/>
          <w:color w:val="auto"/>
        </w:rPr>
      </w:pPr>
    </w:p>
    <w:p>
      <w:pPr>
        <w:ind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Stock-based Awards. </w:t>
      </w:r>
      <w:r>
        <w:rPr>
          <w:rFonts w:ascii="Times New Roman" w:cs="Times New Roman" w:eastAsia="Times New Roman" w:hAnsi="Times New Roman"/>
          <w:sz w:val="17"/>
          <w:szCs w:val="17"/>
          <w:color w:val="auto"/>
        </w:rPr>
        <w:t>The Committee may also make awards denominated or payable in, valued in whole or in part by reference to, or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shares of our stock, including without limitation purchase rights for shares of our stock, awards with value and payment contingent upon performance of the Company or any other factors designated by the Committee, and awards valued by reference to the book value of a share of our stock.</w:t>
      </w:r>
    </w:p>
    <w:p>
      <w:pPr>
        <w:spacing w:after="0" w:line="4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to Non-Employee Directors. </w:t>
      </w:r>
      <w:r>
        <w:rPr>
          <w:rFonts w:ascii="Times New Roman" w:cs="Times New Roman" w:eastAsia="Times New Roman" w:hAnsi="Times New Roman"/>
          <w:sz w:val="18"/>
          <w:szCs w:val="18"/>
          <w:color w:val="auto"/>
        </w:rPr>
        <w:t>Non-employee directors are eligible to receive any type of award under the Plan other than ISOs.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 non-employee director, acting in his or her capacity as director, taken together with fees paid in cash to the non-employee director cannot exceed $350,000, or $500,000 for the Chairman of the Board.</w:t>
      </w:r>
    </w:p>
    <w:p>
      <w:pPr>
        <w:spacing w:after="0" w:line="65"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Awards</w:t>
      </w:r>
      <w:r>
        <w:rPr>
          <w:rFonts w:ascii="Times New Roman" w:cs="Times New Roman" w:eastAsia="Times New Roman" w:hAnsi="Times New Roman"/>
          <w:sz w:val="18"/>
          <w:szCs w:val="18"/>
          <w:color w:val="auto"/>
        </w:rPr>
        <w:t>. The Committee may also grant annual incentive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 eligible persons, in such amounts and subject to such terms and conditions as the Committee may determine. The Committee shall establish the maximum level of annual incentive awards that may be granted for each year. The Committee may, in its sole discretion, reduce, but not increase, the proposed annual incentive award payable to any participating employee during a year.</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Performance-Based Awards</w:t>
      </w:r>
      <w:r>
        <w:rPr>
          <w:rFonts w:ascii="Times New Roman" w:cs="Times New Roman" w:eastAsia="Times New Roman" w:hAnsi="Times New Roman"/>
          <w:sz w:val="18"/>
          <w:szCs w:val="18"/>
          <w:color w:val="auto"/>
        </w:rPr>
        <w:t>. The Plan allows the Committee to grant awards the vesting, exercise or settlement of which is contingent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551" w:right="359" w:bottom="1440" w:gutter="0" w:footer="0" w:header="0"/>
        </w:sectPr>
      </w:pPr>
    </w:p>
    <w:bookmarkStart w:id="35" w:name="page36"/>
    <w:bookmarkEnd w:id="35"/>
    <w:p>
      <w:pPr>
        <w:ind w:right="60"/>
        <w:spacing w:after="0" w:line="252" w:lineRule="auto"/>
        <w:rPr>
          <w:sz w:val="20"/>
          <w:szCs w:val="20"/>
          <w:color w:val="auto"/>
        </w:rPr>
      </w:pPr>
      <w:r>
        <w:rPr>
          <w:rFonts w:ascii="Times New Roman" w:cs="Times New Roman" w:eastAsia="Times New Roman" w:hAnsi="Times New Roman"/>
          <w:sz w:val="18"/>
          <w:szCs w:val="18"/>
          <w:color w:val="auto"/>
        </w:rPr>
        <w:t>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83"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Bonus Awards. </w:t>
      </w:r>
      <w:r>
        <w:rPr>
          <w:rFonts w:ascii="Times New Roman" w:cs="Times New Roman" w:eastAsia="Times New Roman" w:hAnsi="Times New Roman"/>
          <w:sz w:val="18"/>
          <w:szCs w:val="18"/>
          <w:color w:val="auto"/>
        </w:rPr>
        <w:t>The Committee may also grant discretionary bonus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key employees in such amounts and subject to such terms and conditions as the Committee may determine.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Material Federal Income Tax Consequences of the Plan</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generally not recognize any taxable income upon either the grant or exercise of an ISO. However,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2" w:lineRule="exact"/>
        <w:rPr>
          <w:sz w:val="20"/>
          <w:szCs w:val="20"/>
          <w:color w:val="auto"/>
        </w:rPr>
      </w:pPr>
    </w:p>
    <w:p>
      <w:pPr>
        <w:ind w:firstLine="8"/>
        <w:spacing w:after="0" w:line="253"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7"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any taxable income upon the grant of an NSO. In general,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65"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Performance-Based Awards and Discretionary Bonus Awards. </w:t>
      </w:r>
      <w:r>
        <w:rPr>
          <w:rFonts w:ascii="Times New Roman" w:cs="Times New Roman" w:eastAsia="Times New Roman" w:hAnsi="Times New Roman"/>
          <w:sz w:val="18"/>
          <w:szCs w:val="18"/>
          <w:color w:val="auto"/>
        </w:rPr>
        <w:t>In general, a participant who receives cash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made under the Plan will recognize ordinary income equal to the amount of cash that is received. Except as discussed below in the section entitled </w:t>
      </w: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a participant who receives shares of common stock pursuant to an award under the Plan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ordinary income at the time the shares are received in an amount equal to the fair market value of the shares.</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In general, if a participant receives common stock pursuant to an award made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53" w:right="339" w:bottom="1440" w:gutter="0" w:footer="0" w:header="0"/>
        </w:sectPr>
      </w:pPr>
    </w:p>
    <w:bookmarkStart w:id="36" w:name="page37"/>
    <w:bookmarkEnd w:id="36"/>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Availability of Tax Deduction for Westwood. </w:t>
      </w:r>
      <w:r>
        <w:rPr>
          <w:rFonts w:ascii="Times New Roman" w:cs="Times New Roman" w:eastAsia="Times New Roman" w:hAnsi="Times New Roman"/>
          <w:sz w:val="18"/>
          <w:szCs w:val="18"/>
          <w:color w:val="auto"/>
        </w:rPr>
        <w:t>When ordinary income is recognized by a participant in connection with the receipt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Our obligation to make payments or issue shares in connection with any award will be subject to and conditioned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applicable tax withholding obligations. The Compensation and Human Capital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Plan Benefits</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Future awards that may be made to eligible participants under the Plan are subject to the discretion of the Committee and therefore cannot be determined with certainty at this time. During 2023 and 2022, restricted stock awards covering 83,065 and 48,079 shares, respectively, were granted under the Plan to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approval of the Amendment requires the affirmative vote of a majority of the votes cast with respect to this Proposal. All proxies submitted will be voted "FOR" this Proposal unless stockholders specify a contrary vote in their proxies. Neither broker non-votes nor abstentions will be counted as votes cast with respect to this Proposal.</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TENTH AMENDED AND RESTATED WESTWOOD HOLDINGS GROUP, INC. STOCK INCENTIVE PLAN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conjunction with our shareholder outreach efforts on executive compensation, we are also seeking a non-binding, advisory vote from our stockholders to approve the compensation paid to our named executive officers as disclosed in this proxy statement pursuant to Item 402 of Regulation S-K.</w:t>
      </w:r>
    </w:p>
    <w:p>
      <w:pPr>
        <w:spacing w:after="0" w:line="68"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creation of sustainable stockholder value. The Committee will continue to emphasize responsible compensation arrangements that attract, retain, and motivate high caliber executive officers to achieve the Company’s business strategies and objectives.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can vote "FOR" or "AGAINST" or to "ABSTAIN" from voting on the following non-binding resolution relating to executive compensation:</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paid to the Company’s named executive officers as disclosed in the Company’s proxy statement for the 2024 Annual Meeting of Stockholders pursuant to Item 402 of Regulation S-K, including the executive compensation section, the compensation tables, and the narrative discussion."</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consider the Company’s executive compensation philosophy and objectives and the components of the Company’s executive compensation program as set forth in the Executive Compensation section above, as well as the following key aspects of our executive compensation program:</w:t>
      </w:r>
    </w:p>
    <w:p>
      <w:pPr>
        <w:spacing w:after="0" w:line="68" w:lineRule="exact"/>
        <w:rPr>
          <w:sz w:val="20"/>
          <w:szCs w:val="20"/>
          <w:color w:val="auto"/>
        </w:rPr>
      </w:pPr>
    </w:p>
    <w:p>
      <w:pPr>
        <w:jc w:val="both"/>
        <w:ind w:left="660" w:right="40" w:firstLine="77"/>
        <w:spacing w:after="0" w:line="266"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named executive officer's total direct compensation -- an average of 56% (excluding Mr. Casey as discussed above in "Executive Compensation") -- was "at risk" compensation in 2023 delivered in the form of an annual cash incentive award and an annual equity incentive award.</w:t>
      </w:r>
    </w:p>
    <w:p>
      <w:pPr>
        <w:spacing w:after="0" w:line="6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three years, our named executive officers have not received any perquisites.</w:t>
      </w:r>
    </w:p>
    <w:p>
      <w:pPr>
        <w:spacing w:after="0" w:line="117" w:lineRule="exact"/>
        <w:rPr>
          <w:rFonts w:ascii="Times New Roman" w:cs="Times New Roman" w:eastAsia="Times New Roman" w:hAnsi="Times New Roman"/>
          <w:sz w:val="18"/>
          <w:szCs w:val="18"/>
          <w:color w:val="auto"/>
        </w:rPr>
      </w:pPr>
    </w:p>
    <w:p>
      <w:pPr>
        <w:ind w:left="660" w:right="400" w:firstLine="77"/>
        <w:spacing w:after="0" w:line="282"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endeavors to structure our executive compensation program to motivate and reward our executive officers for taking appropriate business risks, while avoiding pay practices that incentivize excessive risk-taking.</w:t>
      </w:r>
    </w:p>
    <w:p>
      <w:pPr>
        <w:spacing w:after="0" w:line="54"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While your vote on this proposal is advisory and is not binding on the Compensation and Human Capital Committee, our Board of Directors and the Committee value the opinions of our stockholders on executive compensation matters and will take the results of this advisory vote into consideration for future decisions regarding our executive compensation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551" w:right="339" w:bottom="1440" w:gutter="0" w:footer="0" w:header="0"/>
        </w:sectPr>
      </w:pPr>
    </w:p>
    <w:bookmarkStart w:id="37" w:name="page38"/>
    <w:bookmarkEnd w:id="37"/>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UNANIMOUSLY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APPROVAL, ON A NON-BINDING, ADVISORY BASIS,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COMPENSATION PAID TO THE NAMED EXECUTIVE OFFICERS, AS DISCLOSED IN THIS PROXY STATEMENT PURSUANT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402 OF REGULATION S-K.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Company’s Amended and Restated Certificate of Incorporation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State of Delaware recently enacted legislation that enables Delaware companies to limit the liability of certain officers in limited circumstances under Section 102(b)(7) of the Delaware General Corporation Law (“DGCL”). Specifically, the Delaware legislation allows us to add a provision to our Certificate of Incorporation that a director, officer or former director or officer of the Company shall not, to the fullest extent permitted by the DGCL as the same exists or may hereafter be amended, be liable to the Company or its stockholders for monetary damages for breach of his or her fiduciary duty to the Company or its stockholders. After careful consideration, our Board recommends that stockholders vote “FOR” the proposal to amend our Certificate of Incorporation to include such an officer exculpation provision (the “Proposed Amendment”).</w:t>
      </w:r>
    </w:p>
    <w:p>
      <w:pPr>
        <w:spacing w:after="0" w:line="7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amended, Section 102(b)(7) of the DGCL provides important conditions and limitations on a corporation’s exculpation of its officers for monetary damages from breaches of fiduciary duty:</w:t>
      </w:r>
    </w:p>
    <w:p>
      <w:pPr>
        <w:spacing w:after="0" w:line="54"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only available for breaches of the fiduciary duty of care.</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for breaches of the fiduciary duty of loyalty (which requires officers to act in good faith for the benefit of the corporation and its stockholders and not for personal gain).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for intentional misconduct or knowing violations of the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protections of Section 102(b)(7) are limited to monetary damages only, so that claims against officers for equitable relief are available.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in connection with derivative claims on behalf of the corporation by a stockholder.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eliminating personal monetary liability for officers under certain circumstances is reasonable and appropriate. Claims against corporations generally for breaches of fiduciary duties are expected to continue to increase. Delaware corporations that fail to adopt officer exculpation provisions may experience a disproportionate amount of nuisance litigation and increased costs in the form of higher director and officer liability insurance premiums, as well as diversion of management attention from Company business. Further, similar exculpation provisions have been widely adopted by Delaware corporations and the Company’s peers and others with whom the Company competes for executive talent. As a result, officer exculpation provisions may become necessary for Delaware corporations to attract and retain experienced and qualified corporate officers. As noted above, the protections do not apply automatically and must be embedded in a corporation’s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Proposal if Approved</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Proposed Amendment would provide for the elimination of personal monetary liability for certain officers only in connection with direct claims brought by stockholders, subject to the limitations described above. The Proposed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 Appendix B to this proxy statement shows the changes to the Company’s Certificate of Incorporation that would be affected by the Proposed Amendment, if approved.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outstanding stock entitled to vote is needed to approve this Proposal 5 regarding the Proposed Amendment. Both broker non-votes and abstentions would have the effect of a vote “AGAINST” this Proposal 5.</w:t>
      </w:r>
    </w:p>
    <w:p>
      <w:pPr>
        <w:spacing w:after="0" w:line="50"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PROPOSED AMENDMENT TO THE COMPANY’S AMENDED AND RESTATED ARTICLES OF INCORPORATION.</w:t>
      </w:r>
    </w:p>
    <w:p>
      <w:pPr>
        <w:spacing w:after="0" w:line="303" w:lineRule="exact"/>
        <w:rPr>
          <w:sz w:val="20"/>
          <w:szCs w:val="20"/>
          <w:color w:val="auto"/>
        </w:rPr>
      </w:pPr>
    </w:p>
    <w:p>
      <w:pPr>
        <w:ind w:right="3040" w:firstLine="3050"/>
        <w:spacing w:after="0" w:line="378"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Other Relationships and Related Transactions</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553" w:right="339" w:bottom="1440" w:gutter="0" w:footer="0" w:header="0"/>
        </w:sectPr>
      </w:pPr>
    </w:p>
    <w:bookmarkStart w:id="38" w:name="page39"/>
    <w:bookmarkEnd w:id="38"/>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Company earned revenues from an affiliate of a beneficial owner of 5% or more, GAMCO Investors, Inc., in the amount of $228,000 during fiscal year 2023 in connection with sub-advisory services provided by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Accounts</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other select clients who are not members of our Board of Directors or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jc w:val="both"/>
        <w:ind w:right="100" w:firstLine="405"/>
        <w:spacing w:after="0" w:line="256" w:lineRule="auto"/>
        <w:rPr>
          <w:sz w:val="20"/>
          <w:szCs w:val="20"/>
          <w:color w:val="auto"/>
        </w:rPr>
      </w:pPr>
      <w:r>
        <w:rPr>
          <w:rFonts w:ascii="Times New Roman" w:cs="Times New Roman" w:eastAsia="Times New Roman" w:hAnsi="Times New Roman"/>
          <w:sz w:val="18"/>
          <w:szCs w:val="18"/>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Policy provides that, except with the Board’s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taken as a whole and specifically includes all related party transactions and relationships that we are required to disclose in our proxy statement.</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event the Board’s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553" w:right="35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80" w:right="60" w:firstLine="405"/>
        <w:spacing w:after="0" w:line="266" w:lineRule="auto"/>
        <w:rPr>
          <w:sz w:val="20"/>
          <w:szCs w:val="20"/>
          <w:color w:val="auto"/>
        </w:rPr>
      </w:pPr>
      <w:r>
        <w:rPr>
          <w:rFonts w:ascii="Times New Roman" w:cs="Times New Roman" w:eastAsia="Times New Roman" w:hAnsi="Times New Roman"/>
          <w:sz w:val="18"/>
          <w:szCs w:val="18"/>
          <w:color w:val="auto"/>
        </w:rPr>
        <w:t>As of March 4, 2024, there were 9,330,762 shares of common stock issued and entitled to vote at the annual meeting. Except where otherwise indicated, the following table sets forth certain information as of March 4, 2024 regarding beneficial ownership of the common stock and the percentage of total voting power held by:</w:t>
      </w:r>
    </w:p>
    <w:p>
      <w:pPr>
        <w:spacing w:after="0" w:line="68" w:lineRule="exact"/>
        <w:rPr>
          <w:sz w:val="20"/>
          <w:szCs w:val="20"/>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more than five percent (5%) of outstanding common stock;</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otherwise noted, the persons named below have sole voting and investment power with respect to such shares.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8600" w:type="dxa"/>
            <w:vAlign w:val="bottom"/>
            <w:gridSpan w:val="2"/>
            <w:vMerge w:val="restart"/>
          </w:tcPr>
          <w:p>
            <w:pPr>
              <w:ind w:left="3700"/>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0" w:type="dxa"/>
            <w:vAlign w:val="bottom"/>
            <w:gridSpan w:val="2"/>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7"/>
                <w:szCs w:val="17"/>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28"/>
        </w:trPr>
        <w:tc>
          <w:tcPr>
            <w:tcW w:w="85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Beneficial Owners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Hoak Public Equities, L.P.</w:t>
            </w:r>
            <w:r>
              <w:rPr>
                <w:rFonts w:ascii="Times New Roman" w:cs="Times New Roman" w:eastAsia="Times New Roman" w:hAnsi="Times New Roman"/>
                <w:sz w:val="23"/>
                <w:szCs w:val="23"/>
                <w:color w:val="auto"/>
                <w:vertAlign w:val="superscript"/>
              </w:rPr>
              <w:t>(2)(3)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Allspring Global Investments Holdings LLC</w:t>
            </w:r>
            <w:r>
              <w:rPr>
                <w:rFonts w:ascii="Times New Roman" w:cs="Times New Roman" w:eastAsia="Times New Roman" w:hAnsi="Times New Roman"/>
                <w:sz w:val="23"/>
                <w:szCs w:val="23"/>
                <w:color w:val="auto"/>
                <w:vertAlign w:val="superscript"/>
              </w:rPr>
              <w:t>(2)(4)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DePrince, Race &amp; Zollo, Inc.</w:t>
            </w:r>
            <w:r>
              <w:rPr>
                <w:rFonts w:ascii="Times New Roman" w:cs="Times New Roman" w:eastAsia="Times New Roman" w:hAnsi="Times New Roman"/>
                <w:sz w:val="23"/>
                <w:szCs w:val="23"/>
                <w:color w:val="auto"/>
                <w:vertAlign w:val="superscript"/>
              </w:rPr>
              <w:t>(2)(5)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Renaissance Technologies LLC</w:t>
            </w:r>
            <w:r>
              <w:rPr>
                <w:rFonts w:ascii="Times New Roman" w:cs="Times New Roman" w:eastAsia="Times New Roman" w:hAnsi="Times New Roman"/>
                <w:sz w:val="23"/>
                <w:szCs w:val="23"/>
                <w:color w:val="auto"/>
                <w:vertAlign w:val="superscript"/>
              </w:rPr>
              <w:t>(2)(6)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r>
              <w:rPr>
                <w:rFonts w:ascii="Times New Roman" w:cs="Times New Roman" w:eastAsia="Times New Roman" w:hAnsi="Times New Roman"/>
                <w:sz w:val="23"/>
                <w:szCs w:val="23"/>
                <w:b w:val="1"/>
                <w:bCs w:val="1"/>
                <w:color w:val="auto"/>
                <w:vertAlign w:val="superscript"/>
              </w:rPr>
              <w:t>(1)</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O. Casey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Fabian Gomez</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Leah Bennett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Richard M. Frank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Susan M. Byrne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Ellen H. Masterson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Geoffrey R. Norman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Randy A. Bowman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directors and named executive officers as a group (8 Persons)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1,055,393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___________________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19" w:lineRule="exact"/>
        <w:rPr>
          <w:sz w:val="20"/>
          <w:szCs w:val="20"/>
          <w:color w:val="auto"/>
        </w:rPr>
      </w:pPr>
    </w:p>
    <w:p>
      <w:pPr>
        <w:ind w:left="320" w:hanging="313"/>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and named executive officer is 200 Crescent Court, Suite 1200, Dallas, Texas, 75201.</w:t>
      </w:r>
    </w:p>
    <w:p>
      <w:pPr>
        <w:spacing w:after="0" w:line="1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information reported for this stockholder is based upon the most recent Form 13F, Schedule 13G or Schedule 13D filed with the SEC by such stockholder.</w:t>
      </w:r>
    </w:p>
    <w:p>
      <w:pPr>
        <w:spacing w:after="0" w:line="4" w:lineRule="exact"/>
        <w:rPr>
          <w:rFonts w:ascii="Times New Roman" w:cs="Times New Roman" w:eastAsia="Times New Roman" w:hAnsi="Times New Roman"/>
          <w:sz w:val="14"/>
          <w:szCs w:val="14"/>
          <w:color w:val="auto"/>
        </w:rPr>
      </w:pPr>
    </w:p>
    <w:p>
      <w:pPr>
        <w:ind w:left="500" w:right="140" w:hanging="493"/>
        <w:spacing w:after="0" w:line="24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Hoak Public Equities, L.P. is 3963 Maple Avenue, Suite 450, Dallas, TX 75219. On December 12, 2023, Hoak Public Equities, L.P. reported its beneficial ownership, indicating that it held sole voting power over 600,000 shares and sole dispositive power over 600,000 shares. The Schedule 13D filed by Hoak Public Equities, L.P. is filed on its own behalf and on behalf of any subsidiaries listed on the Schedule 13D, which each hold sole voting power, sole dispositive power, shared voting power, and shared dispositive power over a different number of shares. However, the 600,000 shares reflect the aggregate beneficial ownership reported by Hoak Public Equities, L.P. on a consolidated basis and include any beneficial ownership separately reported by a subsidiary.</w:t>
      </w:r>
    </w:p>
    <w:p>
      <w:pPr>
        <w:spacing w:after="0" w:line="1" w:lineRule="exact"/>
        <w:rPr>
          <w:rFonts w:ascii="Times New Roman" w:cs="Times New Roman" w:eastAsia="Times New Roman" w:hAnsi="Times New Roman"/>
          <w:sz w:val="14"/>
          <w:szCs w:val="14"/>
          <w:color w:val="auto"/>
        </w:rPr>
      </w:pPr>
    </w:p>
    <w:p>
      <w:pPr>
        <w:ind w:left="500" w:right="20" w:hanging="493"/>
        <w:spacing w:after="0" w:line="24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Allspring Global Investments Holdings, LLC is 525 Market St., 10th Fl, San Francisco, CA 94105. On January 10, 2024, Allspring Global Investments Holdings, LLC reported its beneficial ownership, indicating that it held sole voting power over 553,047 shares and sole dispositive power over 572,413 shares. The Schedule 13G filed by Allspring Global Investments Holdings, LLC is filed on its own behalf and on behalf of any subsidiaries listed on Exhibit B of the Schedule 13G, which each hold sole voting power, sole dispositive power, shared voting power, and shared dispositive power over a different number of shares. However, the 572,413 shares reflect the aggregate beneficial ownership reported by Allspring Global Investments Holdings, LLC on a consolidated basis and include any beneficial ownership separately reported by a subsidiary.</w:t>
      </w:r>
    </w:p>
    <w:p>
      <w:pPr>
        <w:spacing w:after="0" w:line="1" w:lineRule="exact"/>
        <w:rPr>
          <w:rFonts w:ascii="Times New Roman" w:cs="Times New Roman" w:eastAsia="Times New Roman" w:hAnsi="Times New Roman"/>
          <w:sz w:val="14"/>
          <w:szCs w:val="14"/>
          <w:color w:val="auto"/>
        </w:rPr>
      </w:pPr>
    </w:p>
    <w:p>
      <w:pPr>
        <w:ind w:left="500" w:right="40" w:hanging="493"/>
        <w:spacing w:after="0" w:line="25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DePrince, Race &amp; Zollo, Inc. is 250 Park Ave South, Suite 250, Winter Park, FL 32789. On February 14, 2024, DePrince, Race &amp; Zollo, Inc. reported its beneficial ownership, indicating that it held sole voting power over 375,762 shares, and sole dispositive power over 485,938 shares.</w:t>
      </w:r>
    </w:p>
    <w:p>
      <w:pPr>
        <w:ind w:left="500" w:right="40" w:hanging="493"/>
        <w:spacing w:after="0" w:line="245"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Renaissance Technologies LLC is 800 Third Avenue, 10022, New York, NY 10022. On February 13, 2024, Renaissance Technologies LLC reported its beneficial ownership, indicating that it held sole voting power over 470,651 shares and sole dispositive power over 470,651 shares. The Schedule 13G filed by Renaissance Technologies LLC is filed on its own behalf and on behalf of any subsidiaries listed on Exhibit B of the Schedule 13G, which each hold sole voting power, sole dispositive power, shared voting power, and shared dispositive power over a different number of shares. However, the 470,651 shares reflect the aggregate beneficial ownership reported by Renaissance Technologies LLC on a consolidated basis and include any beneficial ownership separately reported by a subsidiary.</w:t>
      </w:r>
    </w:p>
    <w:p>
      <w:pPr>
        <w:spacing w:after="0" w:line="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549"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xml:space="preserve"> under the corporate governance section. The Audit Committee reviews the adequacy of and compliance with such charter annually.</w:t>
      </w:r>
    </w:p>
    <w:p>
      <w:pPr>
        <w:spacing w:after="0" w:line="72"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discharging its oversight responsibilities, the Audit Committee reviewed and discussed the audited consolidated financial statements of Westwood Holdings Group, Inc. ("Westwood") as of and for the fiscal year ended December 31, 2023 with management and BDO USA, P.C. ("BDO"),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BDO is responsible for auditing those financial statements and expressing an opinion on the conformity of the financial statements with generally accepted accounting principles.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8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work of BDO. In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BDO the overall scope and plan for its audits and met with the firm throughout the year, with and without management present, to monitor the firm's progress and results obtained from their audits.</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BDO a formal written statement describing all relationships between the firm and Westwood that might bear on the auditors’ independence consistent with Independent Standards Board Standard No. 1, discussed with BDO any relationships that might impact their objectivity and independence and, based on such information, satisfied itself as to BDO’s independence. The Audit Committee also approved in advance all audit and permitted non-audit services to be provided and concluded that BDO's provision of other permitted non-audit services to Westwood and related entities is compatible with BDO's independence.</w:t>
      </w:r>
    </w:p>
    <w:p>
      <w:pPr>
        <w:spacing w:after="0" w:line="7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management, Westwood’s internal auditors and BDO the quality and adequacy of Westwood’s internal controls over financial reporting and the audit scope and plans for audits performed by the internal auditors and BDO.</w:t>
      </w:r>
    </w:p>
    <w:p>
      <w:pPr>
        <w:spacing w:after="0" w:line="5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BDO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54"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color w:val="auto"/>
        </w:rPr>
        <w:t>For the fiscal year 2023,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BDO. At the conclusion of the process, management provided the Audit Committee with a report on management’s assessment of the effectiveness of Westwood’s internal control over financial reporting as of December 31, 2023. The Audit Committee discussed with management and BDO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BDO prior to earnings announcements throughout the year.</w:t>
      </w:r>
    </w:p>
    <w:p>
      <w:pPr>
        <w:spacing w:after="0" w:line="73"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Based upon the above-mentioned review and discussions with management and BDO, the Audit Committee recommended to the Board of Directors that Westwood’s audited consolidated financial statements be included in its Annual Report on Form 10-K for the fiscal year ended December 31, 2023, for filing with the Securities and Exchange Commission.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Ellen H. Masterson, Chairperson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Richard M. Frank</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Randy A. Bowman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4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260" w:firstLine="405"/>
        <w:spacing w:after="0" w:line="289"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50"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 with the exception of a late Form 3 filing made for Matthew Mazzei, who was a newly designated Section 16 officer, resulting from a delay in obtaining the necessary EDGAR filing codes.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form of proxy for consideration at the 2025 annual meeting of stockholders pursuant to Rule 14a-8 under the Exchange Act by submitting their proposals to our Corporate Secretary in a timely manner. Such proposals must be received at our principal executive offices no later than the close of business on November 25, 2024. Proposals should be submitted in writing to 200 Crescent Court, Suite 1200, Dallas, Texas 75201, Attn: Corporate Secretary. Such stockholder proposals must comply with all applicable legal requirements, including Rule 14a-8 under the Exchange Act and the Company’s Bylaws.</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our Bylaws provide for advance notice procedures to nominate a person for director or to propose business to be considered by stockholders at a meeting (other than pursuant to Rule 14a-8). To be considered timely under these provisions, the stockholder’s notice must provide the information set forth in the Bylaws and be received by the Corporate Secretary at our principal executive offices at the address set forth on the first page of this proxy statement not later than the close of business on January 31, 2025 and not earlier than the close of business on January 1, 2025; provided, however, that if the date of the 2025 Annual Meeting of stockholders is more than 30 days before or more than 60 days after the one-year anniversary of the 2024 Annual Meeting of Stockholders, notice of such stockholder proposal must be received no earlier than the close of business on the 120th day before the 2025 Annual Meeting of stockholders and no later than the close of business on the later of the two following dates: the 90th day prior to 2025 Annual Meeting of stockholders, or the 10th day following the day on which public announcement of the date our 2025 Annual Meeting of stockholders is first made. Our Bylaws also specify requirements as to the form and content of a stockholder’s notice.</w:t>
      </w:r>
    </w:p>
    <w:p>
      <w:pPr>
        <w:spacing w:after="0" w:line="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to comply with the SEC’s universal proxy rules, shareholders who intend to solicit proxies in support of director nominees other than the Company’s nominees must provide notice by January 12, 2025 and do so by following the procedures prescribed in SEC Rule 14a-19.</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2023 Annual Report to Stockholders, which includes our consolidated financial statements as of and for the year ended December 31, 2023, is being mailed to you along with this proxy statement. Upon written request, we will provide, without charge to stockholders, a copy of our 2023 Form 10-K, including the financial statements and financial statement schedules to such report. Requests should be directed to 200 Crescent Court, Suite 1200, Dallas, Texas 75201, Attn: Corporate Secretary.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stockholders would like to receive only a single set of our disclosure documents, they should follow these instructions:</w:t>
      </w:r>
    </w:p>
    <w:p>
      <w:pPr>
        <w:spacing w:after="0" w:line="79" w:lineRule="exact"/>
        <w:rPr>
          <w:sz w:val="20"/>
          <w:szCs w:val="20"/>
          <w:color w:val="auto"/>
        </w:rPr>
      </w:pPr>
    </w:p>
    <w:p>
      <w:pPr>
        <w:ind w:left="660" w:right="10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stockholders should contact the bank, broker or other nominee directly.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549" w:right="339" w:bottom="1440" w:gutter="0" w:footer="0" w:header="0"/>
        </w:sectPr>
      </w:pPr>
    </w:p>
    <w:bookmarkStart w:id="42" w:name="page43"/>
    <w:bookmarkEnd w:id="4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68580</wp:posOffset>
            </wp:positionV>
            <wp:extent cx="97726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549" w:right="4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WESTWOOD HOLDINGS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360"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This Tenth Amended and Restated Westwood Holdings Group,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effective as of March 6,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980" w:right="80" w:hanging="324"/>
        <w:spacing w:after="0" w:line="268"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advance the interests of the Participating Company Group and its stockholders by providing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2" w:lineRule="exact"/>
        <w:rPr>
          <w:rFonts w:ascii="Times New Roman" w:cs="Times New Roman" w:eastAsia="Times New Roman" w:hAnsi="Times New Roman"/>
          <w:sz w:val="18"/>
          <w:szCs w:val="18"/>
          <w:color w:val="auto"/>
        </w:rPr>
      </w:pPr>
    </w:p>
    <w:p>
      <w:pPr>
        <w:ind w:left="980" w:right="20" w:hanging="324"/>
        <w:spacing w:after="0" w:line="26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shall continue in effect until the earlier of its termination by the Board or the date on which all of the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for issuance under the Plan have been issued and all restrictions on such shares (if any) under the terms of the Plan and the agreements evidencing the Awards granted under the Plan have lapsed. However, all Awards shall be granted, if at all, on or before </w:t>
      </w:r>
      <w:r>
        <w:rPr>
          <w:rFonts w:ascii="Times New Roman" w:cs="Times New Roman" w:eastAsia="Times New Roman" w:hAnsi="Times New Roman"/>
          <w:sz w:val="18"/>
          <w:szCs w:val="18"/>
          <w:b w:val="1"/>
          <w:bCs w:val="1"/>
          <w:color w:val="auto"/>
        </w:rPr>
        <w:t>March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2027</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Whenever used herein, the followin</w:t>
      </w:r>
      <w:r>
        <w:rPr>
          <w:rFonts w:ascii="Times New Roman" w:cs="Times New Roman" w:eastAsia="Times New Roman" w:hAnsi="Times New Roman"/>
          <w:sz w:val="18"/>
          <w:szCs w:val="18"/>
          <w:color w:val="auto"/>
        </w:rPr>
        <w:t>g terms shall have their respective meanings set forth below:</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11.1.</w:t>
      </w:r>
    </w:p>
    <w:p>
      <w:pPr>
        <w:spacing w:after="0" w:line="117" w:lineRule="exact"/>
        <w:rPr>
          <w:rFonts w:ascii="Times New Roman" w:cs="Times New Roman" w:eastAsia="Times New Roman" w:hAnsi="Times New Roman"/>
          <w:sz w:val="18"/>
          <w:szCs w:val="18"/>
          <w:color w:val="auto"/>
        </w:rPr>
      </w:pPr>
    </w:p>
    <w:p>
      <w:pPr>
        <w:ind w:left="1300" w:right="200" w:hanging="320"/>
        <w:spacing w:after="0" w:line="268" w:lineRule="auto"/>
        <w:tabs>
          <w:tab w:leader="none" w:pos="129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form of incentive or performance award granted under the Plan, whether singly or in combination, to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Committee pursuant to such terms, conditions, restrictions and/or limitations (if any) as the Committee may establish. Awards granted under the Plan may include:</w:t>
      </w:r>
    </w:p>
    <w:p>
      <w:pPr>
        <w:spacing w:after="0" w:line="66" w:lineRule="exact"/>
        <w:rPr>
          <w:rFonts w:ascii="Times New Roman" w:cs="Times New Roman" w:eastAsia="Times New Roman" w:hAnsi="Times New Roman"/>
          <w:sz w:val="18"/>
          <w:szCs w:val="18"/>
          <w:color w:val="auto"/>
        </w:rPr>
      </w:pPr>
    </w:p>
    <w:p>
      <w:pPr>
        <w:ind w:left="1960" w:hanging="427"/>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pursuant to Sections 6;</w:t>
      </w:r>
    </w:p>
    <w:p>
      <w:pPr>
        <w:spacing w:after="0" w:line="117" w:lineRule="exact"/>
        <w:rPr>
          <w:rFonts w:ascii="Times New Roman" w:cs="Times New Roman" w:eastAsia="Times New Roman" w:hAnsi="Times New Roman"/>
          <w:sz w:val="18"/>
          <w:szCs w:val="18"/>
          <w:color w:val="auto"/>
        </w:rPr>
      </w:pPr>
    </w:p>
    <w:p>
      <w:pPr>
        <w:ind w:left="1960" w:hanging="477"/>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awarded pursuant to Section 7;</w:t>
      </w:r>
    </w:p>
    <w:p>
      <w:pPr>
        <w:spacing w:after="0" w:line="117" w:lineRule="exact"/>
        <w:rPr>
          <w:rFonts w:ascii="Times New Roman" w:cs="Times New Roman" w:eastAsia="Times New Roman" w:hAnsi="Times New Roman"/>
          <w:sz w:val="18"/>
          <w:szCs w:val="18"/>
          <w:color w:val="auto"/>
        </w:rPr>
      </w:pPr>
    </w:p>
    <w:p>
      <w:pPr>
        <w:ind w:left="1960" w:hanging="526"/>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pursuant to Section 9;</w:t>
      </w:r>
    </w:p>
    <w:p>
      <w:pPr>
        <w:spacing w:after="0" w:line="117" w:lineRule="exact"/>
        <w:rPr>
          <w:rFonts w:ascii="Times New Roman" w:cs="Times New Roman" w:eastAsia="Times New Roman" w:hAnsi="Times New Roman"/>
          <w:sz w:val="18"/>
          <w:szCs w:val="18"/>
          <w:color w:val="auto"/>
        </w:rPr>
      </w:pPr>
    </w:p>
    <w:p>
      <w:pPr>
        <w:ind w:left="1940" w:hanging="497"/>
        <w:spacing w:after="0"/>
        <w:tabs>
          <w:tab w:leader="none" w:pos="194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pursuant to Section 10.</w:t>
      </w:r>
    </w:p>
    <w:p>
      <w:pPr>
        <w:spacing w:after="0" w:line="117" w:lineRule="exact"/>
        <w:rPr>
          <w:rFonts w:ascii="Times New Roman" w:cs="Times New Roman" w:eastAsia="Times New Roman" w:hAnsi="Times New Roman"/>
          <w:sz w:val="18"/>
          <w:szCs w:val="18"/>
          <w:color w:val="auto"/>
        </w:rPr>
      </w:pPr>
    </w:p>
    <w:p>
      <w:pPr>
        <w:ind w:left="1940" w:hanging="447"/>
        <w:spacing w:after="0"/>
        <w:tabs>
          <w:tab w:leader="none" w:pos="194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awarded pursuant to Section 14.</w:t>
      </w:r>
    </w:p>
    <w:p>
      <w:pPr>
        <w:spacing w:after="0" w:line="117" w:lineRule="exact"/>
        <w:rPr>
          <w:rFonts w:ascii="Times New Roman" w:cs="Times New Roman" w:eastAsia="Times New Roman" w:hAnsi="Times New Roman"/>
          <w:sz w:val="18"/>
          <w:szCs w:val="18"/>
          <w:color w:val="auto"/>
        </w:rPr>
      </w:pPr>
    </w:p>
    <w:p>
      <w:pPr>
        <w:ind w:left="1960" w:hanging="51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awarded pursuant to Section 11;</w:t>
      </w:r>
    </w:p>
    <w:p>
      <w:pPr>
        <w:spacing w:after="0" w:line="117" w:lineRule="exact"/>
        <w:rPr>
          <w:rFonts w:ascii="Times New Roman" w:cs="Times New Roman" w:eastAsia="Times New Roman" w:hAnsi="Times New Roman"/>
          <w:sz w:val="18"/>
          <w:szCs w:val="18"/>
          <w:color w:val="auto"/>
        </w:rPr>
      </w:pPr>
    </w:p>
    <w:p>
      <w:pPr>
        <w:ind w:left="1960" w:hanging="56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awarded pursuant to Section 12; and</w:t>
      </w:r>
    </w:p>
    <w:p>
      <w:pPr>
        <w:spacing w:after="0" w:line="117" w:lineRule="exact"/>
        <w:rPr>
          <w:rFonts w:ascii="Times New Roman" w:cs="Times New Roman" w:eastAsia="Times New Roman" w:hAnsi="Times New Roman"/>
          <w:sz w:val="18"/>
          <w:szCs w:val="18"/>
          <w:color w:val="auto"/>
        </w:rPr>
      </w:pPr>
    </w:p>
    <w:p>
      <w:pPr>
        <w:ind w:left="1960" w:hanging="61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awarded pursuant to Section 13.</w:t>
      </w:r>
    </w:p>
    <w:p>
      <w:pPr>
        <w:spacing w:after="0" w:line="113" w:lineRule="exact"/>
        <w:rPr>
          <w:rFonts w:ascii="Times New Roman" w:cs="Times New Roman" w:eastAsia="Times New Roman" w:hAnsi="Times New Roman"/>
          <w:sz w:val="18"/>
          <w:szCs w:val="18"/>
          <w:color w:val="auto"/>
        </w:rPr>
      </w:pPr>
    </w:p>
    <w:p>
      <w:pPr>
        <w:ind w:left="1300" w:right="100" w:hanging="320"/>
        <w:spacing w:after="0" w:line="286" w:lineRule="auto"/>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of an Award granted to the Participant.</w:t>
      </w:r>
    </w:p>
    <w:p>
      <w:pPr>
        <w:spacing w:after="0" w:line="4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6.3(a).</w:t>
      </w:r>
    </w:p>
    <w:p>
      <w:pPr>
        <w:spacing w:after="0" w:line="117" w:lineRule="exact"/>
        <w:rPr>
          <w:rFonts w:ascii="Times New Roman" w:cs="Times New Roman" w:eastAsia="Times New Roman" w:hAnsi="Times New Roman"/>
          <w:sz w:val="18"/>
          <w:szCs w:val="18"/>
          <w:color w:val="auto"/>
        </w:rPr>
      </w:pPr>
    </w:p>
    <w:p>
      <w:pPr>
        <w:ind w:left="1300" w:right="80" w:hanging="320"/>
        <w:spacing w:after="0" w:line="254" w:lineRule="auto"/>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any of the following: (i) the Participant’s theft of a Participating Company’s property or falsification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felony or any other criminal act which impairs the Participant’s ability to perform his or her duties with the Participating Company Group or any Participating Company.</w:t>
      </w:r>
    </w:p>
    <w:p>
      <w:pPr>
        <w:spacing w:after="0" w:line="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promulgated thereunder.</w:t>
      </w:r>
    </w:p>
    <w:p>
      <w:pPr>
        <w:sectPr>
          <w:pgSz w:w="11900" w:h="16838" w:orient="portrait"/>
          <w:cols w:equalWidth="0" w:num="1">
            <w:col w:w="11240"/>
          </w:cols>
          <w:pgMar w:left="320" w:top="864"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64" w:right="339" w:bottom="1440" w:gutter="0" w:footer="0" w:header="0"/>
          <w:type w:val="continuous"/>
        </w:sectPr>
      </w:pPr>
    </w:p>
    <w:bookmarkStart w:id="44" w:name="page45"/>
    <w:bookmarkEnd w:id="44"/>
    <w:p>
      <w:pPr>
        <w:ind w:left="320" w:right="60" w:hanging="320"/>
        <w:spacing w:after="0" w:line="278" w:lineRule="auto"/>
        <w:tabs>
          <w:tab w:leader="none" w:pos="30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Compensation and Human Capital Committee or other committee of the Board duly appointed to administer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and Human Capital Committee or other committee of the Board duly appointed to administer the Plan,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also means the Board.</w:t>
      </w:r>
    </w:p>
    <w:p>
      <w:pPr>
        <w:spacing w:after="0" w:line="55" w:lineRule="exact"/>
        <w:rPr>
          <w:rFonts w:ascii="Times New Roman" w:cs="Times New Roman" w:eastAsia="Times New Roman" w:hAnsi="Times New Roman"/>
          <w:sz w:val="17"/>
          <w:szCs w:val="17"/>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Westwood Holdings Group, Inc., a Delaware corporation, or any successor corporation thereto.</w:t>
      </w:r>
    </w:p>
    <w:p>
      <w:pPr>
        <w:spacing w:after="0" w:line="117" w:lineRule="exact"/>
        <w:rPr>
          <w:rFonts w:ascii="Times New Roman" w:cs="Times New Roman" w:eastAsia="Times New Roman" w:hAnsi="Times New Roman"/>
          <w:sz w:val="18"/>
          <w:szCs w:val="18"/>
          <w:color w:val="auto"/>
        </w:rPr>
      </w:pPr>
    </w:p>
    <w:p>
      <w:pPr>
        <w:ind w:left="320" w:right="60" w:hanging="320"/>
        <w:spacing w:after="0" w:line="259"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 Employee or a Director)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7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or of the board of directors of any other Participating Company.</w:t>
      </w:r>
    </w:p>
    <w:p>
      <w:pPr>
        <w:spacing w:after="0" w:line="117"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permanent and total disability of the Participant within the meaning of Section 22(e)(3) of the Code.</w:t>
      </w:r>
    </w:p>
    <w:p>
      <w:pPr>
        <w:spacing w:after="0" w:line="117" w:lineRule="exact"/>
        <w:rPr>
          <w:rFonts w:ascii="Times New Roman" w:cs="Times New Roman" w:eastAsia="Times New Roman" w:hAnsi="Times New Roman"/>
          <w:sz w:val="18"/>
          <w:szCs w:val="18"/>
          <w:color w:val="auto"/>
        </w:rPr>
      </w:pPr>
    </w:p>
    <w:p>
      <w:pPr>
        <w:ind w:left="320" w:right="420" w:hanging="320"/>
        <w:spacing w:after="0" w:line="262"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 also treated as an employee)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w:t>
      </w:r>
    </w:p>
    <w:p>
      <w:pPr>
        <w:spacing w:after="0" w:line="6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320" w:right="520" w:hanging="320"/>
        <w:spacing w:after="0" w:line="268"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 determined by the Committee,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or by the Company, in its discretion, if such determination is expressly allocated to the Company herein, subject to the following:</w:t>
      </w:r>
    </w:p>
    <w:p>
      <w:pPr>
        <w:spacing w:after="0" w:line="66" w:lineRule="exact"/>
        <w:rPr>
          <w:rFonts w:ascii="Times New Roman" w:cs="Times New Roman" w:eastAsia="Times New Roman" w:hAnsi="Times New Roman"/>
          <w:sz w:val="18"/>
          <w:szCs w:val="18"/>
          <w:color w:val="auto"/>
        </w:rPr>
      </w:pPr>
    </w:p>
    <w:p>
      <w:pPr>
        <w:ind w:left="980" w:right="40" w:hanging="427"/>
        <w:spacing w:after="0" w:line="254"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83" w:lineRule="exact"/>
        <w:rPr>
          <w:rFonts w:ascii="Times New Roman" w:cs="Times New Roman" w:eastAsia="Times New Roman" w:hAnsi="Times New Roman"/>
          <w:sz w:val="18"/>
          <w:szCs w:val="18"/>
          <w:color w:val="auto"/>
        </w:rPr>
      </w:pPr>
    </w:p>
    <w:p>
      <w:pPr>
        <w:ind w:left="980" w:hanging="477"/>
        <w:spacing w:after="0" w:line="261"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7" w:lineRule="exact"/>
        <w:rPr>
          <w:rFonts w:ascii="Times New Roman" w:cs="Times New Roman" w:eastAsia="Times New Roman" w:hAnsi="Times New Roman"/>
          <w:sz w:val="18"/>
          <w:szCs w:val="18"/>
          <w:color w:val="auto"/>
        </w:rPr>
      </w:pPr>
    </w:p>
    <w:p>
      <w:pPr>
        <w:ind w:left="320" w:right="20" w:hanging="320"/>
        <w:spacing w:after="0" w:line="262"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resignation occurring within ninety (90) days following a Change in Control; (ii) the relocation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68" w:lineRule="exact"/>
        <w:rPr>
          <w:rFonts w:ascii="Times New Roman" w:cs="Times New Roman" w:eastAsia="Times New Roman" w:hAnsi="Times New Roman"/>
          <w:sz w:val="18"/>
          <w:szCs w:val="18"/>
          <w:color w:val="auto"/>
        </w:rPr>
      </w:pPr>
    </w:p>
    <w:p>
      <w:pPr>
        <w:ind w:left="320" w:right="240" w:hanging="320"/>
        <w:spacing w:after="0" w:line="286" w:lineRule="auto"/>
        <w:tabs>
          <w:tab w:leader="none" w:pos="3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Option Agreement), and which qualifies as, an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320" w:right="20" w:hanging="320"/>
        <w:spacing w:after="0" w:line="286"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or a Director of the Company or any other person whose transactions in Stock are subject to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w:t>
      </w:r>
    </w:p>
    <w:p>
      <w:pPr>
        <w:spacing w:after="0" w:line="4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an active Employee of the Company or any Subsidiary.</w:t>
      </w:r>
    </w:p>
    <w:p>
      <w:pPr>
        <w:spacing w:after="0" w:line="117" w:lineRule="exact"/>
        <w:rPr>
          <w:rFonts w:ascii="Times New Roman" w:cs="Times New Roman" w:eastAsia="Times New Roman" w:hAnsi="Times New Roman"/>
          <w:sz w:val="18"/>
          <w:szCs w:val="18"/>
          <w:color w:val="auto"/>
        </w:rPr>
      </w:pPr>
    </w:p>
    <w:p>
      <w:pPr>
        <w:ind w:left="320" w:right="180" w:hanging="320"/>
        <w:spacing w:after="0" w:line="286" w:lineRule="auto"/>
        <w:tabs>
          <w:tab w:leader="none" w:pos="3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Option Agreement), or which does not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w:t>
      </w:r>
    </w:p>
    <w:p>
      <w:pPr>
        <w:spacing w:after="0" w:line="4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to an eligible person under Section 14 hereof.</w:t>
      </w:r>
    </w:p>
    <w:p>
      <w:pPr>
        <w:spacing w:after="0" w:line="117" w:lineRule="exact"/>
        <w:rPr>
          <w:rFonts w:ascii="Times New Roman" w:cs="Times New Roman" w:eastAsia="Times New Roman" w:hAnsi="Times New Roman"/>
          <w:sz w:val="18"/>
          <w:szCs w:val="18"/>
          <w:color w:val="auto"/>
        </w:rPr>
      </w:pPr>
    </w:p>
    <w:p>
      <w:pPr>
        <w:ind w:left="320" w:right="140" w:hanging="320"/>
        <w:spacing w:after="0" w:line="286"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(subject to adjustment as provided in Section 4.3) pursuant to the terms and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 Option may be either an Incentive Stock Option or a Nonstatutory Stock Option.</w:t>
      </w:r>
    </w:p>
    <w:p>
      <w:pPr>
        <w:spacing w:after="0" w:line="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240"/>
          </w:cols>
          <w:pgMar w:left="1300" w:top="549" w:right="359" w:bottom="1440" w:gutter="0" w:footer="0" w:header="0"/>
        </w:sectPr>
      </w:pPr>
    </w:p>
    <w:bookmarkStart w:id="45" w:name="page46"/>
    <w:bookmarkEnd w:id="45"/>
    <w:p>
      <w:pPr>
        <w:jc w:val="both"/>
        <w:ind w:left="320" w:hanging="320"/>
        <w:spacing w:after="0" w:line="262" w:lineRule="auto"/>
        <w:tabs>
          <w:tab w:leader="none" w:pos="3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Agreement setting forth the terms, conditions and restrictions of an Option granted to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6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6.4(a)(i).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17.1.</w:t>
      </w:r>
    </w:p>
    <w:p>
      <w:pPr>
        <w:spacing w:after="0" w:line="117" w:lineRule="exact"/>
        <w:rPr>
          <w:sz w:val="20"/>
          <w:szCs w:val="20"/>
          <w:color w:val="auto"/>
        </w:rPr>
      </w:pPr>
    </w:p>
    <w:p>
      <w:pPr>
        <w:ind w:left="320" w:right="60" w:hanging="319"/>
        <w:spacing w:after="0" w:line="259" w:lineRule="auto"/>
        <w:tabs>
          <w:tab w:leader="none" w:pos="30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“parent corporation” as defined in Section 424(e) of the Code and any successor provisions; (ii) any other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person who has been granted one or more awards pursuant to the terms and conditions of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Company or any Parent or Subsidiary.</w:t>
      </w:r>
    </w:p>
    <w:p>
      <w:pPr>
        <w:spacing w:after="0" w:line="117" w:lineRule="exact"/>
        <w:rPr>
          <w:sz w:val="20"/>
          <w:szCs w:val="20"/>
          <w:color w:val="auto"/>
        </w:rPr>
      </w:pPr>
    </w:p>
    <w:p>
      <w:pPr>
        <w:ind w:left="320" w:right="140" w:hanging="323"/>
        <w:spacing w:after="0" w:line="286" w:lineRule="auto"/>
        <w:rPr>
          <w:sz w:val="20"/>
          <w:szCs w:val="20"/>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at any point in time, all corporations or other entities collectively which are then Participating Companies.</w:t>
      </w:r>
    </w:p>
    <w:p>
      <w:pPr>
        <w:spacing w:after="0" w:line="47" w:lineRule="exact"/>
        <w:rPr>
          <w:sz w:val="20"/>
          <w:szCs w:val="20"/>
          <w:color w:val="auto"/>
        </w:rPr>
      </w:pPr>
    </w:p>
    <w:p>
      <w:pPr>
        <w:ind w:left="320" w:right="20" w:hanging="323"/>
        <w:spacing w:after="0" w:line="262" w:lineRule="auto"/>
        <w:rPr>
          <w:sz w:val="20"/>
          <w:szCs w:val="20"/>
          <w:color w:val="auto"/>
        </w:rPr>
      </w:pPr>
      <w:r>
        <w:rPr>
          <w:rFonts w:ascii="Times New Roman" w:cs="Times New Roman" w:eastAsia="Times New Roman" w:hAnsi="Times New Roman"/>
          <w:sz w:val="18"/>
          <w:szCs w:val="18"/>
          <w:color w:val="auto"/>
        </w:rPr>
        <w:t xml:space="preserve">af.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Exception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performance-based exception from the tax deductibility limitation imposed by Prior 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68" w:lineRule="exact"/>
        <w:rPr>
          <w:sz w:val="20"/>
          <w:szCs w:val="20"/>
          <w:color w:val="auto"/>
        </w:rPr>
      </w:pPr>
    </w:p>
    <w:p>
      <w:pPr>
        <w:ind w:left="320" w:right="520" w:hanging="319"/>
        <w:spacing w:after="0" w:line="286" w:lineRule="auto"/>
        <w:tabs>
          <w:tab w:leader="none" w:pos="30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each calendar year, unless otherwise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w:t>
      </w:r>
    </w:p>
    <w:p>
      <w:pPr>
        <w:spacing w:after="0" w:line="47" w:lineRule="exact"/>
        <w:rPr>
          <w:sz w:val="20"/>
          <w:szCs w:val="20"/>
          <w:color w:val="auto"/>
        </w:rPr>
      </w:pPr>
    </w:p>
    <w:p>
      <w:pPr>
        <w:ind w:left="320" w:right="180" w:hanging="319"/>
        <w:spacing w:after="0" w:line="268" w:lineRule="auto"/>
        <w:tabs>
          <w:tab w:leader="none" w:pos="30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or Performance-Based Award, one or more targets, goals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of attainment required to be achieved in terms of the specified Performance Measure(s) during a fiscal year or specified performance period.</w:t>
      </w:r>
    </w:p>
    <w:p>
      <w:pPr>
        <w:spacing w:after="0" w:line="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Performance-Based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the meaning given to it in Section 12.</w:t>
      </w:r>
    </w:p>
    <w:p>
      <w:pPr>
        <w:spacing w:after="0" w:line="117" w:lineRule="exact"/>
        <w:rPr>
          <w:sz w:val="20"/>
          <w:szCs w:val="20"/>
          <w:color w:val="auto"/>
        </w:rPr>
      </w:pPr>
    </w:p>
    <w:p>
      <w:pPr>
        <w:ind w:left="320" w:right="80" w:hanging="319"/>
        <w:spacing w:after="0" w:line="259" w:lineRule="auto"/>
        <w:tabs>
          <w:tab w:leader="none" w:pos="30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a Participant’s immediate family, trusts for the exclusive benefit of such Participant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al.</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the meaning given to it in Section 1.1.</w:t>
      </w:r>
    </w:p>
    <w:p>
      <w:pPr>
        <w:spacing w:after="0" w:line="117" w:lineRule="exact"/>
        <w:rPr>
          <w:sz w:val="20"/>
          <w:szCs w:val="20"/>
          <w:color w:val="auto"/>
        </w:rPr>
      </w:pPr>
    </w:p>
    <w:p>
      <w:pPr>
        <w:ind w:left="320" w:right="60" w:hanging="323"/>
        <w:spacing w:after="0" w:line="268" w:lineRule="auto"/>
        <w:rPr>
          <w:sz w:val="20"/>
          <w:szCs w:val="20"/>
          <w:color w:val="auto"/>
        </w:rPr>
      </w:pPr>
      <w:r>
        <w:rPr>
          <w:rFonts w:ascii="Times New Roman" w:cs="Times New Roman" w:eastAsia="Times New Roman" w:hAnsi="Times New Roman"/>
          <w:sz w:val="18"/>
          <w:szCs w:val="18"/>
          <w:color w:val="auto"/>
        </w:rPr>
        <w:t>am. “</w:t>
      </w:r>
      <w:r>
        <w:rPr>
          <w:rFonts w:ascii="Times New Roman" w:cs="Times New Roman" w:eastAsia="Times New Roman" w:hAnsi="Times New Roman"/>
          <w:sz w:val="18"/>
          <w:szCs w:val="18"/>
          <w:b w:val="1"/>
          <w:bCs w:val="1"/>
          <w:i w:val="1"/>
          <w:iCs w:val="1"/>
          <w:color w:val="auto"/>
        </w:rPr>
        <w:t>Prior Section 162(m) of the Code</w:t>
      </w:r>
      <w:r>
        <w:rPr>
          <w:rFonts w:ascii="Times New Roman" w:cs="Times New Roman" w:eastAsia="Times New Roman" w:hAnsi="Times New Roman"/>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of Stock made under Section 9, which is subject to vesting provisions.</w:t>
      </w:r>
    </w:p>
    <w:p>
      <w:pPr>
        <w:spacing w:after="0" w:line="117" w:lineRule="exact"/>
        <w:rPr>
          <w:sz w:val="20"/>
          <w:szCs w:val="20"/>
          <w:color w:val="auto"/>
        </w:rPr>
      </w:pPr>
    </w:p>
    <w:p>
      <w:pPr>
        <w:ind w:left="320" w:right="60" w:hanging="319"/>
        <w:spacing w:after="0" w:line="286" w:lineRule="auto"/>
        <w:tabs>
          <w:tab w:leader="none" w:pos="300"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pursuant to Section 10 and shall be evidenced by a bookkeeping entry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of one share of Stock.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aq.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Rule 16b-3 under the Exchange Act, as amended from time to time, or any successor rule or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Securities Act of 1933, as amended.</w:t>
      </w:r>
    </w:p>
    <w:p>
      <w:pPr>
        <w:spacing w:after="0" w:line="117" w:lineRule="exact"/>
        <w:rPr>
          <w:sz w:val="20"/>
          <w:szCs w:val="20"/>
          <w:color w:val="auto"/>
        </w:rPr>
      </w:pPr>
    </w:p>
    <w:p>
      <w:pPr>
        <w:ind w:left="320" w:right="20" w:hanging="323"/>
        <w:spacing w:after="0" w:line="269" w:lineRule="auto"/>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a Participant’s employment or service with the Participating Company Group, whether in the capacity of an 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w:t>
      </w:r>
    </w:p>
    <w:p>
      <w:pPr>
        <w:spacing w:after="0" w:line="4" w:lineRule="exact"/>
        <w:rPr>
          <w:sz w:val="20"/>
          <w:szCs w:val="20"/>
          <w:color w:val="auto"/>
        </w:rPr>
      </w:pPr>
    </w:p>
    <w:p>
      <w:pPr>
        <w:ind w:left="4560" w:right="2920" w:hanging="4236"/>
        <w:spacing w:after="0" w:line="386" w:lineRule="auto"/>
        <w:tabs>
          <w:tab w:leader="none" w:pos="6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on the ninety-first (91st) day of such leave the Participant’s Service shall be deemed to 41</w:t>
      </w:r>
    </w:p>
    <w:p>
      <w:pPr>
        <w:sectPr>
          <w:pgSz w:w="11900" w:h="16838" w:orient="portrait"/>
          <w:cols w:equalWidth="0" w:num="1">
            <w:col w:w="10240"/>
          </w:cols>
          <w:pgMar w:left="1300" w:top="549" w:right="359" w:bottom="1440" w:gutter="0" w:footer="0" w:header="0"/>
        </w:sectPr>
      </w:pPr>
    </w:p>
    <w:bookmarkStart w:id="46" w:name="page47"/>
    <w:bookmarkEnd w:id="46"/>
    <w:p>
      <w:pPr>
        <w:ind w:left="1292"/>
        <w:spacing w:after="0" w:line="256" w:lineRule="auto"/>
        <w:rPr>
          <w:sz w:val="20"/>
          <w:szCs w:val="20"/>
          <w:color w:val="auto"/>
        </w:rPr>
      </w:pPr>
      <w:r>
        <w:rPr>
          <w:rFonts w:ascii="Times New Roman" w:cs="Times New Roman" w:eastAsia="Times New Roman" w:hAnsi="Times New Roman"/>
          <w:sz w:val="18"/>
          <w:szCs w:val="18"/>
          <w:color w:val="auto"/>
        </w:rPr>
        <w:t>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5" w:lineRule="exact"/>
        <w:rPr>
          <w:sz w:val="20"/>
          <w:szCs w:val="20"/>
          <w:color w:val="auto"/>
        </w:rPr>
      </w:pPr>
    </w:p>
    <w:p>
      <w:pPr>
        <w:jc w:val="both"/>
        <w:ind w:left="1292" w:right="180" w:hanging="319"/>
        <w:spacing w:after="0" w:line="268" w:lineRule="auto"/>
        <w:tabs>
          <w:tab w:leader="none" w:pos="1272"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pursuant to Section 7 to receive a payment equal to the excess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specified number of shares of Stock on the date the SAR is exercised over the grant price of the SAR, as set forth in the applicable Award Agreement.</w:t>
      </w:r>
    </w:p>
    <w:p>
      <w:pPr>
        <w:spacing w:after="0" w:line="6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 xml:space="preserve">au.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common stock of the Company, as adjusted from time to time in accordance with Section 4.3.</w:t>
      </w:r>
    </w:p>
    <w:p>
      <w:pPr>
        <w:spacing w:after="0" w:line="117" w:lineRule="exact"/>
        <w:rPr>
          <w:sz w:val="20"/>
          <w:szCs w:val="20"/>
          <w:color w:val="auto"/>
        </w:rPr>
      </w:pPr>
    </w:p>
    <w:p>
      <w:pPr>
        <w:ind w:left="1292" w:right="140" w:hanging="323"/>
        <w:spacing w:after="0" w:line="278" w:lineRule="auto"/>
        <w:rPr>
          <w:sz w:val="20"/>
          <w:szCs w:val="20"/>
          <w:color w:val="auto"/>
        </w:rPr>
      </w:pPr>
      <w:r>
        <w:rPr>
          <w:rFonts w:ascii="Times New Roman" w:cs="Times New Roman" w:eastAsia="Times New Roman" w:hAnsi="Times New Roman"/>
          <w:sz w:val="17"/>
          <w:szCs w:val="17"/>
          <w:color w:val="auto"/>
        </w:rPr>
        <w:t xml:space="preserve">av.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(i) any “subsidiary corporation” of the Company, as defined in Section 424(f) of the Code and any successor 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56" w:lineRule="exact"/>
        <w:rPr>
          <w:sz w:val="20"/>
          <w:szCs w:val="20"/>
          <w:color w:val="auto"/>
        </w:rPr>
      </w:pPr>
    </w:p>
    <w:p>
      <w:pPr>
        <w:ind w:left="1292" w:right="60" w:hanging="323"/>
        <w:spacing w:after="0" w:line="268" w:lineRule="auto"/>
        <w:rPr>
          <w:sz w:val="20"/>
          <w:szCs w:val="20"/>
          <w:color w:val="auto"/>
        </w:rPr>
      </w:pPr>
      <w:r>
        <w:rPr>
          <w:rFonts w:ascii="Times New Roman" w:cs="Times New Roman" w:eastAsia="Times New Roman" w:hAnsi="Times New Roman"/>
          <w:sz w:val="18"/>
          <w:szCs w:val="18"/>
          <w:color w:val="auto"/>
        </w:rPr>
        <w:t xml:space="preserve">aw.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 Participant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Participant who, at the time an Option is granted to the Participant, owns stock possessing more than ten percent (10%) of the total combined voting power of all classes of stock of a Participating Company within the meaning of Section 422(b)(6) of the Code.</w:t>
      </w:r>
    </w:p>
    <w:p>
      <w:pPr>
        <w:spacing w:after="0" w:line="63" w:lineRule="exact"/>
        <w:rPr>
          <w:sz w:val="20"/>
          <w:szCs w:val="20"/>
          <w:color w:val="auto"/>
        </w:rPr>
      </w:pPr>
    </w:p>
    <w:p>
      <w:pPr>
        <w:ind w:left="972" w:right="340" w:hanging="324"/>
        <w:spacing w:after="0" w:line="268" w:lineRule="auto"/>
        <w:tabs>
          <w:tab w:leader="none" w:pos="9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2"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972" w:right="140" w:hanging="324"/>
        <w:spacing w:after="0" w:line="268"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Unless the Board determines otherwise, the Plan shall be administered by the Committee. All questions of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or of any Award shall be determined by the Committee, and such determinations shall be final and binding upon all persons having an interest in the Plan.</w:t>
      </w:r>
    </w:p>
    <w:p>
      <w:pPr>
        <w:spacing w:after="0" w:line="62" w:lineRule="exact"/>
        <w:rPr>
          <w:rFonts w:ascii="Times New Roman" w:cs="Times New Roman" w:eastAsia="Times New Roman" w:hAnsi="Times New Roman"/>
          <w:sz w:val="18"/>
          <w:szCs w:val="18"/>
          <w:color w:val="auto"/>
        </w:rPr>
      </w:pPr>
    </w:p>
    <w:p>
      <w:pPr>
        <w:jc w:val="both"/>
        <w:ind w:left="972" w:right="200" w:hanging="324"/>
        <w:spacing w:after="0" w:line="268"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of Officers. </w:t>
      </w:r>
      <w:r>
        <w:rPr>
          <w:rFonts w:ascii="Times New Roman" w:cs="Times New Roman" w:eastAsia="Times New Roman" w:hAnsi="Times New Roman"/>
          <w:sz w:val="18"/>
          <w:szCs w:val="18"/>
          <w:color w:val="auto"/>
        </w:rPr>
        <w:t>Any officer of a Participating Company shall have the authority to act on behalf of the Company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62" w:lineRule="exact"/>
        <w:rPr>
          <w:rFonts w:ascii="Times New Roman" w:cs="Times New Roman" w:eastAsia="Times New Roman" w:hAnsi="Times New Roman"/>
          <w:sz w:val="18"/>
          <w:szCs w:val="18"/>
          <w:color w:val="auto"/>
        </w:rPr>
      </w:pPr>
    </w:p>
    <w:p>
      <w:pPr>
        <w:ind w:left="972" w:right="180" w:hanging="324"/>
        <w:spacing w:after="0" w:line="286"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w:t>
      </w:r>
      <w:r>
        <w:rPr>
          <w:rFonts w:ascii="Times New Roman" w:cs="Times New Roman" w:eastAsia="Times New Roman" w:hAnsi="Times New Roman"/>
          <w:sz w:val="18"/>
          <w:szCs w:val="18"/>
          <w:color w:val="auto"/>
        </w:rPr>
        <w:t>In addition to any other powers set forth in the Plan and subject to the provisions of the Plan, the Committee shall have the full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power and authority, in its discretion:</w:t>
      </w:r>
    </w:p>
    <w:p>
      <w:pPr>
        <w:spacing w:after="0" w:line="50" w:lineRule="exact"/>
        <w:rPr>
          <w:rFonts w:ascii="Times New Roman" w:cs="Times New Roman" w:eastAsia="Times New Roman" w:hAnsi="Times New Roman"/>
          <w:sz w:val="18"/>
          <w:szCs w:val="18"/>
          <w:color w:val="auto"/>
        </w:rPr>
      </w:pPr>
    </w:p>
    <w:p>
      <w:pPr>
        <w:ind w:left="1292" w:right="340" w:hanging="320"/>
        <w:spacing w:after="0" w:line="282" w:lineRule="auto"/>
        <w:tabs>
          <w:tab w:leader="none" w:pos="128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if applicable, the number of shares of Stock to be subject thereto;</w:t>
      </w:r>
    </w:p>
    <w:p>
      <w:pPr>
        <w:spacing w:after="0" w:line="5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Options as Incentive Stock Options or Nonstatutory Stock Options;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17" w:lineRule="exact"/>
        <w:rPr>
          <w:rFonts w:ascii="Times New Roman" w:cs="Times New Roman" w:eastAsia="Times New Roman" w:hAnsi="Times New Roman"/>
          <w:sz w:val="18"/>
          <w:szCs w:val="18"/>
          <w:color w:val="auto"/>
        </w:rPr>
      </w:pPr>
    </w:p>
    <w:p>
      <w:pPr>
        <w:ind w:left="1292" w:right="80" w:hanging="320"/>
        <w:spacing w:after="0" w:line="254" w:lineRule="auto"/>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8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 or Option Agreement;</w:t>
      </w:r>
    </w:p>
    <w:p>
      <w:pPr>
        <w:spacing w:after="0" w:line="117" w:lineRule="exact"/>
        <w:rPr>
          <w:rFonts w:ascii="Times New Roman" w:cs="Times New Roman" w:eastAsia="Times New Roman" w:hAnsi="Times New Roman"/>
          <w:sz w:val="18"/>
          <w:szCs w:val="18"/>
          <w:color w:val="auto"/>
        </w:rPr>
      </w:pPr>
    </w:p>
    <w:p>
      <w:pPr>
        <w:ind w:left="1292" w:right="20" w:hanging="320"/>
        <w:spacing w:after="0" w:line="256" w:lineRule="auto"/>
        <w:tabs>
          <w:tab w:leader="none" w:pos="128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modify, extend, cancel or renew any Award, or to waive any restrictions or conditions applicable to any Award or any shares of Stock acquired upon the exercise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Plan to the contrary: (i)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w:t>
      </w:r>
    </w:p>
    <w:p>
      <w:pPr>
        <w:spacing w:after="0" w:line="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32"/>
          </w:cols>
          <w:pgMar w:left="328" w:top="553" w:right="339" w:bottom="1440" w:gutter="0" w:footer="0" w:header="0"/>
        </w:sectPr>
      </w:pPr>
    </w:p>
    <w:bookmarkStart w:id="47" w:name="page48"/>
    <w:bookmarkEnd w:id="47"/>
    <w:p>
      <w:pPr>
        <w:ind w:left="1292" w:right="20"/>
        <w:spacing w:after="0" w:line="261" w:lineRule="auto"/>
        <w:rPr>
          <w:sz w:val="20"/>
          <w:szCs w:val="20"/>
          <w:color w:val="auto"/>
        </w:rPr>
      </w:pPr>
      <w:r>
        <w:rPr>
          <w:rFonts w:ascii="Times New Roman" w:cs="Times New Roman" w:eastAsia="Times New Roman" w:hAnsi="Times New Roman"/>
          <w:sz w:val="18"/>
          <w:szCs w:val="18"/>
          <w:color w:val="auto"/>
        </w:rPr>
        <w:t>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72" w:lineRule="exact"/>
        <w:rPr>
          <w:sz w:val="20"/>
          <w:szCs w:val="20"/>
          <w:color w:val="auto"/>
        </w:rPr>
      </w:pPr>
    </w:p>
    <w:p>
      <w:pPr>
        <w:ind w:left="1292" w:right="340" w:hanging="320"/>
        <w:spacing w:after="0" w:line="282" w:lineRule="auto"/>
        <w:tabs>
          <w:tab w:leader="none" w:pos="129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53" w:lineRule="exact"/>
        <w:rPr>
          <w:rFonts w:ascii="Times New Roman" w:cs="Times New Roman" w:eastAsia="Times New Roman" w:hAnsi="Times New Roman"/>
          <w:sz w:val="18"/>
          <w:szCs w:val="18"/>
          <w:color w:val="auto"/>
        </w:rPr>
      </w:pPr>
    </w:p>
    <w:p>
      <w:pPr>
        <w:jc w:val="both"/>
        <w:ind w:left="1292" w:hanging="320"/>
        <w:spacing w:after="0" w:line="266" w:lineRule="auto"/>
        <w:tabs>
          <w:tab w:leader="none" w:pos="129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67" w:lineRule="exact"/>
        <w:rPr>
          <w:rFonts w:ascii="Times New Roman" w:cs="Times New Roman" w:eastAsia="Times New Roman" w:hAnsi="Times New Roman"/>
          <w:sz w:val="18"/>
          <w:szCs w:val="18"/>
          <w:color w:val="auto"/>
        </w:rPr>
      </w:pPr>
    </w:p>
    <w:p>
      <w:pPr>
        <w:jc w:val="both"/>
        <w:ind w:left="1292" w:right="40" w:hanging="320"/>
        <w:spacing w:after="0" w:line="266" w:lineRule="auto"/>
        <w:tabs>
          <w:tab w:leader="none" w:pos="127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67" w:lineRule="exact"/>
        <w:rPr>
          <w:rFonts w:ascii="Times New Roman" w:cs="Times New Roman" w:eastAsia="Times New Roman" w:hAnsi="Times New Roman"/>
          <w:sz w:val="18"/>
          <w:szCs w:val="18"/>
          <w:color w:val="auto"/>
        </w:rPr>
      </w:pPr>
    </w:p>
    <w:p>
      <w:pPr>
        <w:ind w:left="1292" w:hanging="320"/>
        <w:spacing w:after="0" w:line="266" w:lineRule="auto"/>
        <w:tabs>
          <w:tab w:leader="none" w:pos="127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63" w:lineRule="exact"/>
        <w:rPr>
          <w:rFonts w:ascii="Times New Roman" w:cs="Times New Roman" w:eastAsia="Times New Roman" w:hAnsi="Times New Roman"/>
          <w:sz w:val="18"/>
          <w:szCs w:val="18"/>
          <w:color w:val="auto"/>
        </w:rPr>
      </w:pPr>
    </w:p>
    <w:p>
      <w:pPr>
        <w:ind w:left="972" w:hanging="324"/>
        <w:spacing w:after="0" w:line="268" w:lineRule="auto"/>
        <w:tabs>
          <w:tab w:leader="none" w:pos="9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with Respect to Insiders. </w:t>
      </w:r>
      <w:r>
        <w:rPr>
          <w:rFonts w:ascii="Times New Roman" w:cs="Times New Roman" w:eastAsia="Times New Roman" w:hAnsi="Times New Roman"/>
          <w:sz w:val="18"/>
          <w:szCs w:val="18"/>
          <w:color w:val="auto"/>
        </w:rPr>
        <w:t>With respect to participation by Insiders in the Plan, at any time that any class of equity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registered pursuant to Section 12 of the Exchange Act, the Plan shall be administered in compliance with the requirements, if any, of Rule 16b-3.</w:t>
      </w:r>
    </w:p>
    <w:p>
      <w:pPr>
        <w:spacing w:after="0" w:line="62" w:lineRule="exact"/>
        <w:rPr>
          <w:rFonts w:ascii="Times New Roman" w:cs="Times New Roman" w:eastAsia="Times New Roman" w:hAnsi="Times New Roman"/>
          <w:sz w:val="18"/>
          <w:szCs w:val="18"/>
          <w:color w:val="auto"/>
        </w:rPr>
      </w:pPr>
    </w:p>
    <w:p>
      <w:pPr>
        <w:ind w:left="972" w:hanging="324"/>
        <w:spacing w:after="0" w:line="254" w:lineRule="auto"/>
        <w:tabs>
          <w:tab w:leader="none" w:pos="9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addition to such other rights of indemnification as they may have as members of the Committee or Board or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20" w:hanging="324"/>
        <w:spacing w:after="0" w:line="253" w:lineRule="auto"/>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Number of Shares Issuable. </w:t>
      </w:r>
      <w:r>
        <w:rPr>
          <w:rFonts w:ascii="Times New Roman" w:cs="Times New Roman" w:eastAsia="Times New Roman" w:hAnsi="Times New Roman"/>
          <w:sz w:val="18"/>
          <w:szCs w:val="18"/>
          <w:color w:val="auto"/>
        </w:rPr>
        <w:t>Subject to adjustment as provided in Section 4.3, the maximum aggregate number of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be issued under the Plan shall be 6,748,100.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81" w:lineRule="exact"/>
        <w:rPr>
          <w:rFonts w:ascii="Times New Roman" w:cs="Times New Roman" w:eastAsia="Times New Roman" w:hAnsi="Times New Roman"/>
          <w:sz w:val="18"/>
          <w:szCs w:val="18"/>
          <w:color w:val="auto"/>
        </w:rPr>
      </w:pPr>
    </w:p>
    <w:p>
      <w:pPr>
        <w:ind w:left="972" w:right="280" w:hanging="324"/>
        <w:spacing w:after="0" w:line="262" w:lineRule="auto"/>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Limits. </w:t>
      </w:r>
      <w:r>
        <w:rPr>
          <w:rFonts w:ascii="Times New Roman" w:cs="Times New Roman" w:eastAsia="Times New Roman" w:hAnsi="Times New Roman"/>
          <w:sz w:val="18"/>
          <w:szCs w:val="18"/>
          <w:color w:val="auto"/>
        </w:rPr>
        <w:t>Subject to adjustment as provided in Section 4.3, the maximum aggregate number of shares of Stock with respect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68"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32"/>
          </w:cols>
          <w:pgMar w:left="328" w:top="553" w:right="339" w:bottom="1440" w:gutter="0" w:footer="0" w:header="0"/>
        </w:sectPr>
      </w:pPr>
    </w:p>
    <w:bookmarkStart w:id="48" w:name="page49"/>
    <w:bookmarkEnd w:id="48"/>
    <w:p>
      <w:pPr>
        <w:ind w:left="1300" w:right="20" w:hanging="320"/>
        <w:spacing w:after="0" w:line="253" w:lineRule="auto"/>
        <w:tabs>
          <w:tab w:leader="none" w:pos="129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Committee may unilaterally amend the outstanding Awards to provide that such Awards are exercisable for or settled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81" w:lineRule="exact"/>
        <w:rPr>
          <w:rFonts w:ascii="Times New Roman" w:cs="Times New Roman" w:eastAsia="Times New Roman" w:hAnsi="Times New Roman"/>
          <w:sz w:val="18"/>
          <w:szCs w:val="18"/>
          <w:color w:val="auto"/>
        </w:rPr>
      </w:pPr>
    </w:p>
    <w:p>
      <w:pPr>
        <w:ind w:left="1300" w:hanging="320"/>
        <w:spacing w:after="0" w:line="253" w:lineRule="auto"/>
        <w:tabs>
          <w:tab w:leader="none" w:pos="13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86"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27"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OPTION LIMITATIONS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right="160" w:hanging="324"/>
        <w:spacing w:after="0" w:line="26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pursuant to this Plan only to Employees, Consultants, and Directors.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8"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Grant Restrictions. </w:t>
      </w:r>
      <w:r>
        <w:rPr>
          <w:rFonts w:ascii="Times New Roman" w:cs="Times New Roman" w:eastAsia="Times New Roman" w:hAnsi="Times New Roman"/>
          <w:sz w:val="18"/>
          <w:szCs w:val="18"/>
          <w:color w:val="auto"/>
        </w:rPr>
        <w:t>Any person who is not an Employee on the effective date of the grant of an Option to such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8"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Market Value Limitation. </w:t>
      </w:r>
      <w:r>
        <w:rPr>
          <w:rFonts w:ascii="Times New Roman" w:cs="Times New Roman" w:eastAsia="Times New Roman" w:hAnsi="Times New Roman"/>
          <w:sz w:val="18"/>
          <w:szCs w:val="18"/>
          <w:color w:val="auto"/>
        </w:rPr>
        <w:t>To the extent that Options designated as Incentive Stock Options (granted under all stock option plans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7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OPTIONS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553" w:right="339" w:bottom="1440" w:gutter="0" w:footer="0" w:header="0"/>
        </w:sectPr>
      </w:pPr>
    </w:p>
    <w:bookmarkStart w:id="49" w:name="page50"/>
    <w:bookmarkEnd w:id="49"/>
    <w:p>
      <w:pPr>
        <w:jc w:val="both"/>
        <w:ind w:left="324" w:hanging="324"/>
        <w:spacing w:after="0" w:line="256"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exercise price for each Option shall be established in the discretion of the Committee; provided, however,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4"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Exercisability and Term of Options. </w:t>
      </w:r>
      <w:r>
        <w:rPr>
          <w:rFonts w:ascii="Times New Roman" w:cs="Times New Roman" w:eastAsia="Times New Roman" w:hAnsi="Times New Roman"/>
          <w:sz w:val="18"/>
          <w:szCs w:val="18"/>
          <w:color w:val="auto"/>
        </w:rPr>
        <w:t>Options shall be exercisable at such time or times, or upon such event or events, and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7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Exercise Price.</w:t>
      </w:r>
    </w:p>
    <w:p>
      <w:pPr>
        <w:spacing w:after="0" w:line="117" w:lineRule="exact"/>
        <w:rPr>
          <w:rFonts w:ascii="Times New Roman" w:cs="Times New Roman" w:eastAsia="Times New Roman" w:hAnsi="Times New Roman"/>
          <w:sz w:val="18"/>
          <w:szCs w:val="18"/>
          <w:color w:val="auto"/>
        </w:rPr>
      </w:pPr>
    </w:p>
    <w:p>
      <w:pPr>
        <w:ind w:left="644" w:hanging="320"/>
        <w:spacing w:after="0" w:line="253" w:lineRule="auto"/>
        <w:tabs>
          <w:tab w:leader="none" w:pos="63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Forms of Consideration Authorized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below, payment of the exercise price for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Times New Roman" w:cs="Times New Roman" w:eastAsia="Times New Roman" w:hAnsi="Times New Roman"/>
          <w:sz w:val="18"/>
          <w:szCs w:val="18"/>
          <w:b w:val="1"/>
          <w:bCs w:val="1"/>
          <w:i w:val="1"/>
          <w:iCs w:val="1"/>
          <w:color w:val="auto"/>
        </w:rPr>
        <w:t>Cashless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(iv) by such other consideration as may be approved by the Committee from time to time to the extent permitted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77"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964" w:right="360" w:hanging="411"/>
        <w:spacing w:after="0" w:line="268"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Tender of Stock. </w:t>
      </w:r>
      <w:r>
        <w:rPr>
          <w:rFonts w:ascii="Times New Roman" w:cs="Times New Roman" w:eastAsia="Times New Roman" w:hAnsi="Times New Roman"/>
          <w:sz w:val="18"/>
          <w:szCs w:val="18"/>
          <w:color w:val="auto"/>
        </w:rPr>
        <w:t>Notwithstanding the foregoing, an Option may not be exercised by tender to the Company, or attestation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shares of Stock to the extent such tender or attestation would constitute a violation of the provisions of any law, regulation or agreement restricting the redemption of the Company’s stock.</w:t>
      </w:r>
    </w:p>
    <w:p>
      <w:pPr>
        <w:spacing w:after="0" w:line="62" w:lineRule="exact"/>
        <w:rPr>
          <w:rFonts w:ascii="Times New Roman" w:cs="Times New Roman" w:eastAsia="Times New Roman" w:hAnsi="Times New Roman"/>
          <w:sz w:val="18"/>
          <w:szCs w:val="18"/>
          <w:color w:val="auto"/>
        </w:rPr>
      </w:pPr>
    </w:p>
    <w:p>
      <w:pPr>
        <w:ind w:left="964" w:right="260" w:hanging="461"/>
        <w:spacing w:after="0" w:line="286"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The Company reserves, at any and all times, the right, in the Company’s sole and absolute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decline to approve or terminate any program or procedures for the exercise of Options by means of a Cashless Exercise.</w:t>
      </w:r>
    </w:p>
    <w:p>
      <w:pPr>
        <w:spacing w:after="0" w:line="4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Service</w:t>
      </w:r>
    </w:p>
    <w:p>
      <w:pPr>
        <w:spacing w:after="0" w:line="117" w:lineRule="exact"/>
        <w:rPr>
          <w:rFonts w:ascii="Times New Roman" w:cs="Times New Roman" w:eastAsia="Times New Roman" w:hAnsi="Times New Roman"/>
          <w:sz w:val="18"/>
          <w:szCs w:val="18"/>
          <w:color w:val="auto"/>
        </w:rPr>
      </w:pPr>
    </w:p>
    <w:p>
      <w:pPr>
        <w:ind w:left="644" w:hanging="320"/>
        <w:spacing w:after="0" w:line="262" w:lineRule="auto"/>
        <w:tabs>
          <w:tab w:leader="none" w:pos="50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Exercisability</w:t>
      </w:r>
      <w:r>
        <w:rPr>
          <w:rFonts w:ascii="Times New Roman" w:cs="Times New Roman" w:eastAsia="Times New Roman" w:hAnsi="Times New Roman"/>
          <w:sz w:val="18"/>
          <w:szCs w:val="18"/>
          <w:color w:val="auto"/>
        </w:rPr>
        <w:t>. Subject to earlier termination of the Option as otherwise provided herein and unless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68" w:lineRule="exact"/>
        <w:rPr>
          <w:rFonts w:ascii="Times New Roman" w:cs="Times New Roman" w:eastAsia="Times New Roman" w:hAnsi="Times New Roman"/>
          <w:sz w:val="18"/>
          <w:szCs w:val="18"/>
          <w:color w:val="auto"/>
        </w:rPr>
      </w:pPr>
    </w:p>
    <w:p>
      <w:pPr>
        <w:jc w:val="both"/>
        <w:ind w:left="964" w:hanging="316"/>
        <w:spacing w:after="0" w:line="257" w:lineRule="auto"/>
        <w:tabs>
          <w:tab w:leader="none" w:pos="951"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If the Participant’s Service with the Participating Company Group terminates because of the Disability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964" w:hanging="316"/>
        <w:spacing w:after="0" w:line="268" w:lineRule="auto"/>
        <w:tabs>
          <w:tab w:leader="none" w:pos="960"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with the Participating Company Group terminates because of the death of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the extent unexercised and exercisable on the date on which the Participant’s Service terminated, may be exercised by the Participant’s legal representative or other person who acquired the</w:t>
      </w:r>
    </w:p>
    <w:p>
      <w:pPr>
        <w:spacing w:after="0" w:line="6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84"/>
          </w:cols>
          <w:pgMar w:left="976" w:top="549" w:right="339" w:bottom="1440" w:gutter="0" w:footer="0" w:header="0"/>
        </w:sectPr>
      </w:pPr>
    </w:p>
    <w:bookmarkStart w:id="50" w:name="page51"/>
    <w:bookmarkEnd w:id="50"/>
    <w:p>
      <w:pPr>
        <w:jc w:val="both"/>
        <w:ind w:left="1620"/>
        <w:spacing w:after="0" w:line="258" w:lineRule="auto"/>
        <w:rPr>
          <w:sz w:val="20"/>
          <w:szCs w:val="20"/>
          <w:color w:val="auto"/>
        </w:rPr>
      </w:pPr>
      <w:r>
        <w:rPr>
          <w:rFonts w:ascii="Times New Roman" w:cs="Times New Roman" w:eastAsia="Times New Roman" w:hAnsi="Times New Roman"/>
          <w:sz w:val="18"/>
          <w:szCs w:val="18"/>
          <w:color w:val="auto"/>
        </w:rPr>
        <w:t>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71" w:lineRule="exact"/>
        <w:rPr>
          <w:sz w:val="20"/>
          <w:szCs w:val="20"/>
          <w:color w:val="auto"/>
        </w:rPr>
      </w:pPr>
    </w:p>
    <w:p>
      <w:pPr>
        <w:ind w:left="1620" w:hanging="316"/>
        <w:spacing w:after="0" w:line="286" w:lineRule="auto"/>
        <w:tabs>
          <w:tab w:leader="none" w:pos="1612"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If the Participant’s Service with the Participating Company Group is terminated for Cause, the Option shall terminate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to be exercisable immediately upon such termination of Service.</w:t>
      </w:r>
    </w:p>
    <w:p>
      <w:pPr>
        <w:spacing w:after="0" w:line="46" w:lineRule="exact"/>
        <w:rPr>
          <w:rFonts w:ascii="Times New Roman" w:cs="Times New Roman" w:eastAsia="Times New Roman" w:hAnsi="Times New Roman"/>
          <w:sz w:val="18"/>
          <w:szCs w:val="18"/>
          <w:color w:val="auto"/>
        </w:rPr>
      </w:pPr>
    </w:p>
    <w:p>
      <w:pPr>
        <w:jc w:val="both"/>
        <w:ind w:left="1620" w:hanging="316"/>
        <w:spacing w:after="0" w:line="259" w:lineRule="auto"/>
        <w:tabs>
          <w:tab w:leader="none" w:pos="1604"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If the Participant’s Service with the Participating Company Group terminates for any reason,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death or Cause, the Option, to the extent unexercised and exercisable by the Participant on the date on which the Participant’s 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71" w:lineRule="exact"/>
        <w:rPr>
          <w:rFonts w:ascii="Times New Roman" w:cs="Times New Roman" w:eastAsia="Times New Roman" w:hAnsi="Times New Roman"/>
          <w:sz w:val="18"/>
          <w:szCs w:val="18"/>
          <w:color w:val="auto"/>
        </w:rPr>
      </w:pPr>
    </w:p>
    <w:p>
      <w:pPr>
        <w:ind w:left="1300" w:hanging="320"/>
        <w:spacing w:after="0" w:line="262" w:lineRule="auto"/>
        <w:tabs>
          <w:tab w:leader="none" w:pos="115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if Exercise Prevented by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if the exercise of an Option within the applicable 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68" w:lineRule="exact"/>
        <w:rPr>
          <w:rFonts w:ascii="Times New Roman" w:cs="Times New Roman" w:eastAsia="Times New Roman" w:hAnsi="Times New Roman"/>
          <w:sz w:val="18"/>
          <w:szCs w:val="18"/>
          <w:color w:val="auto"/>
        </w:rPr>
      </w:pPr>
    </w:p>
    <w:p>
      <w:pPr>
        <w:ind w:left="1300" w:hanging="320"/>
        <w:spacing w:after="0" w:line="242" w:lineRule="auto"/>
        <w:tabs>
          <w:tab w:leader="none" w:pos="114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if Participant Subject to Section 16(b). </w:t>
      </w:r>
      <w:r>
        <w:rPr>
          <w:rFonts w:ascii="Times New Roman" w:cs="Times New Roman" w:eastAsia="Times New Roman" w:hAnsi="Times New Roman"/>
          <w:sz w:val="18"/>
          <w:szCs w:val="18"/>
          <w:color w:val="auto"/>
        </w:rPr>
        <w:t>Notwithstanding the foregoing, if a sale within the applicable time periods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Participant’s termination of Service, or (iii) the Option Expiration Date.</w:t>
      </w:r>
    </w:p>
    <w:p>
      <w:pPr>
        <w:spacing w:after="0" w:line="86" w:lineRule="exact"/>
        <w:rPr>
          <w:rFonts w:ascii="Times New Roman" w:cs="Times New Roman" w:eastAsia="Times New Roman" w:hAnsi="Times New Roman"/>
          <w:sz w:val="18"/>
          <w:szCs w:val="18"/>
          <w:color w:val="auto"/>
        </w:rPr>
      </w:pPr>
    </w:p>
    <w:p>
      <w:pPr>
        <w:ind w:left="1300" w:hanging="320"/>
        <w:spacing w:after="0" w:line="268" w:lineRule="auto"/>
        <w:tabs>
          <w:tab w:leader="none" w:pos="116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Vesting</w:t>
      </w:r>
      <w:r>
        <w:rPr>
          <w:rFonts w:ascii="Times New Roman" w:cs="Times New Roman" w:eastAsia="Times New Roman" w:hAnsi="Times New Roman"/>
          <w:sz w:val="18"/>
          <w:szCs w:val="18"/>
          <w:color w:val="auto"/>
        </w:rPr>
        <w:t>. Every Option awarded under the Plan (including those Options awarded prior to the Effective Date,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to incorporate the following terms) shall become 100% vested if the Participant’s Service with the Participating Company Group terminates because of the death of the Participant, as of the date of the Participant’s death.</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Payments. </w:t>
      </w:r>
      <w:r>
        <w:rPr>
          <w:rFonts w:ascii="Times New Roman" w:cs="Times New Roman" w:eastAsia="Times New Roman" w:hAnsi="Times New Roman"/>
          <w:sz w:val="18"/>
          <w:szCs w:val="18"/>
          <w:color w:val="auto"/>
        </w:rPr>
        <w:t>No dividends or dividend equivalents will be accrued or paid with respect to Options.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 Forms of Option Agreement.</w:t>
      </w:r>
    </w:p>
    <w:p>
      <w:pPr>
        <w:spacing w:after="0" w:line="117" w:lineRule="exact"/>
        <w:rPr>
          <w:rFonts w:ascii="Times New Roman" w:cs="Times New Roman" w:eastAsia="Times New Roman" w:hAnsi="Times New Roman"/>
          <w:sz w:val="18"/>
          <w:szCs w:val="18"/>
          <w:color w:val="auto"/>
        </w:rPr>
      </w:pPr>
    </w:p>
    <w:p>
      <w:pPr>
        <w:jc w:val="both"/>
        <w:ind w:left="1300" w:right="100" w:hanging="320"/>
        <w:spacing w:after="0" w:line="268" w:lineRule="auto"/>
        <w:tabs>
          <w:tab w:leader="none" w:pos="129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Unless otherwise provided by the Committee at the time the Option is granted, an Option shall comply with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in the form of Option Agreement approved by the Committee concurrently with its adoption of the Plan and as amended from time to time.</w:t>
      </w:r>
    </w:p>
    <w:p>
      <w:pPr>
        <w:spacing w:after="0" w:line="62" w:lineRule="exact"/>
        <w:rPr>
          <w:rFonts w:ascii="Times New Roman" w:cs="Times New Roman" w:eastAsia="Times New Roman" w:hAnsi="Times New Roman"/>
          <w:sz w:val="18"/>
          <w:szCs w:val="18"/>
          <w:color w:val="auto"/>
        </w:rPr>
      </w:pPr>
    </w:p>
    <w:p>
      <w:pPr>
        <w:ind w:left="1300" w:right="40" w:hanging="320"/>
        <w:spacing w:after="0" w:line="262" w:lineRule="auto"/>
        <w:tabs>
          <w:tab w:leader="none" w:pos="13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to Vary Terms. </w:t>
      </w:r>
      <w:r>
        <w:rPr>
          <w:rFonts w:ascii="Times New Roman" w:cs="Times New Roman" w:eastAsia="Times New Roman" w:hAnsi="Times New Roman"/>
          <w:sz w:val="18"/>
          <w:szCs w:val="18"/>
          <w:color w:val="auto"/>
        </w:rPr>
        <w:t>The Committee shall have the authority from time to time to vary the terms of any standard form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Appreciation Rights.</w:t>
      </w:r>
    </w:p>
    <w:p>
      <w:pPr>
        <w:spacing w:after="0" w:line="121"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29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67" w:lineRule="exact"/>
        <w:rPr>
          <w:rFonts w:ascii="Times New Roman" w:cs="Times New Roman" w:eastAsia="Times New Roman" w:hAnsi="Times New Roman"/>
          <w:sz w:val="18"/>
          <w:szCs w:val="18"/>
          <w:color w:val="auto"/>
        </w:rPr>
      </w:pPr>
    </w:p>
    <w:p>
      <w:pPr>
        <w:ind w:left="1300" w:right="100" w:hanging="320"/>
        <w:spacing w:after="0" w:line="258"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price per share of Stock subject to a Stock Appreciation Right shall be determined by the Committee and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grant price for any Stock Appreciation Right shall not be less than 100% of the Fair Market Value of a share of Stock on the date of grant.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553" w:right="339" w:bottom="1440" w:gutter="0" w:footer="0" w:header="0"/>
        </w:sectPr>
      </w:pPr>
    </w:p>
    <w:bookmarkStart w:id="51" w:name="page52"/>
    <w:bookmarkEnd w:id="51"/>
    <w:p>
      <w:pPr>
        <w:ind w:left="1300" w:right="40" w:hanging="320"/>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Section 6.4 with respect to the exercise of Options following termination of employment shall apply as well to such exercise of SARs.</w:t>
      </w:r>
    </w:p>
    <w:p>
      <w:pPr>
        <w:spacing w:after="0" w:line="50" w:lineRule="exact"/>
        <w:rPr>
          <w:sz w:val="20"/>
          <w:szCs w:val="20"/>
          <w:color w:val="auto"/>
        </w:rPr>
      </w:pPr>
    </w:p>
    <w:p>
      <w:pPr>
        <w:ind w:left="980" w:right="160" w:hanging="323"/>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Payment and Limitations on Exercise. </w:t>
      </w:r>
      <w:r>
        <w:rPr>
          <w:rFonts w:ascii="Times New Roman" w:cs="Times New Roman" w:eastAsia="Times New Roman" w:hAnsi="Times New Roman"/>
          <w:sz w:val="18"/>
          <w:szCs w:val="18"/>
          <w:color w:val="auto"/>
        </w:rPr>
        <w:t>Payment of the amounts determined under Section 7.1(b) hereof shall be in cash, in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as of the date the Stock Appreciation Right is exercised) or a combination of both, as determined by the Committee.</w:t>
      </w:r>
    </w:p>
    <w:p>
      <w:pPr>
        <w:spacing w:after="0" w:line="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xml:space="preserve">Dividend Payments. </w:t>
      </w:r>
      <w:r>
        <w:rPr>
          <w:rFonts w:ascii="Times New Roman" w:cs="Times New Roman" w:eastAsia="Times New Roman" w:hAnsi="Times New Roman"/>
          <w:sz w:val="17"/>
          <w:szCs w:val="17"/>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 TO NON-EMPLOYEE DIRECTORS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3" w:lineRule="exact"/>
        <w:rPr>
          <w:sz w:val="20"/>
          <w:szCs w:val="20"/>
          <w:color w:val="auto"/>
        </w:rPr>
      </w:pPr>
    </w:p>
    <w:p>
      <w:pPr>
        <w:ind w:firstLine="8"/>
        <w:spacing w:after="0" w:line="260" w:lineRule="auto"/>
        <w:tabs>
          <w:tab w:leader="none" w:pos="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69"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DELIVERY OF RESTRICTED STOCK</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At the time an award of Restricted Stock is made, the Committee shall establish a period or periods of time (each a</w:t>
      </w:r>
    </w:p>
    <w:p>
      <w:pPr>
        <w:spacing w:after="0" w:line="31" w:lineRule="exact"/>
        <w:rPr>
          <w:rFonts w:ascii="Times New Roman" w:cs="Times New Roman" w:eastAsia="Times New Roman" w:hAnsi="Times New Roman"/>
          <w:sz w:val="18"/>
          <w:szCs w:val="18"/>
          <w:color w:val="auto"/>
        </w:rPr>
      </w:pPr>
    </w:p>
    <w:p>
      <w:pPr>
        <w:ind w:left="98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such other restrictions on the vesting of the Restricted Stock as it shall deem appropriate or applicable to such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76" w:lineRule="exact"/>
        <w:rPr>
          <w:rFonts w:ascii="Times New Roman" w:cs="Times New Roman" w:eastAsia="Times New Roman" w:hAnsi="Times New Roman"/>
          <w:sz w:val="18"/>
          <w:szCs w:val="18"/>
          <w:color w:val="auto"/>
        </w:rPr>
      </w:pPr>
    </w:p>
    <w:p>
      <w:pPr>
        <w:ind w:left="980" w:right="20" w:hanging="324"/>
        <w:spacing w:after="0" w:line="252"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and Privileges. </w:t>
      </w:r>
      <w:r>
        <w:rPr>
          <w:rFonts w:ascii="Times New Roman" w:cs="Times New Roman" w:eastAsia="Times New Roman" w:hAnsi="Times New Roman"/>
          <w:sz w:val="18"/>
          <w:szCs w:val="18"/>
          <w:color w:val="auto"/>
        </w:rPr>
        <w:t>At the time a grant of Restricted Stock is made to a Participant, a stock certificate representing a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79" w:lineRule="exact"/>
        <w:rPr>
          <w:rFonts w:ascii="Times New Roman" w:cs="Times New Roman" w:eastAsia="Times New Roman" w:hAnsi="Times New Roman"/>
          <w:sz w:val="18"/>
          <w:szCs w:val="18"/>
          <w:color w:val="auto"/>
        </w:rPr>
      </w:pPr>
    </w:p>
    <w:p>
      <w:pPr>
        <w:ind w:left="980" w:right="240" w:hanging="324"/>
        <w:spacing w:after="0" w:line="25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of Restricted Period. </w:t>
      </w:r>
      <w:r>
        <w:rPr>
          <w:rFonts w:ascii="Times New Roman" w:cs="Times New Roman" w:eastAsia="Times New Roman" w:hAnsi="Times New Roman"/>
          <w:sz w:val="18"/>
          <w:szCs w:val="18"/>
          <w:color w:val="auto"/>
        </w:rPr>
        <w:t>Upon the expiration or termination of the Restricted Period applicable to Restricted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553" w:right="339" w:bottom="1440" w:gutter="0" w:footer="0" w:header="0"/>
        </w:sectPr>
      </w:pPr>
    </w:p>
    <w:bookmarkStart w:id="52" w:name="page53"/>
    <w:bookmarkEnd w:id="52"/>
    <w:p>
      <w:pPr>
        <w:jc w:val="both"/>
        <w:ind w:left="972" w:right="80" w:hanging="324"/>
        <w:spacing w:after="0" w:line="268" w:lineRule="auto"/>
        <w:tabs>
          <w:tab w:leader="none" w:pos="97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Events for Restricted Stock. </w:t>
      </w:r>
      <w:r>
        <w:rPr>
          <w:rFonts w:ascii="Times New Roman" w:cs="Times New Roman" w:eastAsia="Times New Roman" w:hAnsi="Times New Roman"/>
          <w:sz w:val="18"/>
          <w:szCs w:val="18"/>
          <w:color w:val="auto"/>
        </w:rPr>
        <w:t>If the Employee terminates employment by reason of death, all of his or her shares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become 100% vested upon the date of death. All Restricted Stock awards prior to the Effective Date are hereby amended to incorporate these terms.</w:t>
      </w:r>
    </w:p>
    <w:p>
      <w:pPr>
        <w:spacing w:after="0" w:line="6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Committee is authorized to grant Restricted Stock Units to eligible persons, subject to the following terms and conditions:</w:t>
      </w:r>
    </w:p>
    <w:p>
      <w:pPr>
        <w:spacing w:after="0" w:line="113" w:lineRule="exact"/>
        <w:rPr>
          <w:sz w:val="20"/>
          <w:szCs w:val="20"/>
          <w:color w:val="auto"/>
        </w:rPr>
      </w:pPr>
    </w:p>
    <w:p>
      <w:pPr>
        <w:ind w:left="972" w:right="60" w:hanging="324"/>
        <w:spacing w:after="0" w:line="262"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and Restrictions. </w:t>
      </w:r>
      <w:r>
        <w:rPr>
          <w:rFonts w:ascii="Times New Roman" w:cs="Times New Roman" w:eastAsia="Times New Roman" w:hAnsi="Times New Roman"/>
          <w:sz w:val="18"/>
          <w:szCs w:val="18"/>
          <w:color w:val="auto"/>
        </w:rPr>
        <w:t>Restricted Stock Units shall be subject to such restrictions (which may include a risk of forfeiture)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68" w:lineRule="exact"/>
        <w:rPr>
          <w:rFonts w:ascii="Times New Roman" w:cs="Times New Roman" w:eastAsia="Times New Roman" w:hAnsi="Times New Roman"/>
          <w:sz w:val="18"/>
          <w:szCs w:val="18"/>
          <w:color w:val="auto"/>
        </w:rPr>
      </w:pPr>
    </w:p>
    <w:p>
      <w:pPr>
        <w:ind w:left="972" w:hanging="324"/>
        <w:spacing w:after="0" w:line="263"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Settlement of Restricted Stock Units shall occur upon expiration of the deferral period specified for such Restricted Stock Unit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(or, if permitted by the Committee, as elected by the Participant). Restricted Stock Units shall be satisfied by the delivery of</w:t>
      </w:r>
    </w:p>
    <w:p>
      <w:pPr>
        <w:ind w:left="972"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73" w:lineRule="exact"/>
        <w:rPr>
          <w:rFonts w:ascii="Times New Roman" w:cs="Times New Roman" w:eastAsia="Times New Roman" w:hAnsi="Times New Roman"/>
          <w:sz w:val="18"/>
          <w:szCs w:val="18"/>
          <w:color w:val="auto"/>
        </w:rPr>
      </w:pPr>
    </w:p>
    <w:p>
      <w:pPr>
        <w:ind w:left="972" w:right="60" w:hanging="324"/>
        <w:spacing w:after="0" w:line="255"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on Restricted Stock Units. </w:t>
      </w:r>
      <w:r>
        <w:rPr>
          <w:rFonts w:ascii="Times New Roman" w:cs="Times New Roman" w:eastAsia="Times New Roman" w:hAnsi="Times New Roman"/>
          <w:sz w:val="18"/>
          <w:szCs w:val="18"/>
          <w:color w:val="auto"/>
        </w:rPr>
        <w:t>The Committee may, in its sole discretion and as would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76"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Employment.</w:t>
      </w:r>
    </w:p>
    <w:p>
      <w:pPr>
        <w:spacing w:after="0" w:line="121" w:lineRule="exact"/>
        <w:rPr>
          <w:sz w:val="20"/>
          <w:szCs w:val="20"/>
          <w:color w:val="auto"/>
        </w:rPr>
      </w:pPr>
    </w:p>
    <w:p>
      <w:pPr>
        <w:ind w:left="1292" w:right="300" w:hanging="320"/>
        <w:spacing w:after="0" w:line="266" w:lineRule="auto"/>
        <w:tabs>
          <w:tab w:leader="none" w:pos="127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67" w:lineRule="exact"/>
        <w:rPr>
          <w:rFonts w:ascii="Times New Roman" w:cs="Times New Roman" w:eastAsia="Times New Roman" w:hAnsi="Times New Roman"/>
          <w:sz w:val="18"/>
          <w:szCs w:val="18"/>
          <w:color w:val="auto"/>
        </w:rPr>
      </w:pPr>
    </w:p>
    <w:p>
      <w:pPr>
        <w:ind w:left="1292" w:right="200" w:hanging="320"/>
        <w:spacing w:after="0" w:line="282" w:lineRule="auto"/>
        <w:tabs>
          <w:tab w:leader="none" w:pos="128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terminates employment by reason of death, all of his or her shares of Restricted Stock shall become 100% vested upon the date of death.</w:t>
      </w:r>
    </w:p>
    <w:p>
      <w:pPr>
        <w:spacing w:after="0" w:line="4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INCENTIVE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20" w:hanging="324"/>
        <w:spacing w:after="0" w:line="259" w:lineRule="auto"/>
        <w:tabs>
          <w:tab w:leader="none" w:pos="82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Awards. </w:t>
      </w:r>
      <w:r>
        <w:rPr>
          <w:rFonts w:ascii="Times New Roman" w:cs="Times New Roman" w:eastAsia="Times New Roman" w:hAnsi="Times New Roman"/>
          <w:sz w:val="18"/>
          <w:szCs w:val="18"/>
          <w:color w:val="auto"/>
        </w:rPr>
        <w:t>The Committee may grant annual incentive awards of Stock or cash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75" w:lineRule="exact"/>
        <w:rPr>
          <w:rFonts w:ascii="Times New Roman" w:cs="Times New Roman" w:eastAsia="Times New Roman" w:hAnsi="Times New Roman"/>
          <w:sz w:val="18"/>
          <w:szCs w:val="18"/>
          <w:color w:val="auto"/>
        </w:rPr>
      </w:pPr>
    </w:p>
    <w:p>
      <w:pPr>
        <w:ind w:left="1292" w:right="740" w:hanging="320"/>
        <w:spacing w:after="0" w:line="282" w:lineRule="auto"/>
        <w:tabs>
          <w:tab w:leader="none" w:pos="113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granted in connection with a 12-month Performance Cycle, which shall be the fiscal year of the Company.</w:t>
      </w:r>
    </w:p>
    <w:p>
      <w:pPr>
        <w:spacing w:after="0" w:line="53" w:lineRule="exact"/>
        <w:rPr>
          <w:rFonts w:ascii="Times New Roman" w:cs="Times New Roman" w:eastAsia="Times New Roman" w:hAnsi="Times New Roman"/>
          <w:sz w:val="18"/>
          <w:szCs w:val="18"/>
          <w:color w:val="auto"/>
        </w:rPr>
      </w:pPr>
    </w:p>
    <w:p>
      <w:pPr>
        <w:ind w:left="1292" w:right="100" w:hanging="320"/>
        <w:spacing w:after="0" w:line="282" w:lineRule="auto"/>
        <w:tabs>
          <w:tab w:leader="none" w:pos="114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the Committee shall determine the Participants who shall be eligible to receive an Annual Incentive Award for such Performance Cycle.</w:t>
      </w:r>
    </w:p>
    <w:p>
      <w:pPr>
        <w:spacing w:after="0" w:line="53" w:lineRule="exact"/>
        <w:rPr>
          <w:rFonts w:ascii="Times New Roman" w:cs="Times New Roman" w:eastAsia="Times New Roman" w:hAnsi="Times New Roman"/>
          <w:sz w:val="18"/>
          <w:szCs w:val="18"/>
          <w:color w:val="auto"/>
        </w:rPr>
      </w:pPr>
    </w:p>
    <w:p>
      <w:pPr>
        <w:ind w:left="1292" w:right="360" w:hanging="320"/>
        <w:spacing w:after="0" w:line="266" w:lineRule="auto"/>
        <w:tabs>
          <w:tab w:leader="none" w:pos="113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67" w:lineRule="exact"/>
        <w:rPr>
          <w:rFonts w:ascii="Times New Roman" w:cs="Times New Roman" w:eastAsia="Times New Roman" w:hAnsi="Times New Roman"/>
          <w:sz w:val="18"/>
          <w:szCs w:val="18"/>
          <w:color w:val="auto"/>
        </w:rPr>
      </w:pPr>
    </w:p>
    <w:p>
      <w:pPr>
        <w:ind w:left="1292" w:right="60" w:hanging="320"/>
        <w:spacing w:after="0" w:line="282" w:lineRule="auto"/>
        <w:tabs>
          <w:tab w:leader="none" w:pos="114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paid in the form of cash, Stock (including Restricted Stock) or any combination thereof, in the discretion of the Committee.</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160" w:hanging="324"/>
        <w:spacing w:after="0" w:line="257" w:lineRule="auto"/>
        <w:tabs>
          <w:tab w:leader="none" w:pos="97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Notwithstanding anything to the contrary contained herein, the Committee may designate any of the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under the Plan (including but not limited to Options, Restricted Stock, Annual Incentive Awards and Discretionary Bonus Awards) as conditioned on the achievement of specified Performance Measures (each such Award a “</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Times New Roman" w:cs="Times New Roman" w:eastAsia="Times New Roman" w:hAnsi="Times New Roman"/>
          <w:sz w:val="18"/>
          <w:szCs w:val="18"/>
          <w:b w:val="1"/>
          <w:bCs w:val="1"/>
          <w:color w:val="auto"/>
        </w:rPr>
        <w:t>.</w:t>
      </w:r>
    </w:p>
    <w:p>
      <w:pPr>
        <w:spacing w:after="0" w:line="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32"/>
          </w:cols>
          <w:pgMar w:left="328" w:top="549" w:right="339" w:bottom="1440" w:gutter="0" w:footer="0" w:header="0"/>
        </w:sectPr>
      </w:pPr>
    </w:p>
    <w:bookmarkStart w:id="53" w:name="page54"/>
    <w:bookmarkEnd w:id="53"/>
    <w:p>
      <w:pPr>
        <w:ind w:left="972" w:right="20" w:hanging="324"/>
        <w:spacing w:after="0" w:line="262" w:lineRule="auto"/>
        <w:tabs>
          <w:tab w:leader="none" w:pos="9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Performance Goals and Performance Measures. </w:t>
      </w:r>
      <w:r>
        <w:rPr>
          <w:rFonts w:ascii="Times New Roman" w:cs="Times New Roman" w:eastAsia="Times New Roman" w:hAnsi="Times New Roman"/>
          <w:sz w:val="18"/>
          <w:szCs w:val="18"/>
          <w:color w:val="auto"/>
        </w:rPr>
        <w:t>A Performance Goal established in connection with a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must be based on any one or more of the following performance measures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(which may be applied to an individual, a subsidiary, a business unit or division, or the Company and any one or more of its subsidiaries as a whole, as determined by the Committee):</w:t>
      </w:r>
    </w:p>
    <w:p>
      <w:pPr>
        <w:spacing w:after="0" w:line="72"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(before or after taxes, depreciation and amortization);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or revenue growth;</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returns on assets, capital, invested capital, equity, sales, or revenue);</w:t>
      </w:r>
    </w:p>
    <w:p>
      <w:pPr>
        <w:spacing w:after="0" w:line="117" w:lineRule="exact"/>
        <w:rPr>
          <w:rFonts w:ascii="Times New Roman" w:cs="Times New Roman" w:eastAsia="Times New Roman" w:hAnsi="Times New Roman"/>
          <w:sz w:val="18"/>
          <w:szCs w:val="18"/>
          <w:color w:val="auto"/>
        </w:rPr>
      </w:pPr>
    </w:p>
    <w:p>
      <w:pPr>
        <w:ind w:left="1292" w:right="740" w:hanging="320"/>
        <w:spacing w:after="0" w:line="282"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w:t>
      </w:r>
    </w:p>
    <w:p>
      <w:pPr>
        <w:spacing w:after="0" w:line="5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before interest, taxes, depreciation and amortization;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or operating expenses;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Company’s Stock or total return to stockholders;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an investment in the Company’s Stock assuming the reinvestment of dividends;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one or more of our investment products on an absolute basis or relative to a benchmark or peer group;</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income;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targets, reductions and savings, productivity and efficiencies;</w:t>
      </w:r>
    </w:p>
    <w:p>
      <w:pPr>
        <w:spacing w:after="0" w:line="117" w:lineRule="exact"/>
        <w:rPr>
          <w:rFonts w:ascii="Times New Roman" w:cs="Times New Roman" w:eastAsia="Times New Roman" w:hAnsi="Times New Roman"/>
          <w:sz w:val="18"/>
          <w:szCs w:val="18"/>
          <w:color w:val="auto"/>
        </w:rPr>
      </w:pPr>
    </w:p>
    <w:p>
      <w:pPr>
        <w:ind w:left="1292" w:right="80" w:hanging="320"/>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67" w:lineRule="exact"/>
        <w:rPr>
          <w:rFonts w:ascii="Times New Roman" w:cs="Times New Roman" w:eastAsia="Times New Roman" w:hAnsi="Times New Roman"/>
          <w:sz w:val="18"/>
          <w:szCs w:val="18"/>
          <w:color w:val="auto"/>
        </w:rPr>
      </w:pPr>
    </w:p>
    <w:p>
      <w:pPr>
        <w:jc w:val="both"/>
        <w:ind w:left="1292" w:right="60" w:hanging="320"/>
        <w:spacing w:after="0" w:line="266" w:lineRule="auto"/>
        <w:tabs>
          <w:tab w:leader="none" w:pos="127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6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as determined by the Committee in its sole discretion; and/or</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or all of the foregoing criteria.</w:t>
      </w:r>
    </w:p>
    <w:p>
      <w:pPr>
        <w:spacing w:after="0" w:line="117" w:lineRule="exact"/>
        <w:rPr>
          <w:sz w:val="20"/>
          <w:szCs w:val="20"/>
          <w:color w:val="auto"/>
        </w:rPr>
      </w:pPr>
    </w:p>
    <w:p>
      <w:pPr>
        <w:jc w:val="both"/>
        <w:ind w:left="972"/>
        <w:spacing w:after="0" w:line="258" w:lineRule="auto"/>
        <w:rPr>
          <w:sz w:val="20"/>
          <w:szCs w:val="20"/>
          <w:color w:val="auto"/>
        </w:rPr>
      </w:pPr>
      <w:r>
        <w:rPr>
          <w:rFonts w:ascii="Times New Roman" w:cs="Times New Roman" w:eastAsia="Times New Roman" w:hAnsi="Times New Roman"/>
          <w:sz w:val="18"/>
          <w:szCs w:val="18"/>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71" w:lineRule="exact"/>
        <w:rPr>
          <w:sz w:val="20"/>
          <w:szCs w:val="20"/>
          <w:color w:val="auto"/>
        </w:rPr>
      </w:pPr>
    </w:p>
    <w:p>
      <w:pPr>
        <w:ind w:left="972" w:right="180" w:hanging="324"/>
        <w:spacing w:after="0" w:line="259" w:lineRule="auto"/>
        <w:tabs>
          <w:tab w:leader="none" w:pos="9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of Performance-Based Award. </w:t>
      </w:r>
      <w:r>
        <w:rPr>
          <w:rFonts w:ascii="Times New Roman" w:cs="Times New Roman" w:eastAsia="Times New Roman" w:hAnsi="Times New Roman"/>
          <w:sz w:val="18"/>
          <w:szCs w:val="18"/>
          <w:color w:val="auto"/>
        </w:rPr>
        <w:t>At the expiration of the applicable performance period, the Committee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DISCRETIONARY BONUS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972" w:right="600" w:hanging="324"/>
        <w:spacing w:after="0" w:line="268" w:lineRule="auto"/>
        <w:tabs>
          <w:tab w:leader="none" w:pos="9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Discretionary Bonus Awards. </w:t>
      </w:r>
      <w:r>
        <w:rPr>
          <w:rFonts w:ascii="Times New Roman" w:cs="Times New Roman" w:eastAsia="Times New Roman" w:hAnsi="Times New Roman"/>
          <w:sz w:val="18"/>
          <w:szCs w:val="18"/>
          <w:color w:val="auto"/>
        </w:rPr>
        <w:t>The Committee may grant discretionary bonus awards of Stock or cash (each a “</w:t>
      </w:r>
      <w:r>
        <w:rPr>
          <w:rFonts w:ascii="Times New Roman" w:cs="Times New Roman" w:eastAsia="Times New Roman" w:hAnsi="Times New Roman"/>
          <w:sz w:val="18"/>
          <w:szCs w:val="18"/>
          <w:b w:val="1"/>
          <w:bCs w:val="1"/>
          <w:i w:val="1"/>
          <w:iCs w:val="1"/>
          <w:color w:val="auto"/>
        </w:rPr>
        <w:t>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officers and other key Employees of either the Company or any Subsidiary, in such amounts and subject to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Committee in its discretion may determine.</w:t>
      </w:r>
    </w:p>
    <w:p>
      <w:pPr>
        <w:spacing w:after="0" w:line="66" w:lineRule="exact"/>
        <w:rPr>
          <w:rFonts w:ascii="Times New Roman" w:cs="Times New Roman" w:eastAsia="Times New Roman" w:hAnsi="Times New Roman"/>
          <w:sz w:val="18"/>
          <w:szCs w:val="18"/>
          <w:color w:val="auto"/>
        </w:rPr>
      </w:pPr>
    </w:p>
    <w:p>
      <w:pPr>
        <w:ind w:left="972" w:right="180" w:hanging="324"/>
        <w:spacing w:after="0" w:line="282" w:lineRule="auto"/>
        <w:tabs>
          <w:tab w:leader="none" w:pos="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Discretionary Bonus Awards to eligible Participants in such amounts as the Committee may determine, subject to the limitations set forth in Section 4.1.</w:t>
      </w:r>
    </w:p>
    <w:p>
      <w:pPr>
        <w:spacing w:after="0" w:line="53"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shall be paid in the form of cash, Stock (including Restricted Stock) or any combination thereof, in the discretion of the Committee.</w:t>
      </w:r>
    </w:p>
    <w:p>
      <w:pPr>
        <w:sectPr>
          <w:pgSz w:w="11900" w:h="16838" w:orient="portrait"/>
          <w:cols w:equalWidth="0" w:num="1">
            <w:col w:w="11232"/>
          </w:cols>
          <w:pgMar w:left="328" w:top="549" w:right="339" w:bottom="1440" w:gutter="0" w:footer="0" w:header="0"/>
        </w:sectPr>
      </w:pP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32"/>
          </w:cols>
          <w:pgMar w:left="328" w:top="549" w:right="339" w:bottom="1440" w:gutter="0" w:footer="0" w:header="0"/>
          <w:type w:val="continuous"/>
        </w:sectPr>
      </w:pPr>
    </w:p>
    <w:bookmarkStart w:id="54" w:name="page55"/>
    <w:bookmarkEnd w:id="54"/>
    <w:p>
      <w:pPr>
        <w:ind w:left="420" w:hanging="412"/>
        <w:spacing w:after="0"/>
        <w:tabs>
          <w:tab w:leader="none" w:pos="4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77"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VESTING LIMITATIONS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5" w:lineRule="exact"/>
        <w:rPr>
          <w:sz w:val="20"/>
          <w:szCs w:val="20"/>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980" w:right="100" w:hanging="324"/>
        <w:spacing w:after="0" w:line="266"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00" w:right="320" w:hanging="320"/>
        <w:spacing w:after="0" w:line="262" w:lineRule="auto"/>
        <w:tabs>
          <w:tab w:leader="none" w:pos="129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68" w:lineRule="exact"/>
        <w:rPr>
          <w:rFonts w:ascii="Times New Roman" w:cs="Times New Roman" w:eastAsia="Times New Roman" w:hAnsi="Times New Roman"/>
          <w:sz w:val="18"/>
          <w:szCs w:val="18"/>
          <w:color w:val="auto"/>
        </w:rPr>
      </w:pPr>
    </w:p>
    <w:p>
      <w:pPr>
        <w:ind w:left="1300" w:right="40" w:hanging="320"/>
        <w:spacing w:after="0" w:line="254" w:lineRule="auto"/>
        <w:tabs>
          <w:tab w:leader="none" w:pos="13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a merger or consolidation of the Company with or into another corporation in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w:t>
      </w:r>
    </w:p>
    <w:p>
      <w:pPr>
        <w:ind w:left="130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w:t>
      </w:r>
    </w:p>
    <w:p>
      <w:pPr>
        <w:spacing w:after="0" w:line="2" w:lineRule="exact"/>
        <w:rPr>
          <w:rFonts w:ascii="Times New Roman" w:cs="Times New Roman" w:eastAsia="Times New Roman" w:hAnsi="Times New Roman"/>
          <w:sz w:val="18"/>
          <w:szCs w:val="18"/>
          <w:color w:val="auto"/>
        </w:rPr>
      </w:pPr>
    </w:p>
    <w:p>
      <w:pPr>
        <w:ind w:left="1300" w:right="16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549" w:right="339" w:bottom="1440" w:gutter="0" w:footer="0" w:header="0"/>
        </w:sectPr>
      </w:pPr>
    </w:p>
    <w:bookmarkStart w:id="55" w:name="page56"/>
    <w:bookmarkEnd w:id="55"/>
    <w:p>
      <w:pPr>
        <w:ind w:left="980" w:hanging="324"/>
        <w:spacing w:after="0" w:line="252" w:lineRule="auto"/>
        <w:tabs>
          <w:tab w:leader="none" w:pos="97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Change in Control on Awards. </w:t>
      </w:r>
      <w:r>
        <w:rPr>
          <w:rFonts w:ascii="Times New Roman" w:cs="Times New Roman" w:eastAsia="Times New Roman" w:hAnsi="Times New Roman"/>
          <w:sz w:val="18"/>
          <w:szCs w:val="18"/>
          <w:color w:val="auto"/>
        </w:rPr>
        <w:t>Upon a Change in Control, each outstanding Award shall become 100% vested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8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84" w:lineRule="exact"/>
        <w:rPr>
          <w:sz w:val="20"/>
          <w:szCs w:val="20"/>
          <w:color w:val="auto"/>
        </w:rPr>
      </w:pPr>
    </w:p>
    <w:p>
      <w:pPr>
        <w:ind w:left="420" w:hanging="412"/>
        <w:spacing w:after="0"/>
        <w:tabs>
          <w:tab w:leader="none" w:pos="4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 OF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Participant shall be given access to information concerning the Company equivalent to that information generally made available to the Company’s common stockholders.</w:t>
      </w:r>
    </w:p>
    <w:p>
      <w:pPr>
        <w:spacing w:after="0" w:line="50" w:lineRule="exact"/>
        <w:rPr>
          <w:sz w:val="20"/>
          <w:szCs w:val="20"/>
          <w:color w:val="auto"/>
        </w:rPr>
      </w:pPr>
    </w:p>
    <w:p>
      <w:pPr>
        <w:ind w:left="420" w:hanging="412"/>
        <w:spacing w:after="0"/>
        <w:tabs>
          <w:tab w:leader="none" w:pos="4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SECURITIES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49" w:right="339" w:bottom="1440" w:gutter="0" w:footer="0" w:header="0"/>
        </w:sectPr>
      </w:pPr>
    </w:p>
    <w:bookmarkStart w:id="56" w:name="page57"/>
    <w:bookmarkEnd w:id="56"/>
    <w:p>
      <w:pPr>
        <w:ind w:left="420" w:hanging="412"/>
        <w:spacing w:after="0"/>
        <w:tabs>
          <w:tab w:leader="none" w:pos="4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OR AMENDMENT OF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80" w:lineRule="exact"/>
        <w:rPr>
          <w:sz w:val="20"/>
          <w:szCs w:val="20"/>
          <w:color w:val="auto"/>
        </w:rPr>
      </w:pPr>
    </w:p>
    <w:p>
      <w:pPr>
        <w:ind w:left="420" w:hanging="412"/>
        <w:spacing w:after="0"/>
        <w:tabs>
          <w:tab w:leader="none" w:pos="4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Any increase in the maximum aggregate number of shares of Stock issuable under the Plan as provided in Section 4.1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549" w:right="339" w:bottom="1440" w:gutter="0" w:footer="0" w:header="0"/>
        </w:sectPr>
      </w:pPr>
    </w:p>
    <w:bookmarkStart w:id="57" w:name="page58"/>
    <w:bookmarkEnd w:id="57"/>
    <w:p>
      <w:pPr>
        <w:spacing w:after="0" w:line="200" w:lineRule="exact"/>
        <w:rPr>
          <w:sz w:val="20"/>
          <w:szCs w:val="20"/>
          <w:color w:val="auto"/>
        </w:rPr>
      </w:pPr>
    </w:p>
    <w:p>
      <w:pPr>
        <w:spacing w:after="0" w:line="290" w:lineRule="exact"/>
        <w:rPr>
          <w:sz w:val="20"/>
          <w:szCs w:val="20"/>
          <w:color w:val="auto"/>
        </w:rPr>
      </w:pPr>
    </w:p>
    <w:p>
      <w:pPr>
        <w:spacing w:after="0" w:line="396" w:lineRule="auto"/>
        <w:rPr>
          <w:sz w:val="20"/>
          <w:szCs w:val="20"/>
          <w:color w:val="auto"/>
        </w:rPr>
      </w:pPr>
      <w:r>
        <w:rPr>
          <w:rFonts w:ascii="Times New Roman" w:cs="Times New Roman" w:eastAsia="Times New Roman" w:hAnsi="Times New Roman"/>
          <w:sz w:val="18"/>
          <w:szCs w:val="18"/>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1105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wp:posOffset>
            </wp:positionV>
            <wp:extent cx="1105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1105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-725805</wp:posOffset>
            </wp:positionV>
            <wp:extent cx="1105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1105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-1154430</wp:posOffset>
            </wp:positionV>
            <wp:extent cx="1105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-1368425</wp:posOffset>
            </wp:positionV>
            <wp:extent cx="110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8"/>
          <w:szCs w:val="18"/>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-313690</wp:posOffset>
            </wp:positionV>
            <wp:extent cx="1105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60"/>
        <w:spacing w:after="0"/>
        <w:rPr>
          <w:sz w:val="20"/>
          <w:szCs w:val="20"/>
          <w:color w:val="auto"/>
        </w:rPr>
      </w:pPr>
      <w:r>
        <w:rPr>
          <w:rFonts w:ascii="Times New Roman" w:cs="Times New Roman" w:eastAsia="Times New Roman" w:hAnsi="Times New Roman"/>
          <w:sz w:val="18"/>
          <w:szCs w:val="18"/>
          <w:b w:val="1"/>
          <w:bCs w:val="1"/>
          <w:u w:val="single" w:color="auto"/>
          <w:color w:val="auto"/>
        </w:rPr>
        <w:t>PLAN HISTORY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700,000 shares and providing for performance-based awards, which was approved by stockholders at the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7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Committee amends Third Amended and Restated Plan, increasing the reserve by 750,000 shares. The Plan</w:t>
      </w:r>
    </w:p>
    <w:p>
      <w:pPr>
        <w:spacing w:after="0" w:line="14"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was amended to clarify the Committee’s authority to prescribe adjustments to performance measures set forth in Section 12.2 of the Plan, used to set performance goals for incentive awards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Plan were amended to expand performance measures to be established by the Board or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Committee with respect to annual incentive awards or performance-based awards. The Fourth Amendment permits the Board or the Committee to adjust performance measures in a manner that complies with Treasury Regulations governing modifications to performance measures under Section 162(m) of the Internal Revenue Code. Under the Fourth</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Amendment, the Board or Committee may designate any awards under the Plan as performance-based awards. The Fourth Amendment restricts the number of shares of the Company’s common stock that can be settled, or cash that can be paid, for a performance-based award to any Plan participant in a single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Compensation Committee adopts Fifth Amended and Restated Plan, increasing the reserve by 200,000 shares and prohibiting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Sixth Amended and Restated Plan, increasing the reserve by 200,000 shares. The Plan</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was amended to (a) include Stock Appreciation Rights, Restricted Stock Units, and Other Stock-Based Awards as awards available 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6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Compensation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6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Compensation and Human Capital Committee adopts the Ninth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6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Compensation and Human Capital Committee adopts the Tenth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2">
            <w:col w:w="1340" w:space="520"/>
            <w:col w:w="8740"/>
          </w:cols>
          <w:pgMar w:left="340" w:top="441" w:right="9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 242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Westwood Holdings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files the following Certificate of Amendment to its Amended and Restated Certificate of Incorporation.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Company is Westwood Holdings Group,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of the Amended and Restated Certificate of Incorporation of the Company is hereby amended and restated in its entirety to read as follows:</w:t>
      </w: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11. A director, officer or former director or officer of the Corporation shall not, to the fullest extent permitted by the Delaware General Corporation Law as the same exists or may hereafter be amended, be liable to the Corporation or its stockholders for monetary damages for breach of his or her fiduciary duty to the Corporation or its stockholders.”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amendment was duly adopted in accordance with the provisions of Section 242 of the Delaware General Corporation Law.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THIS THE ___ day of 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w:t>
      </w:r>
    </w:p>
    <w:p>
      <w:pPr>
        <w:sectPr>
          <w:pgSz w:w="11900" w:h="16838" w:orient="portrait"/>
          <w:cols w:equalWidth="0" w:num="1">
            <w:col w:w="11240"/>
          </w:cols>
          <w:pgMar w:left="320" w:top="1121"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21" w:right="339" w:bottom="1440" w:gutter="0" w:footer="0" w:header="0"/>
          <w:type w:val="continuous"/>
        </w:sectPr>
      </w:pPr>
    </w:p>
    <w:bookmarkStart w:id="59" w:name="page60"/>
    <w:bookmarkEnd w:id="59"/>
    <w:p>
      <w:pPr>
        <w:ind w:left="11060"/>
        <w:spacing w:after="0"/>
        <w:rPr>
          <w:sz w:val="20"/>
          <w:szCs w:val="20"/>
          <w:color w:val="auto"/>
        </w:rPr>
      </w:pPr>
      <w:r>
        <w:rPr>
          <w:rFonts w:ascii="Wingdings" w:cs="Wingdings" w:eastAsia="Wingdings" w:hAnsi="Wingdings"/>
          <w:sz w:val="18"/>
          <w:szCs w:val="18"/>
          <w:b w:val="1"/>
          <w:bCs w:val="1"/>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SOLICITED BY THE BOARD OF DIRECTORS FOR</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ANNUAL MEETING TO BE HELD ON MAY 1, 2024</w:t>
      </w:r>
    </w:p>
    <w:p>
      <w:pPr>
        <w:spacing w:after="0" w:line="218" w:lineRule="exact"/>
        <w:rPr>
          <w:sz w:val="20"/>
          <w:szCs w:val="20"/>
          <w:color w:val="auto"/>
        </w:rPr>
      </w:pPr>
    </w:p>
    <w:p>
      <w:pPr>
        <w:ind w:firstLine="526"/>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on Wednesday, May 1, 2024, at 10:00 a.m., Central Time, and any postponements or adjournments thereof, as fully as the undersigned could if personally present, revoking any proxy or proxies heretofore given.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705" w:right="379" w:bottom="1440" w:gutter="0" w:footer="0" w:header="0"/>
        </w:sectPr>
      </w:pPr>
    </w:p>
    <w:bookmarkStart w:id="60" w:name="page61"/>
    <w:bookmarkEnd w:id="60"/>
    <w:p>
      <w:pPr>
        <w:spacing w:after="0"/>
        <w:rPr>
          <w:sz w:val="20"/>
          <w:szCs w:val="20"/>
          <w:color w:val="auto"/>
        </w:rPr>
      </w:pPr>
      <w:r>
        <w:rPr>
          <w:rFonts w:ascii="Wingdings" w:cs="Wingdings" w:eastAsia="Wingdings" w:hAnsi="Wingdings"/>
          <w:sz w:val="18"/>
          <w:szCs w:val="18"/>
          <w:b w:val="1"/>
          <w:bCs w:val="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163310" cy="3960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6331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all director nominees in Proposal 1 and “FOR” Proposals 2, 3, 4 and 5.</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 BLACK</w:t>
      </w:r>
    </w:p>
    <w:p>
      <w:pPr>
        <w:spacing w:after="0" w:line="18" w:lineRule="exact"/>
        <w:rPr>
          <w:sz w:val="20"/>
          <w:szCs w:val="20"/>
          <w:color w:val="auto"/>
        </w:rPr>
      </w:pPr>
    </w:p>
    <w:p>
      <w:pPr>
        <w:ind w:left="4140"/>
        <w:spacing w:after="0"/>
        <w:tabs>
          <w:tab w:leader="none" w:pos="5860" w:val="left"/>
        </w:tabs>
        <w:rPr>
          <w:sz w:val="20"/>
          <w:szCs w:val="20"/>
          <w:color w:val="auto"/>
        </w:rPr>
      </w:pPr>
      <w:r>
        <w:rPr>
          <w:rFonts w:ascii="Times New Roman" w:cs="Times New Roman" w:eastAsia="Times New Roman" w:hAnsi="Times New Roman"/>
          <w:sz w:val="14"/>
          <w:szCs w:val="14"/>
          <w:b w:val="1"/>
          <w:bCs w:val="1"/>
          <w:color w:val="auto"/>
        </w:rPr>
        <w:t>INK AS SHOWN HERE</w:t>
      </w:r>
      <w:r>
        <w:rPr>
          <w:sz w:val="20"/>
          <w:szCs w:val="20"/>
          <w:color w:val="auto"/>
        </w:rPr>
        <w:tab/>
      </w: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n</w:t>
      </w:r>
    </w:p>
    <w:p>
      <w:pPr>
        <w:spacing w:after="0" w:line="1300" w:lineRule="exact"/>
        <w:rPr>
          <w:sz w:val="20"/>
          <w:szCs w:val="20"/>
          <w:color w:val="auto"/>
        </w:rPr>
      </w:pPr>
    </w:p>
    <w:p>
      <w:pPr>
        <w:sectPr>
          <w:pgSz w:w="11900" w:h="16838" w:orient="portrait"/>
          <w:cols w:equalWidth="0" w:num="2">
            <w:col w:w="10320" w:space="720"/>
            <w:col w:w="140"/>
          </w:cols>
          <w:pgMar w:left="340" w:top="1407" w:right="379" w:bottom="1440" w:gutter="0" w:footer="0" w:header="0"/>
        </w:sectPr>
      </w:pPr>
    </w:p>
    <w:p>
      <w:pPr>
        <w:spacing w:after="0" w:line="153" w:lineRule="exact"/>
        <w:rPr>
          <w:sz w:val="20"/>
          <w:szCs w:val="20"/>
          <w:color w:val="auto"/>
        </w:rPr>
      </w:pPr>
    </w:p>
    <w:p>
      <w:pPr>
        <w:ind w:right="940" w:firstLine="6"/>
        <w:spacing w:after="0" w:line="231" w:lineRule="auto"/>
        <w:tabs>
          <w:tab w:leader="none" w:pos="144"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five directors to hold office until the next annual meeting of Westwood’s stockholders and until their respective successors shall have been duly elected and qualified.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FOR</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AGAINST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w w:val="96"/>
              </w:rPr>
              <w:t>ABSTAIN</w:t>
            </w:r>
          </w:p>
        </w:tc>
      </w:tr>
      <w:tr>
        <w:trPr>
          <w:trHeight w:val="309"/>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01)</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Brian O. Casey</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02)</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Richard M. Frank</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35"/>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03)</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Ellen H. Masterson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1"/>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04)</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Geoffrey R. Norman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05)</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Randy A. Bowman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9" w:right="80" w:firstLine="9"/>
        <w:spacing w:after="0" w:line="231" w:lineRule="auto"/>
        <w:tabs>
          <w:tab w:leader="none" w:pos="17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BDO USA, P.C. as Westwood’s independent auditors for the year ending December 31, 2024.</w:t>
      </w:r>
    </w:p>
    <w:p>
      <w:pPr>
        <w:spacing w:after="0" w:line="217" w:lineRule="exact"/>
        <w:rPr>
          <w:rFonts w:ascii="Times New Roman" w:cs="Times New Roman" w:eastAsia="Times New Roman" w:hAnsi="Times New Roman"/>
          <w:sz w:val="14"/>
          <w:szCs w:val="14"/>
          <w:color w:val="auto"/>
        </w:rPr>
      </w:pPr>
    </w:p>
    <w:p>
      <w:pPr>
        <w:ind w:left="-9" w:right="160" w:firstLine="9"/>
        <w:spacing w:after="0" w:line="241" w:lineRule="auto"/>
        <w:tabs>
          <w:tab w:leader="none" w:pos="1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Tenth Amended and Restated Westwood Holdings Group, Inc. Stock Incentive Plan.</w:t>
      </w:r>
    </w:p>
    <w:p>
      <w:pPr>
        <w:spacing w:after="0" w:line="311" w:lineRule="exact"/>
        <w:rPr>
          <w:rFonts w:ascii="Times New Roman" w:cs="Times New Roman" w:eastAsia="Times New Roman" w:hAnsi="Times New Roman"/>
          <w:sz w:val="14"/>
          <w:szCs w:val="14"/>
          <w:color w:val="auto"/>
        </w:rPr>
      </w:pPr>
    </w:p>
    <w:p>
      <w:pPr>
        <w:ind w:left="-9" w:right="120" w:firstLine="9"/>
        <w:spacing w:after="0" w:line="261" w:lineRule="auto"/>
        <w:tabs>
          <w:tab w:leader="none" w:pos="13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 non-binding, advisory vote on Westwood's executive compensation.</w:t>
      </w:r>
    </w:p>
    <w:p>
      <w:pPr>
        <w:spacing w:after="0" w:line="378" w:lineRule="exact"/>
        <w:rPr>
          <w:rFonts w:ascii="Times New Roman" w:cs="Times New Roman" w:eastAsia="Times New Roman" w:hAnsi="Times New Roman"/>
          <w:sz w:val="14"/>
          <w:szCs w:val="14"/>
          <w:color w:val="auto"/>
        </w:rPr>
      </w:pPr>
    </w:p>
    <w:p>
      <w:pPr>
        <w:ind w:left="-9" w:firstLine="9"/>
        <w:spacing w:after="0" w:line="241" w:lineRule="auto"/>
        <w:tabs>
          <w:tab w:leader="none" w:pos="13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Westwood’s Amended and Restated Certificate of Incorporation.</w:t>
      </w:r>
    </w:p>
    <w:p>
      <w:pPr>
        <w:spacing w:after="0" w:line="20" w:lineRule="exact"/>
        <w:rPr>
          <w:sz w:val="20"/>
          <w:szCs w:val="20"/>
          <w:color w:val="auto"/>
        </w:rPr>
      </w:pPr>
      <w:r>
        <w:rPr>
          <w:sz w:val="20"/>
          <w:szCs w:val="20"/>
          <w:color w:val="auto"/>
        </w:rPr>
        <w:br w:type="column"/>
      </w:r>
    </w:p>
    <w:p>
      <w:pPr>
        <w:spacing w:after="0"/>
        <w:tabs>
          <w:tab w:leader="none" w:pos="640" w:val="left"/>
          <w:tab w:leader="none" w:pos="150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4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464" w:lineRule="exact"/>
        <w:rPr>
          <w:sz w:val="20"/>
          <w:szCs w:val="20"/>
          <w:color w:val="auto"/>
        </w:rPr>
      </w:pPr>
    </w:p>
    <w:p>
      <w:pPr>
        <w:sectPr>
          <w:pgSz w:w="11900" w:h="16838" w:orient="portrait"/>
          <w:cols w:equalWidth="0" w:num="3">
            <w:col w:w="4320" w:space="289"/>
            <w:col w:w="2551" w:space="400"/>
            <w:col w:w="3620"/>
          </w:cols>
          <w:pgMar w:left="340" w:top="1407" w:right="379" w:bottom="1440" w:gutter="0" w:footer="0" w:header="0"/>
          <w:type w:val="continuous"/>
        </w:sectPr>
      </w:pPr>
    </w:p>
    <w:p>
      <w:pPr>
        <w:spacing w:after="0" w:line="38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IN THEIR DISCRETION, THE PROXIES ARE AUTHORIZED TO VOTE UPON</w:t>
      </w:r>
    </w:p>
    <w:p>
      <w:pPr>
        <w:ind w:left="4600"/>
        <w:spacing w:after="0" w:line="226" w:lineRule="auto"/>
        <w:rPr>
          <w:sz w:val="20"/>
          <w:szCs w:val="20"/>
          <w:color w:val="auto"/>
        </w:rPr>
      </w:pPr>
      <w:r>
        <w:rPr>
          <w:rFonts w:ascii="Times New Roman" w:cs="Times New Roman" w:eastAsia="Times New Roman" w:hAnsi="Times New Roman"/>
          <w:sz w:val="14"/>
          <w:szCs w:val="14"/>
          <w:color w:val="auto"/>
        </w:rPr>
        <w:t>SUCH OTHER MATTERS AS MAY PROPERLY COME BEFORE THE ANNUAL</w:t>
      </w:r>
    </w:p>
    <w:p>
      <w:pPr>
        <w:ind w:left="4600"/>
        <w:spacing w:after="0"/>
        <w:rPr>
          <w:sz w:val="20"/>
          <w:szCs w:val="20"/>
          <w:color w:val="auto"/>
        </w:rPr>
      </w:pPr>
      <w:r>
        <w:rPr>
          <w:rFonts w:ascii="Times New Roman" w:cs="Times New Roman" w:eastAsia="Times New Roman" w:hAnsi="Times New Roman"/>
          <w:sz w:val="14"/>
          <w:szCs w:val="14"/>
          <w:color w:val="auto"/>
        </w:rPr>
        <w:t>MEETING OR ANY POSTPONEMENTS OR ADJOURNMENTS THEREOF.</w:t>
      </w:r>
    </w:p>
    <w:p>
      <w:pPr>
        <w:spacing w:after="0" w:line="3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THIS PROXY, WHEN PROPERLY EXECUTED, WILL BE VOTED IN ACCORDANCE</w:t>
      </w:r>
    </w:p>
    <w:p>
      <w:pPr>
        <w:ind w:left="4600"/>
        <w:spacing w:after="0" w:line="197" w:lineRule="auto"/>
        <w:rPr>
          <w:sz w:val="20"/>
          <w:szCs w:val="20"/>
          <w:color w:val="auto"/>
        </w:rPr>
      </w:pPr>
      <w:r>
        <w:rPr>
          <w:rFonts w:ascii="Times New Roman" w:cs="Times New Roman" w:eastAsia="Times New Roman" w:hAnsi="Times New Roman"/>
          <w:sz w:val="13"/>
          <w:szCs w:val="13"/>
          <w:b w:val="1"/>
          <w:bCs w:val="1"/>
          <w:color w:val="auto"/>
        </w:rPr>
        <w:t>WITH THE SPECIFICATIONS MADE BELOW, BUT IF NO CHOICE IS INDICATED,</w:t>
      </w:r>
    </w:p>
    <w:p>
      <w:pPr>
        <w:ind w:left="4600"/>
        <w:spacing w:after="0" w:line="195" w:lineRule="auto"/>
        <w:rPr>
          <w:sz w:val="20"/>
          <w:szCs w:val="20"/>
          <w:color w:val="auto"/>
        </w:rPr>
      </w:pPr>
      <w:r>
        <w:rPr>
          <w:rFonts w:ascii="Times New Roman" w:cs="Times New Roman" w:eastAsia="Times New Roman" w:hAnsi="Times New Roman"/>
          <w:sz w:val="13"/>
          <w:szCs w:val="13"/>
          <w:b w:val="1"/>
          <w:bCs w:val="1"/>
          <w:color w:val="auto"/>
        </w:rPr>
        <w:t>THIS PROXY WILL BE VOTED "FOR" ALL DIRECTOR NOMINEES IN PROPOSAL 1</w:t>
      </w:r>
    </w:p>
    <w:p>
      <w:pPr>
        <w:ind w:left="4600"/>
        <w:spacing w:after="0" w:line="217" w:lineRule="auto"/>
        <w:rPr>
          <w:sz w:val="20"/>
          <w:szCs w:val="20"/>
          <w:color w:val="auto"/>
        </w:rPr>
      </w:pPr>
      <w:r>
        <w:rPr>
          <w:rFonts w:ascii="Times New Roman" w:cs="Times New Roman" w:eastAsia="Times New Roman" w:hAnsi="Times New Roman"/>
          <w:sz w:val="13"/>
          <w:szCs w:val="13"/>
          <w:b w:val="1"/>
          <w:bCs w:val="1"/>
          <w:color w:val="auto"/>
        </w:rPr>
        <w:t>AND "FOR" PROPOSALS 2, 3, 4 AND 5, AND IN THE DISCRETION OF THE PROXIES</w:t>
      </w:r>
    </w:p>
    <w:p>
      <w:pPr>
        <w:ind w:left="4600"/>
        <w:spacing w:after="0" w:line="195" w:lineRule="auto"/>
        <w:rPr>
          <w:sz w:val="20"/>
          <w:szCs w:val="20"/>
          <w:color w:val="auto"/>
        </w:rPr>
      </w:pPr>
      <w:r>
        <w:rPr>
          <w:rFonts w:ascii="Times New Roman" w:cs="Times New Roman" w:eastAsia="Times New Roman" w:hAnsi="Times New Roman"/>
          <w:sz w:val="13"/>
          <w:szCs w:val="13"/>
          <w:b w:val="1"/>
          <w:bCs w:val="1"/>
          <w:color w:val="auto"/>
        </w:rPr>
        <w:t>WITH RESPECT TO ANY OTHER MATTER AS MAY PROPERLY COME BEFORE THE</w:t>
      </w:r>
    </w:p>
    <w:p>
      <w:pPr>
        <w:ind w:left="4600"/>
        <w:spacing w:after="0"/>
        <w:rPr>
          <w:sz w:val="20"/>
          <w:szCs w:val="20"/>
          <w:color w:val="auto"/>
        </w:rPr>
      </w:pPr>
      <w:r>
        <w:rPr>
          <w:rFonts w:ascii="Times New Roman" w:cs="Times New Roman" w:eastAsia="Times New Roman" w:hAnsi="Times New Roman"/>
          <w:sz w:val="13"/>
          <w:szCs w:val="13"/>
          <w:b w:val="1"/>
          <w:bCs w:val="1"/>
          <w:color w:val="auto"/>
        </w:rPr>
        <w:t>ANNUAL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361950</wp:posOffset>
            </wp:positionV>
            <wp:extent cx="579501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13716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Stockholder</w:t>
            </w:r>
          </w:p>
        </w:tc>
        <w:tc>
          <w:tcPr>
            <w:tcW w:w="1640" w:type="dxa"/>
            <w:vAlign w:val="bottom"/>
            <w:tcBorders>
              <w:top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Borders>
              <w:top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20" w:type="dxa"/>
            <w:vAlign w:val="bottom"/>
            <w:tcBorders>
              <w:top w:val="single" w:sz="8" w:color="auto"/>
              <w:right w:val="single" w:sz="8" w:color="auto"/>
            </w:tcBorders>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47"/>
        </w:trPr>
        <w:tc>
          <w:tcPr>
            <w:tcW w:w="188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n</w:t>
            </w:r>
          </w:p>
        </w:tc>
        <w:tc>
          <w:tcPr>
            <w:tcW w:w="7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w:t>
            </w:r>
          </w:p>
        </w:tc>
        <w:tc>
          <w:tcPr>
            <w:tcW w:w="0" w:type="dxa"/>
            <w:vAlign w:val="bottom"/>
          </w:tcPr>
          <w:p>
            <w:pPr>
              <w:spacing w:after="0"/>
              <w:rPr>
                <w:sz w:val="1"/>
                <w:szCs w:val="1"/>
                <w:color w:val="auto"/>
              </w:rPr>
            </w:pPr>
          </w:p>
        </w:tc>
      </w:tr>
      <w:tr>
        <w:trPr>
          <w:trHeight w:val="151"/>
        </w:trPr>
        <w:tc>
          <w:tcPr>
            <w:tcW w:w="1880" w:type="dxa"/>
            <w:vAlign w:val="bottom"/>
            <w:vMerge w:val="continue"/>
          </w:tcPr>
          <w:p>
            <w:pPr>
              <w:spacing w:after="0"/>
              <w:rPr>
                <w:sz w:val="13"/>
                <w:szCs w:val="13"/>
                <w:color w:val="auto"/>
              </w:rPr>
            </w:pPr>
          </w:p>
        </w:tc>
        <w:tc>
          <w:tcPr>
            <w:tcW w:w="7880" w:type="dxa"/>
            <w:vAlign w:val="bottom"/>
            <w:gridSpan w:val="6"/>
          </w:tcPr>
          <w:p>
            <w:pPr>
              <w:spacing w:after="0" w:line="151" w:lineRule="exact"/>
              <w:rPr>
                <w:sz w:val="20"/>
                <w:szCs w:val="20"/>
                <w:color w:val="auto"/>
              </w:rPr>
            </w:pPr>
            <w:r>
              <w:rPr>
                <w:rFonts w:ascii="Times New Roman" w:cs="Times New Roman" w:eastAsia="Times New Roman" w:hAnsi="Times New Roman"/>
                <w:sz w:val="14"/>
                <w:szCs w:val="14"/>
                <w:color w:val="auto"/>
              </w:rPr>
              <w:t>executor, administrator, attorney, trustee or guardian, please give full title as such. If the signer is a corporation, please sign full</w:t>
            </w:r>
          </w:p>
        </w:tc>
        <w:tc>
          <w:tcPr>
            <w:tcW w:w="0" w:type="dxa"/>
            <w:vAlign w:val="bottom"/>
          </w:tcPr>
          <w:p>
            <w:pPr>
              <w:spacing w:after="0"/>
              <w:rPr>
                <w:sz w:val="1"/>
                <w:szCs w:val="1"/>
                <w:color w:val="auto"/>
              </w:rPr>
            </w:pPr>
          </w:p>
        </w:tc>
      </w:tr>
      <w:tr>
        <w:trPr>
          <w:trHeight w:val="133"/>
        </w:trPr>
        <w:tc>
          <w:tcPr>
            <w:tcW w:w="18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80" w:type="dxa"/>
            <w:vAlign w:val="bottom"/>
            <w:gridSpan w:val="6"/>
          </w:tcPr>
          <w:p>
            <w:pPr>
              <w:spacing w:after="0" w:line="133" w:lineRule="exact"/>
              <w:rPr>
                <w:sz w:val="20"/>
                <w:szCs w:val="20"/>
                <w:color w:val="auto"/>
              </w:rPr>
            </w:pPr>
            <w:r>
              <w:rPr>
                <w:rFonts w:ascii="Times New Roman" w:cs="Times New Roman" w:eastAsia="Times New Roman" w:hAnsi="Times New Roman"/>
                <w:sz w:val="14"/>
                <w:szCs w:val="14"/>
                <w:color w:val="auto"/>
              </w:rPr>
              <w:t>corporate name by duly authorized officer, giving full title as such. If signer is a partnership, please sign in partnership name by</w:t>
            </w:r>
          </w:p>
        </w:tc>
        <w:tc>
          <w:tcPr>
            <w:tcW w:w="0" w:type="dxa"/>
            <w:vAlign w:val="bottom"/>
          </w:tcPr>
          <w:p>
            <w:pPr>
              <w:spacing w:after="0"/>
              <w:rPr>
                <w:sz w:val="1"/>
                <w:szCs w:val="1"/>
                <w:color w:val="auto"/>
              </w:rPr>
            </w:pPr>
          </w:p>
        </w:tc>
      </w:tr>
      <w:tr>
        <w:trPr>
          <w:trHeight w:val="188"/>
        </w:trPr>
        <w:tc>
          <w:tcPr>
            <w:tcW w:w="1880" w:type="dxa"/>
            <w:vAlign w:val="bottom"/>
            <w:vMerge w:val="continue"/>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authorized person.</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n</w:t>
      </w:r>
    </w:p>
    <w:sectPr>
      <w:pgSz w:w="11900" w:h="16838" w:orient="portrait"/>
      <w:cols w:equalWidth="0" w:num="2">
        <w:col w:w="10340" w:space="720"/>
        <w:col w:w="120"/>
      </w:cols>
      <w:pgMar w:left="340" w:top="140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x"/>
      <w:numFmt w:val="bullet"/>
      <w:start w:val="1"/>
    </w:lvl>
  </w:abstractNum>
  <w:abstractNum w:abstractNumId="3">
    <w:nsid w:val="180115BE"/>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4">
    <w:nsid w:val="235BA861"/>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5">
    <w:nsid w:val="47398C89"/>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
    <w:nsid w:val="354FE9F9"/>
    <w:multiLevelType w:val="hybridMultilevel"/>
    <w:lvl w:ilvl="0">
      <w:lvlJc w:val="left"/>
      <w:lvlText w:val="%1:"/>
      <w:numFmt w:val="upperLetter"/>
      <w:start w:val="17"/>
    </w:lvl>
  </w:abstractNum>
  <w:abstractNum w:abstractNumId="7">
    <w:nsid w:val="15B5AF5C"/>
    <w:multiLevelType w:val="hybridMultilevel"/>
    <w:lvl w:ilvl="0">
      <w:lvlJc w:val="left"/>
      <w:lvlText w:val="%1:"/>
      <w:numFmt w:val="upperLetter"/>
      <w:start w:val="1"/>
    </w:lvl>
  </w:abstractNum>
  <w:abstractNum w:abstractNumId="8">
    <w:nsid w:val="741226BB"/>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9">
    <w:nsid w:val="D34B6A8"/>
    <w:multiLevelType w:val="hybridMultilevel"/>
    <w:lvl w:ilvl="0">
      <w:lvlJc w:val="left"/>
      <w:lvlText w:val="%1:"/>
      <w:numFmt w:val="upperLetter"/>
      <w:start w:val="17"/>
    </w:lvl>
  </w:abstractNum>
  <w:abstractNum w:abstractNumId="10">
    <w:nsid w:val="10233C99"/>
    <w:multiLevelType w:val="hybridMultilevel"/>
    <w:lvl w:ilvl="0">
      <w:lvlJc w:val="left"/>
      <w:lvlText w:val="%1:"/>
      <w:numFmt w:val="upperLetter"/>
      <w:start w:val="1"/>
    </w:lvl>
  </w:abstractNum>
  <w:abstractNum w:abstractNumId="11">
    <w:nsid w:val="3F6AB60F"/>
    <w:multiLevelType w:val="hybridMultilevel"/>
    <w:lvl w:ilvl="0">
      <w:lvlJc w:val="left"/>
      <w:lvlText w:val="%1:"/>
      <w:numFmt w:val="upperLetter"/>
      <w:start w:val="17"/>
    </w:lvl>
  </w:abstractNum>
  <w:abstractNum w:abstractNumId="12">
    <w:nsid w:val="61574095"/>
    <w:multiLevelType w:val="hybridMultilevel"/>
    <w:lvl w:ilvl="0">
      <w:lvlJc w:val="left"/>
      <w:lvlText w:val="%1:"/>
      <w:numFmt w:val="upperLetter"/>
      <w:start w:val="1"/>
    </w:lvl>
  </w:abstractNum>
  <w:abstractNum w:abstractNumId="13">
    <w:nsid w:val="7E0C57B1"/>
    <w:multiLevelType w:val="hybridMultilevel"/>
    <w:lvl w:ilvl="0">
      <w:lvlJc w:val="left"/>
      <w:lvlText w:val="%1:"/>
      <w:numFmt w:val="upperLetter"/>
      <w:start w:val="17"/>
    </w:lvl>
  </w:abstractNum>
  <w:abstractNum w:abstractNumId="14">
    <w:nsid w:val="77AE35EB"/>
    <w:multiLevelType w:val="hybridMultilevel"/>
    <w:lvl w:ilvl="0">
      <w:lvlJc w:val="left"/>
      <w:lvlText w:val="%1:"/>
      <w:numFmt w:val="upperLetter"/>
      <w:start w:val="1"/>
    </w:lvl>
  </w:abstractNum>
  <w:abstractNum w:abstractNumId="15">
    <w:nsid w:val="579BE4F1"/>
    <w:multiLevelType w:val="hybridMultilevel"/>
    <w:lvl w:ilvl="0">
      <w:lvlJc w:val="left"/>
      <w:lvlText w:val="%1:"/>
      <w:numFmt w:val="upperLetter"/>
      <w:start w:val="17"/>
    </w:lvl>
  </w:abstractNum>
  <w:abstractNum w:abstractNumId="16">
    <w:nsid w:val="310C50B3"/>
    <w:multiLevelType w:val="hybridMultilevel"/>
    <w:lvl w:ilvl="0">
      <w:lvlJc w:val="left"/>
      <w:lvlText w:val="%1:"/>
      <w:numFmt w:val="upperLetter"/>
      <w:start w:val="1"/>
    </w:lvl>
  </w:abstractNum>
  <w:abstractNum w:abstractNumId="17">
    <w:nsid w:val="5FF87E05"/>
    <w:multiLevelType w:val="hybridMultilevel"/>
    <w:lvl w:ilvl="0">
      <w:lvlJc w:val="left"/>
      <w:lvlText w:val="%1:"/>
      <w:numFmt w:val="upperLetter"/>
      <w:start w:val="17"/>
    </w:lvl>
  </w:abstractNum>
  <w:abstractNum w:abstractNumId="18">
    <w:nsid w:val="2F305DEF"/>
    <w:multiLevelType w:val="hybridMultilevel"/>
    <w:lvl w:ilvl="0">
      <w:lvlJc w:val="left"/>
      <w:lvlText w:val="%1:"/>
      <w:numFmt w:val="upperLetter"/>
      <w:start w:val="1"/>
    </w:lvl>
  </w:abstractNum>
  <w:abstractNum w:abstractNumId="19">
    <w:nsid w:val="25A70BF7"/>
    <w:multiLevelType w:val="hybridMultilevel"/>
    <w:lvl w:ilvl="0">
      <w:lvlJc w:val="left"/>
      <w:lvlText w:val="%1:"/>
      <w:numFmt w:val="upperLetter"/>
      <w:start w:val="17"/>
    </w:lvl>
  </w:abstractNum>
  <w:abstractNum w:abstractNumId="20">
    <w:nsid w:val="1DBABF00"/>
    <w:multiLevelType w:val="hybridMultilevel"/>
    <w:lvl w:ilvl="0">
      <w:lvlJc w:val="left"/>
      <w:lvlText w:val="%1:"/>
      <w:numFmt w:val="upperLetter"/>
      <w:start w:val="1"/>
    </w:lvl>
  </w:abstractNum>
  <w:abstractNum w:abstractNumId="21">
    <w:nsid w:val="4AD084E9"/>
    <w:multiLevelType w:val="hybridMultilevel"/>
    <w:lvl w:ilvl="0">
      <w:lvlJc w:val="left"/>
      <w:lvlText w:val="%1:"/>
      <w:numFmt w:val="upperLetter"/>
      <w:start w:val="17"/>
    </w:lvl>
  </w:abstractNum>
  <w:abstractNum w:abstractNumId="22">
    <w:nsid w:val="1F48EAA1"/>
    <w:multiLevelType w:val="hybridMultilevel"/>
    <w:lvl w:ilvl="0">
      <w:lvlJc w:val="left"/>
      <w:lvlText w:val="%1:"/>
      <w:numFmt w:val="upperLetter"/>
      <w:start w:val="1"/>
    </w:lvl>
  </w:abstractNum>
  <w:abstractNum w:abstractNumId="23">
    <w:nsid w:val="1381823A"/>
    <w:multiLevelType w:val="hybridMultilevel"/>
    <w:lvl w:ilvl="0">
      <w:lvlJc w:val="left"/>
      <w:lvlText w:val="%1:"/>
      <w:numFmt w:val="upperLetter"/>
      <w:start w:val="17"/>
    </w:lvl>
  </w:abstractNum>
  <w:abstractNum w:abstractNumId="24">
    <w:nsid w:val="5DB70AE5"/>
    <w:multiLevelType w:val="hybridMultilevel"/>
    <w:lvl w:ilvl="0">
      <w:lvlJc w:val="left"/>
      <w:lvlText w:val="%1:"/>
      <w:numFmt w:val="upperLetter"/>
      <w:start w:val="1"/>
    </w:lvl>
  </w:abstractNum>
  <w:abstractNum w:abstractNumId="25">
    <w:nsid w:val="100F8FCA"/>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26">
    <w:nsid w:val="6590700B"/>
    <w:multiLevelType w:val="hybridMultilevel"/>
    <w:lvl w:ilvl="0">
      <w:lvlJc w:val="left"/>
      <w:lvlText w:val="%1"/>
      <w:numFmt w:val="upperLetter"/>
      <w:start w:val="1"/>
    </w:lvl>
    <w:lvl w:ilvl="1">
      <w:lvlJc w:val="left"/>
      <w:lvlText w:val="%2:"/>
      <w:numFmt w:val="upperLetter"/>
      <w:start w:val="17"/>
    </w:lvl>
  </w:abstractNum>
  <w:abstractNum w:abstractNumId="27">
    <w:nsid w:val="15014ACB"/>
    <w:multiLevelType w:val="hybridMultilevel"/>
    <w:lvl w:ilvl="0">
      <w:lvlJc w:val="left"/>
      <w:lvlText w:val="%1:"/>
      <w:numFmt w:val="upperLetter"/>
      <w:start w:val="1"/>
    </w:lvl>
    <w:lvl w:ilvl="1">
      <w:lvlJc w:val="left"/>
      <w:lvlText w:val="%2"/>
      <w:numFmt w:val="upperLetter"/>
      <w:start w:val="1"/>
    </w:lvl>
  </w:abstractNum>
  <w:abstractNum w:abstractNumId="28">
    <w:nsid w:val="5F5E7FD0"/>
    <w:multiLevelType w:val="hybridMultilevel"/>
    <w:lvl w:ilvl="0">
      <w:lvlJc w:val="left"/>
      <w:lvlText w:val="%1:"/>
      <w:numFmt w:val="upperLetter"/>
      <w:start w:val="17"/>
    </w:lvl>
  </w:abstractNum>
  <w:abstractNum w:abstractNumId="29">
    <w:nsid w:val="98A3148"/>
    <w:multiLevelType w:val="hybridMultilevel"/>
    <w:lvl w:ilvl="0">
      <w:lvlJc w:val="left"/>
      <w:lvlText w:val="%1:"/>
      <w:numFmt w:val="upperLetter"/>
      <w:start w:val="1"/>
    </w:lvl>
  </w:abstractNum>
  <w:abstractNum w:abstractNumId="30">
    <w:nsid w:val="799D0247"/>
    <w:multiLevelType w:val="hybridMultilevel"/>
    <w:lvl w:ilvl="0">
      <w:lvlJc w:val="left"/>
      <w:lvlText w:val="%1:"/>
      <w:numFmt w:val="upperLetter"/>
      <w:start w:val="17"/>
    </w:lvl>
  </w:abstractNum>
  <w:abstractNum w:abstractNumId="31">
    <w:nsid w:val="6B94764"/>
    <w:multiLevelType w:val="hybridMultilevel"/>
    <w:lvl w:ilvl="0">
      <w:lvlJc w:val="left"/>
      <w:lvlText w:val="%1:"/>
      <w:numFmt w:val="upperLetter"/>
      <w:start w:val="1"/>
    </w:lvl>
  </w:abstractNum>
  <w:abstractNum w:abstractNumId="32">
    <w:nsid w:val="42C296BD"/>
    <w:multiLevelType w:val="hybridMultilevel"/>
    <w:lvl w:ilvl="0">
      <w:lvlJc w:val="left"/>
      <w:lvlText w:val="%1:"/>
      <w:numFmt w:val="upperLetter"/>
      <w:start w:val="17"/>
    </w:lvl>
  </w:abstractNum>
  <w:abstractNum w:abstractNumId="33">
    <w:nsid w:val="168E121F"/>
    <w:multiLevelType w:val="hybridMultilevel"/>
    <w:lvl w:ilvl="0">
      <w:lvlJc w:val="left"/>
      <w:lvlText w:val="%1:"/>
      <w:numFmt w:val="upperLetter"/>
      <w:start w:val="1"/>
    </w:lvl>
  </w:abstractNum>
  <w:abstractNum w:abstractNumId="34">
    <w:nsid w:val="1EBA5D23"/>
    <w:multiLevelType w:val="hybridMultilevel"/>
    <w:lvl w:ilvl="0">
      <w:lvlJc w:val="left"/>
      <w:lvlText w:val="%1:"/>
      <w:numFmt w:val="upperLetter"/>
      <w:start w:val="17"/>
    </w:lvl>
  </w:abstractNum>
  <w:abstractNum w:abstractNumId="35">
    <w:nsid w:val="661E3F1E"/>
    <w:multiLevelType w:val="hybridMultilevel"/>
    <w:lvl w:ilvl="0">
      <w:lvlJc w:val="left"/>
      <w:lvlText w:val="%1:"/>
      <w:numFmt w:val="upperLetter"/>
      <w:start w:val="1"/>
    </w:lvl>
  </w:abstractNum>
  <w:abstractNum w:abstractNumId="36">
    <w:nsid w:val="5DC79EA8"/>
    <w:multiLevelType w:val="hybridMultilevel"/>
    <w:lvl w:ilvl="0">
      <w:lvlJc w:val="left"/>
      <w:lvlText w:val="M"/>
      <w:numFmt w:val="bullet"/>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3"/>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2"/>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lowerRoman"/>
      <w:start w:val="2"/>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71">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72">
    <w:nsid w:val="39EE01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73">
    <w:nsid w:val="57FC4FBB"/>
    <w:multiLevelType w:val="hybridMultilevel"/>
    <w:lvl w:ilvl="0">
      <w:lvlJc w:val="left"/>
      <w:lvlText w:val="%1."/>
      <w:numFmt w:val="lowerLetter"/>
      <w:start w:val="10"/>
    </w:lvl>
    <w:lvl w:ilvl="1">
      <w:lvlJc w:val="left"/>
      <w:lvlText w:val="%2."/>
      <w:numFmt w:val="lowerRoman"/>
      <w:start w:val="1"/>
    </w:lvl>
  </w:abstractNum>
  <w:abstractNum w:abstractNumId="74">
    <w:nsid w:val="CC1016F"/>
    <w:multiLevelType w:val="hybridMultilevel"/>
    <w:lvl w:ilvl="0">
      <w:lvlJc w:val="left"/>
      <w:lvlText w:val="%1."/>
      <w:numFmt w:val="lowerLetter"/>
      <w:start w:val="25"/>
    </w:lvl>
  </w:abstractNum>
  <w:abstractNum w:abstractNumId="75">
    <w:nsid w:val="43F18422"/>
    <w:multiLevelType w:val="hybridMultilevel"/>
    <w:lvl w:ilvl="0">
      <w:lvlJc w:val="left"/>
      <w:lvlText w:val="(%1)"/>
      <w:numFmt w:val="decimal"/>
      <w:start w:val="90"/>
    </w:lvl>
  </w:abstractNum>
  <w:abstractNum w:abstractNumId="76">
    <w:nsid w:val="60EF011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7">
    <w:nsid w:val="26F324B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8">
    <w:nsid w:val="7F0157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79">
    <w:nsid w:val="49DA307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0">
    <w:nsid w:val="7055A5F5"/>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81">
    <w:nsid w:val="5FB837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2">
    <w:nsid w:val="50801EE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3">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4">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5">
    <w:nsid w:val="6AA78F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6">
    <w:nsid w:val="7672BD2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87">
    <w:nsid w:val="6FC75AF8"/>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8">
    <w:nsid w:val="6A5F7029"/>
    <w:multiLevelType w:val="hybridMultilevel"/>
    <w:lvl w:ilvl="0">
      <w:lvlJc w:val="left"/>
      <w:lvlText w:val="%1."/>
      <w:numFmt w:val="lowerLetter"/>
      <w:start w:val="4"/>
    </w:lvl>
  </w:abstractNum>
  <w:abstractNum w:abstractNumId="89">
    <w:nsid w:val="7D5E18F8"/>
    <w:multiLevelType w:val="hybridMultilevel"/>
    <w:lvl w:ilvl="0">
      <w:lvlJc w:val="left"/>
      <w:lvlText w:val="%1."/>
      <w:numFmt w:val="decimal"/>
      <w:start w:val="8"/>
    </w:lvl>
  </w:abstractNum>
  <w:abstractNum w:abstractNumId="90">
    <w:nsid w:val="5F3534A4"/>
    <w:multiLevelType w:val="hybridMultilevel"/>
    <w:lvl w:ilvl="0">
      <w:lvlJc w:val="left"/>
      <w:lvlText w:val="(%1)"/>
      <w:numFmt w:val="lowerLetter"/>
      <w:start w:val="2"/>
    </w:lvl>
  </w:abstractNum>
  <w:abstractNum w:abstractNumId="91">
    <w:nsid w:val="73A1821B"/>
    <w:multiLevelType w:val="hybridMultilevel"/>
    <w:lvl w:ilvl="0">
      <w:lvlJc w:val="left"/>
      <w:lvlText w:val="%1."/>
      <w:numFmt w:val="decimal"/>
      <w:start w:val="9"/>
    </w:lvl>
    <w:lvl w:ilvl="1">
      <w:lvlJc w:val="left"/>
      <w:lvlText w:val="%2."/>
      <w:numFmt w:val="decimal"/>
      <w:start w:val="1"/>
    </w:lvl>
  </w:abstractNum>
  <w:abstractNum w:abstractNumId="92">
    <w:nsid w:val="7DE67713"/>
    <w:multiLevelType w:val="hybridMultilevel"/>
    <w:lvl w:ilvl="0">
      <w:lvlJc w:val="left"/>
      <w:lvlText w:val="%1"/>
      <w:numFmt w:val="decimal"/>
      <w:start w:val="1"/>
    </w:lvl>
    <w:lvl w:ilvl="1">
      <w:lvlJc w:val="left"/>
      <w:lvlText w:val="%2."/>
      <w:numFmt w:val="decimal"/>
      <w:start w:val="4"/>
    </w:lvl>
  </w:abstractNum>
  <w:abstractNum w:abstractNumId="93">
    <w:nsid w:val="555C55B5"/>
    <w:multiLevelType w:val="hybridMultilevel"/>
    <w:lvl w:ilvl="0">
      <w:lvlJc w:val="left"/>
      <w:lvlText w:val="%1."/>
      <w:numFmt w:val="decimal"/>
      <w:start w:val="10"/>
    </w:lvl>
    <w:lvl w:ilvl="1">
      <w:lvlJc w:val="left"/>
      <w:lvlText w:val="%2"/>
      <w:numFmt w:val="decimal"/>
      <w:start w:val="1"/>
    </w:lvl>
  </w:abstractNum>
  <w:abstractNum w:abstractNumId="94">
    <w:nsid w:val="3FA62ACA"/>
    <w:multiLevelType w:val="hybridMultilevel"/>
    <w:lvl w:ilvl="0">
      <w:lvlJc w:val="left"/>
      <w:lvlText w:val="%1."/>
      <w:numFmt w:val="decimal"/>
      <w:start w:val="1"/>
    </w:lvl>
  </w:abstractNum>
  <w:abstractNum w:abstractNumId="95">
    <w:nsid w:val="14FCE7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6">
    <w:nsid w:val="6A3DD3E8"/>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7">
    <w:nsid w:val="71C91298"/>
    <w:multiLevelType w:val="hybridMultilevel"/>
    <w:lvl w:ilvl="0">
      <w:lvlJc w:val="left"/>
      <w:lvlText w:val="%1."/>
      <w:numFmt w:val="decimal"/>
      <w:start w:val="2"/>
    </w:lvl>
    <w:lvl w:ilvl="1">
      <w:lvlJc w:val="left"/>
      <w:lvlText w:val="%2."/>
      <w:numFmt w:val="lowerLetter"/>
      <w:start w:val="1"/>
    </w:lvl>
  </w:abstractNum>
  <w:abstractNum w:abstractNumId="98">
    <w:nsid w:val="9DAF632"/>
    <w:multiLevelType w:val="hybridMultilevel"/>
    <w:lvl w:ilvl="0">
      <w:lvlJc w:val="left"/>
      <w:lvlText w:val="%1"/>
      <w:numFmt w:val="decimal"/>
      <w:start w:val="1"/>
    </w:lvl>
    <w:lvl w:ilvl="1">
      <w:lvlJc w:val="left"/>
      <w:lvlText w:val="%2."/>
      <w:numFmt w:val="decimal"/>
      <w:start w:val="3"/>
    </w:lvl>
  </w:abstractNum>
  <w:abstractNum w:abstractNumId="99">
    <w:nsid w:val="53299938"/>
    <w:multiLevelType w:val="hybridMultilevel"/>
    <w:lvl w:ilvl="0">
      <w:lvlJc w:val="left"/>
      <w:lvlText w:val="%1."/>
      <w:numFmt w:val="decimal"/>
      <w:start w:val="13"/>
    </w:lvl>
    <w:lvl w:ilvl="1">
      <w:lvlJc w:val="left"/>
      <w:lvlText w:val="%2."/>
      <w:numFmt w:val="decimal"/>
      <w:start w:val="1"/>
    </w:lvl>
  </w:abstractNum>
  <w:abstractNum w:abstractNumId="100">
    <w:nsid w:val="1FBFE8E0"/>
    <w:multiLevelType w:val="hybridMultilevel"/>
    <w:lvl w:ilvl="0">
      <w:lvlJc w:val="left"/>
      <w:lvlText w:val="%1."/>
      <w:numFmt w:val="decimal"/>
      <w:start w:val="14"/>
    </w:lvl>
  </w:abstractNum>
  <w:abstractNum w:abstractNumId="101">
    <w:nsid w:val="5092CA79"/>
    <w:multiLevelType w:val="hybridMultilevel"/>
    <w:lvl w:ilvl="0">
      <w:lvlJc w:val="left"/>
      <w:lvlText w:val="%1."/>
      <w:numFmt w:val="decimal"/>
      <w:start w:val="15"/>
    </w:lvl>
  </w:abstractNum>
  <w:abstractNum w:abstractNumId="102">
    <w:nsid w:val="1D545C4D"/>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03">
    <w:nsid w:val="59ADEA3D"/>
    <w:multiLevelType w:val="hybridMultilevel"/>
    <w:lvl w:ilvl="0">
      <w:lvlJc w:val="left"/>
      <w:lvlText w:val="%1"/>
      <w:numFmt w:val="decimal"/>
      <w:start w:val="1"/>
    </w:lvl>
    <w:lvl w:ilvl="1">
      <w:lvlJc w:val="left"/>
      <w:lvlText w:val="%2."/>
      <w:numFmt w:val="decimal"/>
      <w:start w:val="2"/>
    </w:lvl>
  </w:abstractNum>
  <w:abstractNum w:abstractNumId="104">
    <w:nsid w:val="288F1A34"/>
    <w:multiLevelType w:val="hybridMultilevel"/>
    <w:lvl w:ilvl="0">
      <w:lvlJc w:val="left"/>
      <w:lvlText w:val="%1."/>
      <w:numFmt w:val="decimal"/>
      <w:start w:val="18"/>
    </w:lvl>
    <w:lvl w:ilvl="1">
      <w:lvlJc w:val="left"/>
      <w:lvlText w:val="%2"/>
      <w:numFmt w:val="decimal"/>
      <w:start w:val="1"/>
    </w:lvl>
  </w:abstractNum>
  <w:abstractNum w:abstractNumId="105">
    <w:nsid w:val="2A155DBC"/>
    <w:multiLevelType w:val="hybridMultilevel"/>
    <w:lvl w:ilvl="0">
      <w:lvlJc w:val="left"/>
      <w:lvlText w:val="%1."/>
      <w:numFmt w:val="decimal"/>
      <w:start w:val="19"/>
    </w:lvl>
  </w:abstractNum>
  <w:abstractNum w:abstractNumId="106">
    <w:nsid w:val="1D9F6E5F"/>
    <w:multiLevelType w:val="hybridMultilevel"/>
    <w:lvl w:ilvl="0">
      <w:lvlJc w:val="left"/>
      <w:lvlText w:val="%1."/>
      <w:numFmt w:val="decimal"/>
      <w:start w:val="20"/>
    </w:lvl>
  </w:abstractNum>
  <w:abstractNum w:abstractNumId="107">
    <w:nsid w:val="97E1B4E"/>
    <w:multiLevelType w:val="hybridMultilevel"/>
    <w:lvl w:ilvl="0">
      <w:lvlJc w:val="left"/>
      <w:lvlText w:val="%1."/>
      <w:numFmt w:val="decimal"/>
      <w:start w:val="21"/>
    </w:lvl>
  </w:abstractNum>
  <w:abstractNum w:abstractNumId="108">
    <w:nsid w:val="51088277"/>
    <w:multiLevelType w:val="hybridMultilevel"/>
    <w:lvl w:ilvl="0">
      <w:lvlJc w:val="left"/>
      <w:lvlText w:val="%1."/>
      <w:numFmt w:val="decimal"/>
      <w:start w:val="22"/>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2024-03-15T16:42:32Z</dcterms:created>
  <dcterms:modified xsi:type="dcterms:W3CDTF">2024-03-15T16:42:32Z</dcterms:modified>
</cp:coreProperties>
</file>