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pPr>
      <w:r>
        <w:rPr>
          <w:color w:val="000000"/>
        </w:rPr>
        <w:t> </w:t>
      </w: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November 5,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WESTWOOD HOLDINGS GROUP,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______________________________________________________________________________________________________</w:t>
      </w:r>
    </w:p>
    <w:p>
      <w:pPr>
        <w:pStyle w:val="TextBody"/>
        <w:bidi w:val="0"/>
        <w:spacing w:before="0" w:after="0"/>
        <w:jc w:val="left"/>
      </w:pPr>
      <w:r/>
    </w:p>
    <w:tbl>
      <w:tblPr>
        <w:tblW w:w="8092" w:type="dxa"/>
        <w:jc w:val="left"/>
        <w:tblInd w:w="0" w:type="dxa"/>
        <w:tblLayout w:type="fixed"/>
        <w:tblCellMar>
          <w:top w:w="28" w:type="dxa"/>
          <w:left w:w="28" w:type="dxa"/>
          <w:bottom w:w="28" w:type="dxa"/>
          <w:right w:w="28" w:type="dxa"/>
        </w:tblCellMar>
      </w:tblPr>
      <w:tblGrid>
        <w:gridCol w:w="812"/>
        <w:gridCol w:w="715"/>
        <w:gridCol w:w="722"/>
        <w:gridCol w:w="109"/>
        <w:gridCol w:w="109"/>
        <w:gridCol w:w="109"/>
        <w:gridCol w:w="762"/>
        <w:gridCol w:w="762"/>
        <w:gridCol w:w="770"/>
        <w:gridCol w:w="109"/>
        <w:gridCol w:w="109"/>
        <w:gridCol w:w="109"/>
        <w:gridCol w:w="845"/>
        <w:gridCol w:w="845"/>
        <w:gridCol w:w="1205"/>
      </w:tblGrid>
      <w:t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001-31234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75-2969997</w:t>
            </w:r>
          </w:p>
        </w:tc>
      </w:tr>
      <w:t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200 Crescent Court, Suite 1200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Dallas, Texas 75201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(214) 756-6900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pPr>
      <w:r/>
    </w:p>
    <w:p>
      <w:pPr>
        <w:pStyle w:val="TextBody"/>
        <w:bidi w:val="0"/>
        <w:spacing w:lineRule="auto" w:line="312" w:before="0" w:after="0"/>
        <w:jc w:val="left"/>
      </w:pPr>
      <w:r>
        <w:rPr>
          <w:color w:val="000000"/>
        </w:rPr>
        <w:t>    </w:t>
      </w: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 xml:space="preserve">see </w:t>
      </w:r>
      <w:r>
        <w:rPr>
          <w:rFonts w:ascii="Times New Roman;serif" w:hAnsi="Times New Roman;serif"/>
          <w:b w:val="false"/>
          <w:color w:val="000000"/>
          <w:sz w:val="20"/>
        </w:rPr>
        <w:t>General Instruction A.2. below):</w:t>
      </w:r>
    </w:p>
    <w:p>
      <w:pPr>
        <w:pStyle w:val="TextBody"/>
        <w:bidi w:val="0"/>
        <w:spacing w:before="0" w:after="0"/>
        <w:jc w:val="left"/>
      </w:pPr>
      <w:r/>
    </w:p>
    <w:p>
      <w:pPr>
        <w:pStyle w:val="TextBody"/>
        <w:bidi w:val="0"/>
        <w:spacing w:lineRule="auto" w:line="312" w:before="0" w:after="0"/>
        <w:jc w:val="left"/>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pPr>
      <w:r/>
    </w:p>
    <w:p>
      <w:pPr>
        <w:pStyle w:val="TextBody"/>
        <w:bidi w:val="0"/>
        <w:spacing w:lineRule="auto" w:line="312" w:before="0" w:after="0"/>
        <w:jc w:val="left"/>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pPr>
      <w:r/>
    </w:p>
    <w:p>
      <w:pPr>
        <w:pStyle w:val="TextBody"/>
        <w:bidi w:val="0"/>
        <w:spacing w:lineRule="auto" w:line="312" w:before="0" w:after="0"/>
        <w:jc w:val="left"/>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pPr>
      <w:r/>
    </w:p>
    <w:p>
      <w:pPr>
        <w:pStyle w:val="TextBody"/>
        <w:bidi w:val="0"/>
        <w:spacing w:lineRule="auto" w:line="312" w:before="0" w:after="0"/>
        <w:jc w:val="left"/>
      </w:pPr>
      <w:r>
        <w:rPr>
          <w:color w:val="000000"/>
        </w:rPr>
        <w:t>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283"/>
        <w:jc w:val="center"/>
      </w:pPr>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1252"/>
        <w:gridCol w:w="1103"/>
        <w:gridCol w:w="1109"/>
        <w:gridCol w:w="539"/>
        <w:gridCol w:w="539"/>
        <w:gridCol w:w="541"/>
        <w:gridCol w:w="1138"/>
        <w:gridCol w:w="1138"/>
        <w:gridCol w:w="1609"/>
      </w:tblGrid>
      <w:t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WHG</w:t>
            </w:r>
          </w:p>
        </w:tc>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pPr>
      <w:r/>
    </w:p>
    <w:p>
      <w:pPr>
        <w:pStyle w:val="TextBody"/>
        <w:bidi w:val="0"/>
        <w:spacing w:lineRule="auto" w:line="312"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312" w:before="180" w:after="283"/>
        <w:jc w:val="left"/>
      </w:pPr>
      <w:r>
        <w:rPr>
          <w:rFonts w:ascii="Times New Roman;serif" w:hAnsi="Times New Roman;serif"/>
          <w:b w:val="false"/>
          <w:color w:val="000000"/>
          <w:sz w:val="18"/>
        </w:rPr>
        <w:t>Emerging growth company  </w:t>
      </w:r>
      <w:r>
        <w:rPr>
          <w:color w:val="000000"/>
        </w:rPr>
        <w:t>☐</w:t>
      </w:r>
    </w:p>
    <w:p>
      <w:pPr>
        <w:pStyle w:val="TextBody"/>
        <w:bidi w:val="0"/>
        <w:spacing w:lineRule="auto" w:line="312" w:before="180" w:after="283"/>
        <w:jc w:val="left"/>
      </w:pPr>
      <w:r>
        <w:rPr>
          <w:rFonts w:ascii="Times New Roman;serif" w:hAnsi="Times New Roman;serif"/>
          <w:b w:val="false"/>
          <w:color w:val="000000"/>
          <w:sz w:val="20"/>
        </w:rPr>
        <w:t>If an emerging growth company, indicate by checkmark if the registrant has elected not to use the extended transition period for complying with any new revised financial accounting standards provided pursuant to Section 13(a) of the Exchange Act.</w:t>
      </w:r>
      <w:r>
        <w:rPr>
          <w:color w:val="000000"/>
        </w:rPr>
        <w: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ITEM 2.02:    RESULTS OF OPERATIONS AND FINANCIAL CONDITION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November 5, 2026, Westwood Holdings Group, Inc. (“Westwood”) announced its financial results for the quarter ended September 30, 2026, a copy of which is furnished with this Current Report on Form 8-K as Exhibit 99.1.</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ITEM 7.01:    REGULATION FD DISCLOSURE</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Westwood announced today that its Board of Directors has approved the payment of a quarterly cash dividend of $0.15 per common share, payable on January 4, 2027 to stockholders of record on December 1, 2026.</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ITEM 9.01:    FINANCIAL STATEMENTS AND EXHIBITS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 The following exhibit is furnished with this report: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Exhibit Number                    Description</w:t>
      </w:r>
    </w:p>
    <w:p>
      <w:pPr>
        <w:pStyle w:val="TextBody"/>
        <w:bidi w:val="0"/>
        <w:spacing w:before="0" w:after="0"/>
        <w:jc w:val="left"/>
      </w:pPr>
      <w:r/>
    </w:p>
    <w:p>
      <w:pPr>
        <w:pStyle w:val="TextBody"/>
        <w:bidi w:val="0"/>
        <w:spacing w:lineRule="auto" w:line="288" w:before="0" w:after="0"/>
        <w:ind w:left="0" w:right="0" w:hanging="1440"/>
        <w:jc w:val="left"/>
      </w:pPr>
      <w:r>
        <w:rPr>
          <w:rFonts w:ascii="Times New Roman;serif" w:hAnsi="Times New Roman;serif"/>
          <w:b w:val="false"/>
          <w:color w:val="000000"/>
          <w:sz w:val="22"/>
        </w:rPr>
        <w:t>99.1    </w:t>
      </w:r>
      <w:hyperlink w:anchor="a3q26earningsrelease.htm">
        <w:r>
          <w:rPr>
            <w:rStyle w:val="InternetLink"/>
          </w:rPr>
          <w:t xml:space="preserve">Press Release Dated </w:t>
        </w:r>
      </w:hyperlink>
      <w:hyperlink w:anchor="a3q26earningsrelease.htm">
        <w:r>
          <w:rPr>
            <w:rStyle w:val="InternetLink"/>
          </w:rPr>
          <w:t>November 5</w:t>
        </w:r>
      </w:hyperlink>
      <w:hyperlink w:anchor="a3q26earningsrelease.htm">
        <w:r>
          <w:rPr>
            <w:rStyle w:val="InternetLink"/>
          </w:rPr>
          <w:t>, 2026</w:t>
        </w:r>
      </w:hyperlink>
    </w:p>
    <w:p>
      <w:pPr>
        <w:pStyle w:val="TextBody"/>
        <w:bidi w:val="0"/>
        <w:spacing w:lineRule="auto" w:line="288" w:before="0" w:after="0"/>
        <w:ind w:left="0" w:right="0" w:hanging="144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Date File (embedded within the Inline XBRL document)</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SIGNATURES</w:t>
      </w:r>
    </w:p>
    <w:p>
      <w:pPr>
        <w:pStyle w:val="TextBody"/>
        <w:bidi w:val="0"/>
        <w:spacing w:before="0" w:after="0"/>
        <w:jc w:val="left"/>
      </w:p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Date: November 5, 2026</w:t>
      </w:r>
    </w:p>
    <w:p>
      <w:pPr>
        <w:pStyle w:val="TextBody"/>
        <w:bidi w:val="0"/>
        <w:spacing w:before="0" w:after="0"/>
        <w:jc w:val="left"/>
      </w:pPr>
      <w:r/>
    </w:p>
    <w:p>
      <w:pPr>
        <w:pStyle w:val="TextBody"/>
        <w:bidi w:val="0"/>
        <w:spacing w:lineRule="auto" w:line="288" w:before="0" w:after="0"/>
        <w:jc w:val="left"/>
        <w:rPr>
          <w:color w:val="000000"/>
        </w:rPr>
      </w:pPr>
      <w:r>
        <w:rPr>
          <w:color w:val="000000"/>
        </w:rPr>
        <w:t>            </w:t>
      </w:r>
    </w:p>
    <w:tbl>
      <w:tblPr>
        <w:tblW w:w="3840" w:type="dxa"/>
        <w:jc w:val="right"/>
        <w:tblInd w:w="0" w:type="dxa"/>
        <w:tblLayout w:type="fixed"/>
        <w:tblCellMar>
          <w:top w:w="28" w:type="dxa"/>
          <w:left w:w="28" w:type="dxa"/>
          <w:bottom w:w="28" w:type="dxa"/>
          <w:right w:w="28" w:type="dxa"/>
        </w:tblCellMar>
      </w:tblPr>
      <w:tblGrid>
        <w:gridCol w:w="151"/>
        <w:gridCol w:w="134"/>
        <w:gridCol w:w="135"/>
        <w:gridCol w:w="1001"/>
        <w:gridCol w:w="1001"/>
        <w:gridCol w:w="1418"/>
      </w:tblGrid>
      <w:t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r>
      <w:t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HOLDINGS GROUP, INC.</w:t>
            </w:r>
          </w:p>
        </w:tc>
      </w:tr>
      <w:t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Murray Forbes III</w:t>
            </w:r>
          </w:p>
        </w:tc>
      </w:tr>
      <w:t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 Forbes III</w:t>
            </w:r>
          </w:p>
        </w:tc>
      </w:tr>
      <w:t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0"/>
        <w:jc w:val="left"/>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before="0" w:after="0"/>
        <w:jc w:val="center"/>
      </w:pPr>
      <w:r>
        <w:drawing>
          <wp:inline distT="0" distB="0" distL="0" distR="0">
            <wp:extent cx="2524125" cy="8001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524125" cy="8001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Westwood Holdings Group, Inc. Reports Third Quarter 2026 Results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Launched PWRX, the first new ETF on the Texas Stock Exchange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Our ETF platform surpassed $430 million in assets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Closed $30 million in private capital commitments and nearly $200 million year-to-date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Defined contribution plan funded with over $450 million in SMidCap</w:t>
      </w:r>
    </w:p>
    <w:p>
      <w:pPr>
        <w:pStyle w:val="TextBody"/>
        <w:bidi w:val="0"/>
        <w:spacing w:lineRule="auto" w:line="288" w:before="120" w:after="220"/>
        <w:jc w:val="left"/>
        <w:rPr>
          <w:rFonts w:ascii="Times New Roman;serif" w:hAnsi="Times New Roman;serif"/>
          <w:b w:val="false"/>
          <w:color w:val="000000"/>
          <w:sz w:val="24"/>
        </w:rPr>
      </w:pPr>
      <w:r>
        <w:rPr>
          <w:rFonts w:ascii="Times New Roman;serif" w:hAnsi="Times New Roman;serif"/>
          <w:b w:val="false"/>
          <w:color w:val="000000"/>
          <w:sz w:val="24"/>
        </w:rPr>
        <w:t>Dallas, TX, November 5, 2026 – Westwood Holdings Group, Inc. (NYSE: WHG) today reported third quarter 2026 earnings. Significant items included:</w:t>
      </w:r>
    </w:p>
    <w:p>
      <w:pPr>
        <w:pStyle w:val="TextBody"/>
        <w:bidi w:val="0"/>
        <w:spacing w:lineRule="auto" w:line="288" w:before="120" w:after="283"/>
        <w:ind w:left="0" w:right="0" w:hanging="360"/>
        <w:jc w:val="left"/>
      </w:pPr>
      <w:r>
        <w:rPr>
          <w:color w:val="000000"/>
        </w:rPr>
        <w:t>▪</w:t>
      </w:r>
      <w:r>
        <w:rPr>
          <w:rFonts w:ascii="Times New Roman;serif" w:hAnsi="Times New Roman;serif"/>
          <w:b w:val="false"/>
          <w:color w:val="000000"/>
          <w:sz w:val="24"/>
        </w:rPr>
        <w:t>Investment strategies beating their primary benchmarks included Select Equity, Multi-Asset Income, Real Estate Income and Tactical Growth SMA.</w:t>
      </w:r>
    </w:p>
    <w:p>
      <w:pPr>
        <w:pStyle w:val="TextBody"/>
        <w:bidi w:val="0"/>
        <w:spacing w:lineRule="auto" w:line="288" w:before="120" w:after="120"/>
        <w:ind w:left="0" w:right="0" w:hanging="360"/>
        <w:jc w:val="left"/>
      </w:pPr>
      <w:r>
        <w:rPr>
          <w:color w:val="000000"/>
        </w:rPr>
        <w:t>▪</w:t>
      </w:r>
      <w:r>
        <w:rPr>
          <w:rFonts w:ascii="Times New Roman;serif" w:hAnsi="Times New Roman;serif"/>
          <w:b w:val="false"/>
          <w:color w:val="000000"/>
          <w:sz w:val="24"/>
        </w:rPr>
        <w:t>AllCap Value, Select Equity and Multi-Asset Income posted top quartile rankings vs. peers and Real Estate Income posted top decile rankings vs. peers.</w:t>
      </w:r>
    </w:p>
    <w:p>
      <w:pPr>
        <w:pStyle w:val="TextBody"/>
        <w:bidi w:val="0"/>
        <w:spacing w:lineRule="auto" w:line="288" w:before="120" w:after="120"/>
        <w:ind w:left="0" w:right="0" w:hanging="360"/>
        <w:jc w:val="left"/>
      </w:pPr>
      <w:r>
        <w:rPr>
          <w:color w:val="000000"/>
        </w:rPr>
        <w:t>▪</w:t>
      </w:r>
      <w:r>
        <w:rPr>
          <w:rFonts w:ascii="Times New Roman;serif" w:hAnsi="Times New Roman;serif"/>
          <w:b w:val="false"/>
          <w:color w:val="000000"/>
          <w:sz w:val="24"/>
        </w:rPr>
        <w:t>Quarterly revenues totaled $26.6 million vs. $25.3 million in the second quarter and $24.3 million a year ago. Net income of $3.1 million compared with $1.5 million in the second quarter and $3.7 million in 2025's third quarter.</w:t>
      </w:r>
    </w:p>
    <w:p>
      <w:pPr>
        <w:pStyle w:val="TextBody"/>
        <w:bidi w:val="0"/>
        <w:spacing w:lineRule="auto" w:line="288" w:before="120" w:after="120"/>
        <w:ind w:left="0" w:right="0" w:hanging="360"/>
        <w:jc w:val="left"/>
      </w:pPr>
      <w:r>
        <w:rPr>
          <w:color w:val="000000"/>
        </w:rPr>
        <w:t>▪</w:t>
      </w:r>
      <w:r>
        <w:rPr>
          <w:rFonts w:ascii="Times New Roman;serif" w:hAnsi="Times New Roman;serif"/>
          <w:b w:val="false"/>
          <w:color w:val="000000"/>
          <w:sz w:val="24"/>
        </w:rPr>
        <w:t>Non-GAAP Economic Earnings of $4.4 million compared with $3.0 million in the second quarter and $5.7 million in the third quarter of 2025.</w:t>
      </w:r>
    </w:p>
    <w:p>
      <w:pPr>
        <w:pStyle w:val="TextBody"/>
        <w:bidi w:val="0"/>
        <w:spacing w:lineRule="auto" w:line="288" w:before="120" w:after="120"/>
        <w:ind w:left="0" w:right="0" w:hanging="360"/>
        <w:jc w:val="left"/>
      </w:pPr>
      <w:r>
        <w:rPr>
          <w:color w:val="000000"/>
        </w:rPr>
        <w:t>▪</w:t>
      </w:r>
      <w:r>
        <w:rPr>
          <w:rFonts w:ascii="Times New Roman;serif" w:hAnsi="Times New Roman;serif"/>
          <w:b w:val="false"/>
          <w:color w:val="000000"/>
          <w:sz w:val="24"/>
        </w:rPr>
        <w:t>Westwood held $65.0 million in cash and investments as of September 30, 2026. Westwood's stockholders' equity totaled $129.1 million.</w:t>
      </w:r>
    </w:p>
    <w:p>
      <w:pPr>
        <w:pStyle w:val="TextBody"/>
        <w:bidi w:val="0"/>
        <w:spacing w:lineRule="auto" w:line="288" w:before="120" w:after="120"/>
        <w:ind w:left="0" w:right="0" w:hanging="360"/>
        <w:jc w:val="left"/>
      </w:pPr>
      <w:r>
        <w:rPr>
          <w:color w:val="000000"/>
        </w:rPr>
        <w:t>▪</w:t>
      </w:r>
      <w:r>
        <w:rPr>
          <w:rFonts w:ascii="Times New Roman;serif" w:hAnsi="Times New Roman;serif"/>
          <w:b w:val="false"/>
          <w:color w:val="000000"/>
          <w:sz w:val="24"/>
        </w:rPr>
        <w:t>We declared a cash dividend of $0.15 per common share, payable on January 4, 2027 to stockholders of record on December 1, 2026.</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Brian Casey, Westwood’s CEO, commented, "We're proud of the progress we made this quarter, highlighted by the launch of our Enhanced Power and Infrastructure ETF (PWRX) as the first new ETF on the Texas Stock Exchange and our ETF platform surpassed $430 million in assets at quarter-end. With continued momentum in our private capital business and a robust pipeline across our Value, Managed Investment Solutions and Energy strategies, we believe Westwood is well positioned to deliver long-term value for clients and shareholders."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Firmwide assets under management and advisement totaled $17.1 billion, consisting of assets under management ("AUM") of $16.1 billion and assets under advisement ("AUA") of $1.0 billion.</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Third quarter revenues exceeded the second quarter on higher private capital distributions, and continued growth from our ETFs and private energy secondaries funds. Third quarter net income of $3.1 million exceeded the second quarter's $1.5 million on higher revenues and unrealized gains on multiple private investments, offset by $1.7 million of one-time severance-related compensation expenses and higher income taxes. Diluted earnings per share ("EPS") of $0.34 compared to $0.17 for the second quarter. Non-GAAP Economic Earnings of $4.4 million, or $0.48 per share, compared with $3.0 million, or $0.33 per share, in the second quarter.</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Third quarter revenues were higher than last year's third quarter due to continued growth in our ETFs and private energy secondaries funds, and private capital distributions. Third quarter net income of $3.1 million compared unfavorably to last year's third quarter income of $3.7 million due to $1.7 million of one-time severance-related compensation expenses, higher professional services expenses and higher </w:t>
      </w:r>
    </w:p>
    <w:p>
      <w:pPr>
        <w:pStyle w:val="TextBody"/>
        <w:bidi w:val="0"/>
        <w:spacing w:before="0" w:after="0"/>
        <w:jc w:val="both"/>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p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income taxes, offset by higher revenues and unrealized gains on multiple private investments. Diluted EPS of $0.34 compared with $0.41 for 2025's third quarter. Non-GAAP Economic Earnings were $4.4 million, or $0.48 per share, compared with $5.7 million, or $0.64 per share, in the third quarter of 2025.</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Economic Earnings and Economic EPS are non-GAAP performance measures and are explained and reconciled with the most comparable GAAP numbers in the attached tables.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Westwood will host a conference call to discuss third quarter 2026 results and other business matters at 4:30 p.m. Eastern time today. To join the conference call, please register here:</w:t>
      </w:r>
    </w:p>
    <w:p>
      <w:pPr>
        <w:pStyle w:val="TextBody"/>
        <w:bidi w:val="0"/>
        <w:spacing w:lineRule="auto" w:line="288" w:before="12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https://register-conf.media-server.com/register/BI60c545b809b742e49e56e3d2ba117f9f</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After registering, you will be provided with a dial-in number containing a personalized PIN.</w:t>
      </w:r>
    </w:p>
    <w:p>
      <w:pPr>
        <w:pStyle w:val="TextBody"/>
        <w:bidi w:val="0"/>
        <w:spacing w:lineRule="auto" w:line="288" w:before="120" w:after="283"/>
        <w:jc w:val="left"/>
      </w:pPr>
      <w:r>
        <w:rPr>
          <w:rFonts w:ascii="Times New Roman;serif" w:hAnsi="Times New Roman;serif"/>
          <w:b w:val="false"/>
          <w:color w:val="000000"/>
          <w:sz w:val="24"/>
        </w:rPr>
        <w:t xml:space="preserve">To view the webcast, please register here: </w:t>
      </w:r>
      <w:r>
        <w:rPr>
          <w:rFonts w:ascii="Times New Roman;serif" w:hAnsi="Times New Roman;serif"/>
          <w:b w:val="false"/>
          <w:color w:val="000000"/>
          <w:sz w:val="24"/>
          <w:u w:val="single"/>
        </w:rPr>
        <w:t>https://edge.media-server.com/mmc/p/ka62hjh7</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Once registered, an email will be sent with important details for this conference call, as well as a unique Registrant ID.</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ABOUT WESTWOOD HOLDINGS GROUP</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Westwood Holdings Group (NYSE: WHG) is a boutique asset management firm that offers a diverse array of actively-managed and outcome-oriented investment strategies, along with white-glove trust and wealth services, to institutional, intermediary and private wealth clients. For over 40 years, Westwood’s client-first approach has fostered strong, long-term client relationships due to our unwavering commitment to delivering bespoke investment strategies with a vehicle-optimized approach, exceptional counsel and unparalleled client service. Our flexible and agile approach to investing allows us to adapt to constantly changing markets, while continually seeking innovative strategies that meet our investors’ short and long-term needs. </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Our team at Westwood comes from varied backgrounds and life experiences, which reflects our origins as a woman-founded firm. We are committed to incorporating diverse insights and knowledge into all aspects of our services and solutions. Our culture and approach to our business reflect our core values - integrity, reliability, responsiveness, adaptability, teamwork and driving results - and underpin our constant pursuit of excellence.</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For more information on Westwood, please visit westwoodgroup.com.</w:t>
      </w:r>
    </w:p>
    <w:p>
      <w:pPr>
        <w:pStyle w:val="TextBody"/>
        <w:bidi w:val="0"/>
        <w:spacing w:lineRule="auto" w:line="288" w:before="120" w:after="283"/>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composition and market value of our AUM and AUA; our ability to maintain our fee structure in light of competitive fee pressures; risks associated with actions of activist stockholders; distributions to our common stockholders have included and may in the future include a return of capital; inclusion of foreign company investments in our AUM; regulations adversely affecting the financial services industry; our ability to maintain effective cyber security; litigation risks; our ability to develop and market new investment strategies successfully; our reputation and our relationships with current and potential customers; our ability to attract and retain qualified personnel; our ability to perform operational tasks; our ability to select and oversee third-party vendors; our dependence on the operations and funds of our subsidiaries; our ability to maintain effective information systems; our ability to prevent misuse of assets </w:t>
      </w:r>
    </w:p>
    <w:p>
      <w:pPr>
        <w:pStyle w:val="TextBody"/>
        <w:bidi w:val="0"/>
        <w:spacing w:before="0" w:after="0"/>
        <w:jc w:val="both"/>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6"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p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and information in the possession of our employees and third-party vendors, which could damage our reputation and result in costly litigation and liability for our clients and us; our stock is thinly traded and may be subject to volatility; competition in the investment management industry; our ability to avoid termination of client agreements and the related investment redemptions; the significant concentration of our revenues in a small number of customers; we have made and may continue to make business combinations as a part of our business strategy, which may present certain risks and uncertainties; our relationships with investment consulting firms; our ability to identify and execute on our strategic initiatives;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and the other risks detailed from time to time in Westwood’s SEC filings, including, but not limited to, its annual report on Form 10-K for the year ended December 31, 2025 and its quarterly report on Form 10-Q for the quarters ended March 31, 2026, June 30, 2026 and September 30, 2026.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 # #</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SOURCE: Westwood Holdings Group, Inc.</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(WHG-G)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Westwood Holdings Group,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Terry Forbes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 and Treasurer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(214) 756-6900</w:t>
      </w:r>
    </w:p>
    <w:p>
      <w:pPr>
        <w:pStyle w:val="TextBody"/>
        <w:bidi w:val="0"/>
        <w:spacing w:before="0" w:after="0"/>
        <w:jc w:val="both"/>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7"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 thousands, except per share and share amounts)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w:t>
      </w:r>
    </w:p>
    <w:tbl>
      <w:tblPr>
        <w:tblW w:w="9412" w:type="dxa"/>
        <w:jc w:val="left"/>
        <w:tblInd w:w="0" w:type="dxa"/>
        <w:tblLayout w:type="fixed"/>
        <w:tblCellMar>
          <w:top w:w="28" w:type="dxa"/>
          <w:left w:w="28" w:type="dxa"/>
          <w:bottom w:w="28" w:type="dxa"/>
          <w:right w:w="28" w:type="dxa"/>
        </w:tblCellMar>
      </w:tblPr>
      <w:tblGrid>
        <w:gridCol w:w="1572"/>
        <w:gridCol w:w="1385"/>
        <w:gridCol w:w="1393"/>
        <w:gridCol w:w="330"/>
        <w:gridCol w:w="1090"/>
        <w:gridCol w:w="184"/>
        <w:gridCol w:w="109"/>
        <w:gridCol w:w="109"/>
        <w:gridCol w:w="109"/>
        <w:gridCol w:w="238"/>
        <w:gridCol w:w="785"/>
        <w:gridCol w:w="132"/>
        <w:gridCol w:w="109"/>
        <w:gridCol w:w="109"/>
        <w:gridCol w:w="109"/>
        <w:gridCol w:w="324"/>
        <w:gridCol w:w="1070"/>
        <w:gridCol w:w="255"/>
      </w:tblGrid>
      <w:tr>
        <w:tc>
          <w:tcPr>
            <w:tcW w:w="15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fees: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19,202 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18,887 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fees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26,571 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25,343 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24,289 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Westwood funds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technology</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25,188 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23,279 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22,280 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1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2,009 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appreciation on private investments</w:t>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1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2,252 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4,692 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3,729 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attributable to noncontrolling interest</w:t>
            </w:r>
          </w:p>
        </w:tc>
        <w:tc>
          <w:tcPr>
            <w:tcW w:w="142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8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3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attributable to Westwood Holdings Group, Inc.</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3,117 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3,699 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Westwood Holdings Group, Inc. share:</w:t>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0.34 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0.41 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8,656,964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8,644,321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8,418,174</w:t>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9,192,363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9,079,971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8,941,347</w:t>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Earnings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EPS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share</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jc w:val="both"/>
      </w:pPr>
      <w:r/>
    </w:p>
    <w:p>
      <w:pPr>
        <w:pStyle w:val="TextBody"/>
        <w:bidi w:val="0"/>
        <w:spacing w:before="0" w:after="0"/>
        <w:jc w:val="both"/>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8"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pPr>
                      <w:r/>
                    </w:p>
                  </w:txbxContent>
                </v:textbox>
                <w10:wrap type="none"/>
              </v:rect>
            </w:pict>
          </mc:Fallback>
        </mc:AlternateConten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 thousands, except per share and share amounts)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(unaudited)</w:t>
      </w:r>
    </w:p>
    <w:tbl>
      <w:tblPr>
        <w:tblW w:w="7930" w:type="dxa"/>
        <w:jc w:val="left"/>
        <w:tblInd w:w="0" w:type="dxa"/>
        <w:tblLayout w:type="fixed"/>
        <w:tblCellMar>
          <w:top w:w="28" w:type="dxa"/>
          <w:left w:w="28" w:type="dxa"/>
          <w:bottom w:w="28" w:type="dxa"/>
          <w:right w:w="28" w:type="dxa"/>
        </w:tblCellMar>
      </w:tblPr>
      <w:tblGrid>
        <w:gridCol w:w="1572"/>
        <w:gridCol w:w="1385"/>
        <w:gridCol w:w="1393"/>
        <w:gridCol w:w="330"/>
        <w:gridCol w:w="1090"/>
        <w:gridCol w:w="184"/>
        <w:gridCol w:w="109"/>
        <w:gridCol w:w="109"/>
        <w:gridCol w:w="109"/>
        <w:gridCol w:w="324"/>
        <w:gridCol w:w="1070"/>
        <w:gridCol w:w="255"/>
      </w:tblGrid>
      <w:tr>
        <w:tc>
          <w:tcPr>
            <w:tcW w:w="15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fees: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Asset-based</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57,883 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54,573 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fees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15,914 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76,880 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70,661 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compensation and benefits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46,931 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41,259 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Westwood funds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Information technology</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services</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4,692 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8,185 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74,929 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67,852 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operating income</w:t>
            </w:r>
          </w:p>
        </w:tc>
        <w:tc>
          <w:tcPr>
            <w:tcW w:w="1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1,951 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2,809 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gains on private investments</w:t>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appreciation on private investments</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w:t>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before income taxes</w:t>
            </w:r>
          </w:p>
        </w:tc>
        <w:tc>
          <w:tcPr>
            <w:tcW w:w="14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7,670 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6,752 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w:t>
            </w:r>
          </w:p>
        </w:tc>
        <w:tc>
          <w:tcPr>
            <w:tcW w:w="14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2,241 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5,429 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5,237 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income attributable to noncontrolling interest</w:t>
            </w:r>
          </w:p>
        </w:tc>
        <w:tc>
          <w:tcPr>
            <w:tcW w:w="142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8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attributable to Westwood Holdings Group, Inc.</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5,196 </w:t>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Earnings per share:</w:t>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shares outstanding:</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8,600,460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8,359,584</w:t>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9,105,334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8,846,168</w:t>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Earnings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Economic EPS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per share</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pPr>
      <w:r/>
    </w:p>
    <w:p>
      <w:pPr>
        <w:pStyle w:val="TextBody"/>
        <w:bidi w:val="0"/>
        <w:spacing w:before="0" w:after="0"/>
        <w:jc w:val="both"/>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9"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pPr>
                      <w:r/>
                    </w:p>
                  </w:txbxContent>
                </v:textbox>
                <w10:wrap type="none"/>
              </v:rect>
            </w:pict>
          </mc:Fallback>
        </mc:AlternateConten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 thousands, except par value and share amounts)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2804"/>
        <w:gridCol w:w="2132"/>
        <w:gridCol w:w="2145"/>
        <w:gridCol w:w="251"/>
        <w:gridCol w:w="945"/>
        <w:gridCol w:w="139"/>
        <w:gridCol w:w="109"/>
        <w:gridCol w:w="109"/>
        <w:gridCol w:w="109"/>
        <w:gridCol w:w="245"/>
        <w:gridCol w:w="923"/>
        <w:gridCol w:w="136"/>
        <w:gridCol w:w="158"/>
      </w:tblGrid>
      <w:tr>
        <w:tc>
          <w:tcPr>
            <w:tcW w:w="2804"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at fair value (amortized cost of $21,516 and $19,923)</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under measurement alternative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method investments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accumulated depreciation of $8,933 and $8,952</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162,771 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162,298 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3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 payable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32,557 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35,575 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authorized 25,000,000 shares, issued 12,580,572 and 12,337,758, respectively and outstanding 9,517,454 and 9,394,066, respectively</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at cost – 3,063,118 and 2,986,692 shares, respectively</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Westwood Holdings Group, Inc. stockholders’ equity</w:t>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129,095 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125,615 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Noncontrolling interest in consolidated subsidiary</w:t>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1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130,214 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162,771 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162,298 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jc w:val="both"/>
      </w:pPr>
      <w:r/>
    </w:p>
    <w:p>
      <w:pPr>
        <w:pStyle w:val="TextBody"/>
        <w:bidi w:val="0"/>
        <w:spacing w:before="0" w:after="0"/>
        <w:jc w:val="both"/>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10"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p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WESTWOOD HOLDINGS GROUP, INC.</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(unaudited)</w:t>
      </w:r>
    </w:p>
    <w:tbl>
      <w:tblPr>
        <w:tblW w:w="8635" w:type="dxa"/>
        <w:jc w:val="center"/>
        <w:tblInd w:w="0" w:type="dxa"/>
        <w:tblLayout w:type="fixed"/>
        <w:tblCellMar>
          <w:top w:w="28" w:type="dxa"/>
          <w:left w:w="28" w:type="dxa"/>
          <w:bottom w:w="28" w:type="dxa"/>
          <w:right w:w="28" w:type="dxa"/>
        </w:tblCellMar>
      </w:tblPr>
      <w:tblGrid>
        <w:gridCol w:w="2095"/>
        <w:gridCol w:w="1843"/>
        <w:gridCol w:w="1852"/>
        <w:gridCol w:w="245"/>
        <w:gridCol w:w="809"/>
        <w:gridCol w:w="136"/>
        <w:gridCol w:w="136"/>
        <w:gridCol w:w="136"/>
        <w:gridCol w:w="136"/>
        <w:gridCol w:w="245"/>
        <w:gridCol w:w="809"/>
        <w:gridCol w:w="193"/>
      </w:tblGrid>
      <w:tr>
        <w:tc>
          <w:tcPr>
            <w:tcW w:w="2095"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intangible assets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appreciation on investments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private investments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asset disposition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 payable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 of equity investments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10,942 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of investments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leasehold improvements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internally developed software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Returns of capital from private capital investments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returned for payment of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contingent consideration in acquisition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(4,118)</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(5,534)</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(5,654)</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CHANGE IN CASH AND CASH EQUIVALENTS</w:t>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26,249 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18,847 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21,604 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dividends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operating lease liabilities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pPr>
      <w:r/>
    </w:p>
    <w:p>
      <w:pPr>
        <w:pStyle w:val="TextBody"/>
        <w:bidi w:val="0"/>
        <w:spacing w:before="0" w:after="0"/>
        <w:jc w:val="both"/>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11"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p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WESTWOOD HOLDINGS GROUP, INC.</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Reconciliation of Income Attributable to Westwood Holdings Group, Inc. to Economic Earnings</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(in thousands, except per share and share amounts)</w:t>
      </w:r>
    </w:p>
    <w:p>
      <w:pPr>
        <w:pStyle w:val="TextBody"/>
        <w:bidi w:val="0"/>
        <w:spacing w:lineRule="auto" w:line="288" w:before="0" w:after="0"/>
        <w:jc w:val="both"/>
        <w:rPr>
          <w:rFonts w:ascii="Times New Roman;serif" w:hAnsi="Times New Roman;serif"/>
          <w:b/>
          <w:color w:val="000000"/>
          <w:sz w:val="19"/>
        </w:rPr>
      </w:pPr>
      <w:r>
        <w:rPr>
          <w:rFonts w:ascii="Times New Roman;serif" w:hAnsi="Times New Roman;serif"/>
          <w:b/>
          <w:color w:val="000000"/>
          <w:sz w:val="19"/>
        </w:rPr>
        <w:t>(unaudited)</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As supplemental information, we are providing non-GAAP performance measures that we refer to as Economic Earnings and Economic Earnings per share. We provide these measures in addition to, not as a substitute for, income attributable to Westwood Holdings Group, Inc. and earnings per share, which are reported on a GAAP basis. Our management and Board of Directors review Economic Earnings and Economic Earnings per share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jc w:val="both"/>
        <w:rPr>
          <w:rFonts w:ascii="Times New Roman;serif" w:hAnsi="Times New Roman;serif"/>
          <w:b w:val="false"/>
          <w:color w:val="000000"/>
          <w:sz w:val="19"/>
        </w:rPr>
      </w:pPr>
      <w:r>
        <w:rPr>
          <w:rFonts w:ascii="Times New Roman;serif" w:hAnsi="Times New Roman;serif"/>
          <w:b w:val="false"/>
          <w:color w:val="000000"/>
          <w:sz w:val="19"/>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Earnings per share represents Economic Earnings divided by diluted weighted average shares outstanding.</w:t>
      </w:r>
    </w:p>
    <w:p>
      <w:pPr>
        <w:pStyle w:val="TextBody"/>
        <w:bidi w:val="0"/>
        <w:spacing w:before="120" w:after="283"/>
        <w:jc w:val="left"/>
      </w:pPr>
      <w:r/>
    </w:p>
    <w:tbl>
      <w:tblPr>
        <w:tblW w:w="9457" w:type="dxa"/>
        <w:jc w:val="center"/>
        <w:tblInd w:w="0" w:type="dxa"/>
        <w:tblLayout w:type="fixed"/>
        <w:tblCellMar>
          <w:top w:w="28" w:type="dxa"/>
          <w:left w:w="28" w:type="dxa"/>
          <w:bottom w:w="28" w:type="dxa"/>
          <w:right w:w="28" w:type="dxa"/>
        </w:tblCellMar>
      </w:tblPr>
      <w:tblGrid>
        <w:gridCol w:w="1494"/>
        <w:gridCol w:w="1311"/>
        <w:gridCol w:w="1319"/>
        <w:gridCol w:w="351"/>
        <w:gridCol w:w="997"/>
        <w:gridCol w:w="197"/>
        <w:gridCol w:w="109"/>
        <w:gridCol w:w="109"/>
        <w:gridCol w:w="109"/>
        <w:gridCol w:w="318"/>
        <w:gridCol w:w="1049"/>
        <w:gridCol w:w="177"/>
        <w:gridCol w:w="109"/>
        <w:gridCol w:w="109"/>
        <w:gridCol w:w="109"/>
        <w:gridCol w:w="313"/>
        <w:gridCol w:w="1032"/>
        <w:gridCol w:w="245"/>
      </w:tblGrid>
      <w:t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Three Months Ended</w:t>
            </w:r>
          </w:p>
        </w:tc>
      </w:tr>
      <w:t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attributable to Westwood Holdings Group, Inc.</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3,117 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1,519 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3,699 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1,303 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4,402 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2,968 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5,714 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per diluted share</w:t>
            </w:r>
          </w:p>
        </w:tc>
        <w:tc>
          <w:tcPr>
            <w:tcW w:w="3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0.34 </w:t>
            </w:r>
          </w:p>
        </w:tc>
        <w:tc>
          <w:tcPr>
            <w:tcW w:w="19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0.17 </w:t>
            </w:r>
          </w:p>
        </w:tc>
        <w:tc>
          <w:tcPr>
            <w:tcW w:w="17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0.41 </w:t>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(0.05)</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 per diluted share</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0.48 </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0.33 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0.64 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weighted average shares</w:t>
            </w:r>
          </w:p>
        </w:tc>
        <w:tc>
          <w:tcPr>
            <w:tcW w:w="1545"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9,192,363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9,079,971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8,941,347</w:t>
            </w:r>
          </w:p>
        </w:tc>
      </w:tr>
      <w:t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Nine Months Ended</w:t>
            </w:r>
          </w:p>
        </w:tc>
      </w:tr>
      <w:t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September 30, 2025</w:t>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attributable to Westwood Holdings Group, Inc.</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5,418 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5,196 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3,596 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2,074 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(1,640)</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10,217 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11,020 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Earnings per diluted share</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0.60 </w:t>
            </w:r>
          </w:p>
        </w:tc>
        <w:tc>
          <w:tcPr>
            <w:tcW w:w="17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3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0.59 </w:t>
            </w:r>
          </w:p>
        </w:tc>
        <w:tc>
          <w:tcPr>
            <w:tcW w:w="24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 expense</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0.44</w:t>
            </w:r>
          </w:p>
        </w:tc>
      </w:tr>
      <w:tr>
        <w:tc>
          <w:tcPr>
            <w:tcW w:w="41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amortization</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0.37</w:t>
            </w:r>
          </w:p>
        </w:tc>
      </w:tr>
      <w:tr>
        <w:tc>
          <w:tcPr>
            <w:tcW w:w="412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benefit from goodwill amortization</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0.04</w:t>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 impact of adjustments to GAAP income</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(0.19)</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Economic Earnings per diluted share</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1.25 </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weighted average shares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9,105,334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8,846,168</w:t>
            </w:r>
          </w:p>
        </w:tc>
      </w:tr>
    </w:tbl>
    <w:p>
      <w:pPr>
        <w:pStyle w:val="TextBody"/>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1460"/>
                <wp:effectExtent l="0" t="0" r="0" b="0"/>
                <wp:wrapNone/>
                <wp:docPr id="12"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both"/>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both"/>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3263</Words>
  <Characters>19070</Characters>
  <CharactersWithSpaces>22008</CharactersWithSpaces>
  <Paragraphs>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