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0"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3140" w:type="dxa"/>
            <w:vAlign w:val="bottom"/>
            <w:gridSpan w:val="3"/>
          </w:tcPr>
          <w:p>
            <w:pPr>
              <w:ind w:left="600"/>
              <w:spacing w:after="0"/>
              <w:rPr>
                <w:sz w:val="20"/>
                <w:szCs w:val="20"/>
                <w:color w:val="auto"/>
              </w:rPr>
            </w:pPr>
            <w:r>
              <w:rPr>
                <w:rFonts w:ascii="Arial" w:cs="Arial" w:eastAsia="Arial" w:hAnsi="Arial"/>
                <w:sz w:val="18"/>
                <w:szCs w:val="18"/>
                <w:b w:val="1"/>
                <w:bCs w:val="1"/>
                <w:color w:val="auto"/>
                <w:w w:val="8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WESTWOOD HOLDINGS GROUP,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1"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3"/>
              </w:rPr>
              <w:t>Delaware</w:t>
            </w:r>
          </w:p>
        </w:tc>
        <w:tc>
          <w:tcPr>
            <w:tcW w:w="6100" w:type="dxa"/>
            <w:vAlign w:val="bottom"/>
          </w:tcPr>
          <w:p>
            <w:pPr>
              <w:jc w:val="right"/>
              <w:ind w:right="479"/>
              <w:spacing w:after="0"/>
              <w:rPr>
                <w:sz w:val="20"/>
                <w:szCs w:val="20"/>
                <w:color w:val="auto"/>
              </w:rPr>
            </w:pPr>
            <w:r>
              <w:rPr>
                <w:rFonts w:ascii="Arial" w:cs="Arial" w:eastAsia="Arial" w:hAnsi="Arial"/>
                <w:sz w:val="18"/>
                <w:szCs w:val="18"/>
                <w:b w:val="1"/>
                <w:bCs w:val="1"/>
                <w:color w:val="auto"/>
              </w:rPr>
              <w:t>75-2969997</w:t>
            </w:r>
          </w:p>
        </w:tc>
      </w:tr>
      <w:tr>
        <w:trPr>
          <w:trHeight w:val="182"/>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8"/>
              </w:rPr>
              <w:t>(IRS Employer Identification No.)</w:t>
            </w:r>
          </w:p>
        </w:tc>
      </w:tr>
      <w:tr>
        <w:trPr>
          <w:trHeight w:val="439"/>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7"/>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Arial" w:cs="Arial" w:eastAsia="Arial" w:hAnsi="Arial"/>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Arial" w:cs="Arial" w:eastAsia="Arial" w:hAnsi="Arial"/>
                <w:sz w:val="18"/>
                <w:szCs w:val="18"/>
                <w:b w:val="1"/>
                <w:bCs w:val="1"/>
                <w:color w:val="auto"/>
              </w:rPr>
              <w:t>75201</w:t>
            </w:r>
          </w:p>
        </w:tc>
      </w:tr>
      <w:tr>
        <w:trPr>
          <w:trHeight w:val="182"/>
        </w:trPr>
        <w:tc>
          <w:tcPr>
            <w:tcW w:w="3560" w:type="dxa"/>
            <w:vAlign w:val="bottom"/>
          </w:tcPr>
          <w:p>
            <w:pPr>
              <w:jc w:val="center"/>
              <w:ind w:right="17"/>
              <w:spacing w:after="0"/>
              <w:rPr>
                <w:sz w:val="20"/>
                <w:szCs w:val="20"/>
                <w:color w:val="auto"/>
              </w:rPr>
            </w:pPr>
            <w:r>
              <w:rPr>
                <w:rFonts w:ascii="Arial" w:cs="Arial" w:eastAsia="Arial" w:hAnsi="Arial"/>
                <w:sz w:val="14"/>
                <w:szCs w:val="14"/>
                <w:color w:val="auto"/>
                <w:w w:val="95"/>
              </w:rPr>
              <w:t>(Address of principal executive office)</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6"/>
              </w:rPr>
              <w:t>(Zip Code)</w:t>
            </w:r>
          </w:p>
        </w:tc>
      </w:tr>
      <w:tr>
        <w:trPr>
          <w:trHeight w:val="317"/>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Arial" w:cs="Arial" w:eastAsia="Arial" w:hAnsi="Arial"/>
                <w:sz w:val="18"/>
                <w:szCs w:val="18"/>
                <w:b w:val="1"/>
                <w:bCs w:val="1"/>
                <w:color w:val="auto"/>
              </w:rPr>
              <w:t>(214) 756-6900</w:t>
            </w:r>
          </w:p>
        </w:tc>
      </w:tr>
      <w:tr>
        <w:trPr>
          <w:trHeight w:val="182"/>
        </w:trPr>
        <w:tc>
          <w:tcPr>
            <w:tcW w:w="3560" w:type="dxa"/>
            <w:vAlign w:val="bottom"/>
          </w:tcPr>
          <w:p>
            <w:pPr>
              <w:spacing w:after="0"/>
              <w:rPr>
                <w:sz w:val="15"/>
                <w:szCs w:val="15"/>
                <w:color w:val="auto"/>
              </w:rPr>
            </w:pPr>
          </w:p>
        </w:tc>
        <w:tc>
          <w:tcPr>
            <w:tcW w:w="6100" w:type="dxa"/>
            <w:vAlign w:val="bottom"/>
          </w:tcPr>
          <w:p>
            <w:pPr>
              <w:jc w:val="center"/>
              <w:ind w:right="2739"/>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8"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2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49"/>
        </w:trPr>
        <w:tc>
          <w:tcPr>
            <w:tcW w:w="900" w:type="dxa"/>
            <w:vAlign w:val="bottom"/>
          </w:tcPr>
          <w:p>
            <w:pPr>
              <w:spacing w:after="0"/>
              <w:rPr>
                <w:sz w:val="21"/>
                <w:szCs w:val="21"/>
                <w:color w:val="auto"/>
              </w:rPr>
            </w:pPr>
          </w:p>
        </w:tc>
        <w:tc>
          <w:tcPr>
            <w:tcW w:w="2200" w:type="dxa"/>
            <w:vAlign w:val="bottom"/>
            <w:gridSpan w:val="2"/>
          </w:tcPr>
          <w:p>
            <w:pPr>
              <w:jc w:val="center"/>
              <w:ind w:right="980"/>
              <w:spacing w:after="0"/>
              <w:rPr>
                <w:sz w:val="20"/>
                <w:szCs w:val="20"/>
                <w:color w:val="auto"/>
              </w:rPr>
            </w:pPr>
            <w:r>
              <w:rPr>
                <w:rFonts w:ascii="Arial" w:cs="Arial" w:eastAsia="Arial" w:hAnsi="Arial"/>
                <w:sz w:val="16"/>
                <w:szCs w:val="16"/>
                <w:color w:val="auto"/>
                <w:w w:val="91"/>
              </w:rPr>
              <w:t>Title of Each Class</w:t>
            </w:r>
          </w:p>
        </w:tc>
        <w:tc>
          <w:tcPr>
            <w:tcW w:w="3920" w:type="dxa"/>
            <w:vAlign w:val="bottom"/>
            <w:gridSpan w:val="3"/>
          </w:tcPr>
          <w:p>
            <w:pPr>
              <w:jc w:val="center"/>
              <w:ind w:right="40"/>
              <w:spacing w:after="0"/>
              <w:rPr>
                <w:sz w:val="20"/>
                <w:szCs w:val="20"/>
                <w:color w:val="auto"/>
              </w:rPr>
            </w:pPr>
            <w:r>
              <w:rPr>
                <w:rFonts w:ascii="Arial" w:cs="Arial" w:eastAsia="Arial" w:hAnsi="Arial"/>
                <w:sz w:val="16"/>
                <w:szCs w:val="16"/>
                <w:color w:val="auto"/>
                <w:w w:val="92"/>
              </w:rPr>
              <w:t>Trading Symbol</w:t>
            </w:r>
          </w:p>
        </w:tc>
        <w:tc>
          <w:tcPr>
            <w:tcW w:w="3080" w:type="dxa"/>
            <w:vAlign w:val="bottom"/>
            <w:gridSpan w:val="2"/>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420" w:type="dxa"/>
            <w:vAlign w:val="bottom"/>
          </w:tcPr>
          <w:p>
            <w:pPr>
              <w:spacing w:after="0"/>
              <w:rPr>
                <w:sz w:val="21"/>
                <w:szCs w:val="21"/>
                <w:color w:val="auto"/>
              </w:rPr>
            </w:pPr>
          </w:p>
        </w:tc>
        <w:tc>
          <w:tcPr>
            <w:tcW w:w="2500" w:type="dxa"/>
            <w:vAlign w:val="bottom"/>
            <w:gridSpan w:val="2"/>
          </w:tcPr>
          <w:p>
            <w:pPr>
              <w:jc w:val="center"/>
              <w:ind w:right="1460"/>
              <w:spacing w:after="0"/>
              <w:rPr>
                <w:sz w:val="20"/>
                <w:szCs w:val="20"/>
                <w:color w:val="auto"/>
              </w:rPr>
            </w:pPr>
            <w:r>
              <w:rPr>
                <w:rFonts w:ascii="Arial" w:cs="Arial" w:eastAsia="Arial" w:hAnsi="Arial"/>
                <w:sz w:val="18"/>
                <w:szCs w:val="18"/>
                <w:color w:val="auto"/>
                <w:w w:val="99"/>
              </w:rPr>
              <w:t>WHG</w:t>
            </w:r>
          </w:p>
        </w:tc>
        <w:tc>
          <w:tcPr>
            <w:tcW w:w="8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8"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70" w:lineRule="exact"/>
        <w:rPr>
          <w:sz w:val="24"/>
          <w:szCs w:val="24"/>
          <w:color w:val="auto"/>
        </w:rPr>
      </w:pPr>
    </w:p>
    <w:p>
      <w:pPr>
        <w:ind w:right="40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120"/>
        <w:spacing w:after="0" w:line="3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40" w:type="dxa"/>
            <w:vAlign w:val="bottom"/>
          </w:tcPr>
          <w:p>
            <w:pPr>
              <w:ind w:left="26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96"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par value $0.01 per share, outstanding as of October 22, 2020: 8,373,143.</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20" w:type="dxa"/>
            <w:vAlign w:val="bottom"/>
          </w:tcPr>
          <w:p>
            <w:pPr>
              <w:ind w:left="280"/>
              <w:spacing w:after="0"/>
              <w:rPr>
                <w:sz w:val="20"/>
                <w:szCs w:val="20"/>
                <w:color w:val="auto"/>
              </w:rPr>
            </w:pPr>
            <w:r>
              <w:rPr>
                <w:rFonts w:ascii="Arial" w:cs="Arial" w:eastAsia="Arial" w:hAnsi="Arial"/>
                <w:sz w:val="16"/>
                <w:szCs w:val="16"/>
                <w:color w:val="auto"/>
              </w:rPr>
              <w:t>PART I</w:t>
            </w:r>
          </w:p>
        </w:tc>
        <w:tc>
          <w:tcPr>
            <w:tcW w:w="8940" w:type="dxa"/>
            <w:vAlign w:val="bottom"/>
            <w:gridSpan w:val="9"/>
          </w:tcPr>
          <w:p>
            <w:pPr>
              <w:spacing w:after="0"/>
              <w:rPr>
                <w:sz w:val="20"/>
                <w:szCs w:val="20"/>
                <w:color w:val="auto"/>
              </w:rPr>
            </w:pPr>
            <w:r>
              <w:rPr>
                <w:rFonts w:ascii="Arial" w:cs="Arial" w:eastAsia="Arial" w:hAnsi="Arial"/>
                <w:sz w:val="16"/>
                <w:szCs w:val="16"/>
                <w:color w:val="auto"/>
              </w:rPr>
              <w:t>FINANCIAL INFORMATION</w:t>
            </w:r>
          </w:p>
        </w:tc>
        <w:tc>
          <w:tcPr>
            <w:tcW w:w="980" w:type="dxa"/>
            <w:vAlign w:val="bottom"/>
          </w:tcPr>
          <w:p>
            <w:pPr>
              <w:jc w:val="right"/>
              <w:ind w:right="299"/>
              <w:spacing w:after="0"/>
              <w:rPr>
                <w:sz w:val="20"/>
                <w:szCs w:val="20"/>
                <w:color w:val="auto"/>
              </w:rPr>
            </w:pPr>
            <w:r>
              <w:rPr>
                <w:rFonts w:ascii="Arial" w:cs="Arial" w:eastAsia="Arial" w:hAnsi="Arial"/>
                <w:sz w:val="16"/>
                <w:szCs w:val="16"/>
                <w:color w:val="auto"/>
              </w:rPr>
              <w:t>PAGE</w:t>
            </w:r>
          </w:p>
        </w:tc>
      </w:tr>
      <w:tr>
        <w:trPr>
          <w:trHeight w:val="324"/>
        </w:trPr>
        <w:tc>
          <w:tcPr>
            <w:tcW w:w="1320" w:type="dxa"/>
            <w:vAlign w:val="bottom"/>
          </w:tcPr>
          <w:p>
            <w:pPr>
              <w:ind w:left="280"/>
              <w:spacing w:after="0"/>
              <w:rPr>
                <w:sz w:val="20"/>
                <w:szCs w:val="20"/>
                <w:color w:val="auto"/>
              </w:rPr>
            </w:pPr>
            <w:r>
              <w:rPr>
                <w:rFonts w:ascii="Arial" w:cs="Arial" w:eastAsia="Arial" w:hAnsi="Arial"/>
                <w:sz w:val="16"/>
                <w:szCs w:val="16"/>
                <w:color w:val="auto"/>
              </w:rPr>
              <w:t>Item 1.</w:t>
            </w:r>
          </w:p>
        </w:tc>
        <w:tc>
          <w:tcPr>
            <w:tcW w:w="8940" w:type="dxa"/>
            <w:vAlign w:val="bottom"/>
            <w:gridSpan w:val="9"/>
          </w:tcPr>
          <w:p>
            <w:pPr>
              <w:spacing w:after="0"/>
              <w:rPr>
                <w:sz w:val="20"/>
                <w:szCs w:val="20"/>
                <w:color w:val="auto"/>
              </w:rPr>
            </w:pPr>
            <w:r>
              <w:rPr>
                <w:rFonts w:ascii="Arial" w:cs="Arial" w:eastAsia="Arial" w:hAnsi="Arial"/>
                <w:sz w:val="16"/>
                <w:szCs w:val="16"/>
                <w:color w:val="auto"/>
              </w:rPr>
              <w:t>Financial Statements</w:t>
            </w:r>
          </w:p>
        </w:tc>
        <w:tc>
          <w:tcPr>
            <w:tcW w:w="980" w:type="dxa"/>
            <w:vAlign w:val="bottom"/>
          </w:tcPr>
          <w:p>
            <w:pPr>
              <w:spacing w:after="0"/>
              <w:rPr>
                <w:sz w:val="24"/>
                <w:szCs w:val="24"/>
                <w:color w:val="auto"/>
              </w:rPr>
            </w:pPr>
          </w:p>
        </w:tc>
      </w:tr>
      <w:tr>
        <w:trPr>
          <w:trHeight w:val="289"/>
        </w:trPr>
        <w:tc>
          <w:tcPr>
            <w:tcW w:w="132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S</w:t>
              </w:r>
            </w:hyperlink>
            <w:r>
              <w:rPr>
                <w:rFonts w:ascii="Arial" w:cs="Arial" w:eastAsia="Arial" w:hAnsi="Arial"/>
                <w:sz w:val="16"/>
                <w:szCs w:val="16"/>
                <w:u w:val="single" w:color="auto"/>
                <w:color w:val="0000FF"/>
              </w:rPr>
              <w:t>eptember</w:t>
            </w:r>
            <w:r>
              <w:rPr>
                <w:rFonts w:ascii="Arial" w:cs="Arial" w:eastAsia="Arial" w:hAnsi="Arial"/>
                <w:sz w:val="16"/>
                <w:szCs w:val="16"/>
                <w:color w:val="0000FF"/>
              </w:rPr>
              <w:t xml:space="preserve"> </w:t>
            </w:r>
            <w:hyperlink w:anchor="page3">
              <w:r>
                <w:rPr>
                  <w:rFonts w:ascii="Arial" w:cs="Arial" w:eastAsia="Arial" w:hAnsi="Arial"/>
                  <w:sz w:val="16"/>
                  <w:szCs w:val="16"/>
                  <w:u w:val="single" w:color="auto"/>
                  <w:color w:val="0000FF"/>
                </w:rPr>
                <w:t>30, 2020 and December 31, 2019</w:t>
              </w:r>
            </w:hyperlink>
          </w:p>
        </w:tc>
        <w:tc>
          <w:tcPr>
            <w:tcW w:w="980" w:type="dxa"/>
            <w:vAlign w:val="bottom"/>
          </w:tcPr>
          <w:p>
            <w:pPr>
              <w:jc w:val="right"/>
              <w:ind w:right="139"/>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0"/>
        </w:trPr>
        <w:tc>
          <w:tcPr>
            <w:tcW w:w="1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8940" w:type="dxa"/>
            <w:vAlign w:val="bottom"/>
            <w:gridSpan w:val="9"/>
          </w:tcPr>
          <w:p>
            <w:pPr>
              <w:spacing w:after="0"/>
              <w:rPr>
                <w:rFonts w:ascii="Arial" w:cs="Arial" w:eastAsia="Arial" w:hAnsi="Arial"/>
                <w:sz w:val="16"/>
                <w:szCs w:val="16"/>
                <w:color w:val="0000FF"/>
                <w:w w:val="93"/>
              </w:rPr>
            </w:pPr>
            <w:hyperlink w:anchor="page3">
              <w:r>
                <w:rPr>
                  <w:rFonts w:ascii="Arial" w:cs="Arial" w:eastAsia="Arial" w:hAnsi="Arial"/>
                  <w:sz w:val="16"/>
                  <w:szCs w:val="16"/>
                  <w:u w:val="single" w:color="auto"/>
                  <w:color w:val="0000FF"/>
                  <w:w w:val="93"/>
                </w:rPr>
                <w:t>Condensed Consolidated Statements of Comprehensive Income (Loss) for the Three and</w:t>
              </w:r>
              <w:r>
                <w:rPr>
                  <w:rFonts w:ascii="Arial" w:cs="Arial" w:eastAsia="Arial" w:hAnsi="Arial"/>
                  <w:sz w:val="16"/>
                  <w:szCs w:val="16"/>
                  <w:color w:val="0000FF"/>
                  <w:w w:val="93"/>
                </w:rPr>
                <w:t xml:space="preserve"> Nine Months Ended </w:t>
              </w:r>
              <w:r>
                <w:rPr>
                  <w:rFonts w:ascii="Arial" w:cs="Arial" w:eastAsia="Arial" w:hAnsi="Arial"/>
                  <w:sz w:val="16"/>
                  <w:szCs w:val="16"/>
                  <w:u w:val="single" w:color="auto"/>
                  <w:color w:val="0000FF"/>
                  <w:w w:val="93"/>
                </w:rPr>
                <w:t>September</w:t>
              </w:r>
              <w:r>
                <w:rPr>
                  <w:rFonts w:ascii="Arial" w:cs="Arial" w:eastAsia="Arial" w:hAnsi="Arial"/>
                  <w:sz w:val="16"/>
                  <w:szCs w:val="16"/>
                  <w:color w:val="0000FF"/>
                  <w:w w:val="93"/>
                </w:rPr>
                <w:t xml:space="preserve"> 30, 2020 and</w:t>
              </w:r>
            </w:hyperlink>
          </w:p>
        </w:tc>
        <w:tc>
          <w:tcPr>
            <w:tcW w:w="980" w:type="dxa"/>
            <w:vAlign w:val="bottom"/>
          </w:tcPr>
          <w:p>
            <w:pPr>
              <w:spacing w:after="0"/>
              <w:rPr>
                <w:sz w:val="21"/>
                <w:szCs w:val="21"/>
                <w:color w:val="auto"/>
              </w:rPr>
            </w:pPr>
          </w:p>
        </w:tc>
      </w:tr>
      <w:tr>
        <w:trPr>
          <w:trHeight w:val="142"/>
        </w:trPr>
        <w:tc>
          <w:tcPr>
            <w:tcW w:w="1320" w:type="dxa"/>
            <w:vAlign w:val="bottom"/>
          </w:tcPr>
          <w:p>
            <w:pPr>
              <w:spacing w:after="0"/>
              <w:rPr>
                <w:sz w:val="12"/>
                <w:szCs w:val="12"/>
                <w:color w:val="auto"/>
              </w:rPr>
            </w:pPr>
          </w:p>
        </w:tc>
        <w:tc>
          <w:tcPr>
            <w:tcW w:w="3120" w:type="dxa"/>
            <w:vAlign w:val="bottom"/>
            <w:gridSpan w:val="3"/>
          </w:tcPr>
          <w:p>
            <w:pPr>
              <w:ind w:left="160"/>
              <w:spacing w:after="0" w:line="142" w:lineRule="exact"/>
              <w:rPr>
                <w:rFonts w:ascii="Arial" w:cs="Arial" w:eastAsia="Arial" w:hAnsi="Arial"/>
                <w:sz w:val="16"/>
                <w:szCs w:val="16"/>
                <w:color w:val="0000FF"/>
              </w:rPr>
            </w:pPr>
            <w:hyperlink w:anchor="page3">
              <w:r>
                <w:rPr>
                  <w:rFonts w:ascii="Arial" w:cs="Arial" w:eastAsia="Arial" w:hAnsi="Arial"/>
                  <w:sz w:val="16"/>
                  <w:szCs w:val="16"/>
                  <w:color w:val="0000FF"/>
                </w:rPr>
                <w:t>2019</w:t>
              </w:r>
            </w:hyperlink>
          </w:p>
        </w:tc>
        <w:tc>
          <w:tcPr>
            <w:tcW w:w="2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139"/>
              <w:spacing w:after="0" w:line="142" w:lineRule="exact"/>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5"/>
        </w:trPr>
        <w:tc>
          <w:tcPr>
            <w:tcW w:w="132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6"/>
                <w:szCs w:val="16"/>
                <w:u w:val="single" w:color="auto"/>
                <w:color w:val="0000FF"/>
                <w:w w:val="92"/>
              </w:rPr>
            </w:pPr>
            <w:hyperlink w:anchor="page4">
              <w:r>
                <w:rPr>
                  <w:rFonts w:ascii="Arial" w:cs="Arial" w:eastAsia="Arial" w:hAnsi="Arial"/>
                  <w:sz w:val="16"/>
                  <w:szCs w:val="16"/>
                  <w:u w:val="single" w:color="auto"/>
                  <w:color w:val="0000FF"/>
                  <w:w w:val="92"/>
                </w:rPr>
                <w:t>Condensed Consolidated Statement of Stockholders’ Equity for the Three and September Months Ended September 30, 2020 and 2019</w:t>
              </w:r>
            </w:hyperlink>
          </w:p>
        </w:tc>
        <w:tc>
          <w:tcPr>
            <w:tcW w:w="980" w:type="dxa"/>
            <w:vAlign w:val="bottom"/>
          </w:tcPr>
          <w:p>
            <w:pPr>
              <w:jc w:val="right"/>
              <w:ind w:right="13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r>
      <w:tr>
        <w:trPr>
          <w:trHeight w:val="235"/>
        </w:trPr>
        <w:tc>
          <w:tcPr>
            <w:tcW w:w="1320" w:type="dxa"/>
            <w:vAlign w:val="bottom"/>
          </w:tcPr>
          <w:p>
            <w:pPr>
              <w:spacing w:after="0"/>
              <w:rPr>
                <w:sz w:val="20"/>
                <w:szCs w:val="20"/>
                <w:color w:val="auto"/>
              </w:rPr>
            </w:pPr>
          </w:p>
        </w:tc>
        <w:tc>
          <w:tcPr>
            <w:tcW w:w="8940" w:type="dxa"/>
            <w:vAlign w:val="bottom"/>
            <w:gridSpan w:val="9"/>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Condensed Consolidated Statements of Cash Flows for the Nine Months Ended </w:t>
              </w:r>
              <w:r>
                <w:rPr>
                  <w:rFonts w:ascii="Arial" w:cs="Arial" w:eastAsia="Arial" w:hAnsi="Arial"/>
                  <w:sz w:val="16"/>
                  <w:szCs w:val="16"/>
                  <w:u w:val="single" w:color="auto"/>
                  <w:color w:val="0000FF"/>
                </w:rPr>
                <w:t>September 30, 2020 and 2019</w:t>
              </w:r>
            </w:hyperlink>
          </w:p>
        </w:tc>
        <w:tc>
          <w:tcPr>
            <w:tcW w:w="980" w:type="dxa"/>
            <w:vAlign w:val="bottom"/>
          </w:tcPr>
          <w:p>
            <w:pPr>
              <w:jc w:val="right"/>
              <w:ind w:right="139"/>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85"/>
        </w:trPr>
        <w:tc>
          <w:tcPr>
            <w:tcW w:w="1320" w:type="dxa"/>
            <w:vAlign w:val="bottom"/>
          </w:tcPr>
          <w:p>
            <w:pPr>
              <w:spacing w:after="0"/>
              <w:rPr>
                <w:sz w:val="24"/>
                <w:szCs w:val="24"/>
                <w:color w:val="auto"/>
              </w:rPr>
            </w:pPr>
          </w:p>
        </w:tc>
        <w:tc>
          <w:tcPr>
            <w:tcW w:w="5200" w:type="dxa"/>
            <w:vAlign w:val="bottom"/>
            <w:tcBorders>
              <w:top w:val="single" w:sz="8" w:color="0000FF"/>
            </w:tcBorders>
            <w:gridSpan w:val="4"/>
          </w:tcPr>
          <w:p>
            <w:pPr>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Notes to Condensed Consolidated Financial Statements</w:t>
              </w:r>
            </w:hyperlink>
          </w:p>
        </w:tc>
        <w:tc>
          <w:tcPr>
            <w:tcW w:w="3740" w:type="dxa"/>
            <w:vAlign w:val="bottom"/>
            <w:gridSpan w:val="5"/>
          </w:tcPr>
          <w:p>
            <w:pPr>
              <w:spacing w:after="0"/>
              <w:rPr>
                <w:sz w:val="24"/>
                <w:szCs w:val="24"/>
                <w:color w:val="auto"/>
              </w:rPr>
            </w:pPr>
          </w:p>
        </w:tc>
        <w:tc>
          <w:tcPr>
            <w:tcW w:w="980" w:type="dxa"/>
            <w:vAlign w:val="bottom"/>
          </w:tcPr>
          <w:p>
            <w:pPr>
              <w:jc w:val="right"/>
              <w:ind w:right="139"/>
              <w:spacing w:after="0"/>
              <w:rPr>
                <w:rFonts w:ascii="Arial" w:cs="Arial" w:eastAsia="Arial" w:hAnsi="Arial"/>
                <w:sz w:val="16"/>
                <w:szCs w:val="16"/>
                <w:color w:val="0000FF"/>
              </w:rPr>
            </w:pPr>
            <w:hyperlink w:anchor="page7">
              <w:r>
                <w:rPr>
                  <w:rFonts w:ascii="Arial" w:cs="Arial" w:eastAsia="Arial" w:hAnsi="Arial"/>
                  <w:sz w:val="16"/>
                  <w:szCs w:val="16"/>
                  <w:color w:val="0000FF"/>
                </w:rPr>
                <w:t>6</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2.</w:t>
            </w:r>
          </w:p>
        </w:tc>
        <w:tc>
          <w:tcPr>
            <w:tcW w:w="8940" w:type="dxa"/>
            <w:vAlign w:val="bottom"/>
            <w:gridSpan w:val="9"/>
          </w:tcPr>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Management’s Discussion and Analysis of Financial Condition and Results of Operations</w:t>
              </w:r>
            </w:hyperlink>
          </w:p>
        </w:tc>
        <w:tc>
          <w:tcPr>
            <w:tcW w:w="980" w:type="dxa"/>
            <w:vAlign w:val="bottom"/>
          </w:tcPr>
          <w:p>
            <w:pPr>
              <w:jc w:val="right"/>
              <w:ind w:right="139"/>
              <w:spacing w:after="0"/>
              <w:rPr>
                <w:rFonts w:ascii="Arial" w:cs="Arial" w:eastAsia="Arial" w:hAnsi="Arial"/>
                <w:sz w:val="16"/>
                <w:szCs w:val="16"/>
                <w:color w:val="0000FF"/>
              </w:rPr>
            </w:pPr>
            <w:hyperlink w:anchor="page19">
              <w:r>
                <w:rPr>
                  <w:rFonts w:ascii="Arial" w:cs="Arial" w:eastAsia="Arial" w:hAnsi="Arial"/>
                  <w:sz w:val="16"/>
                  <w:szCs w:val="16"/>
                  <w:color w:val="0000FF"/>
                </w:rPr>
                <w:t>18</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3.</w:t>
            </w:r>
          </w:p>
        </w:tc>
        <w:tc>
          <w:tcPr>
            <w:tcW w:w="8940" w:type="dxa"/>
            <w:vAlign w:val="bottom"/>
            <w:gridSpan w:val="9"/>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Quantitative and Qualitative Disclosures About Market Risk</w:t>
              </w:r>
            </w:hyperlink>
          </w:p>
        </w:tc>
        <w:tc>
          <w:tcPr>
            <w:tcW w:w="980" w:type="dxa"/>
            <w:vAlign w:val="bottom"/>
          </w:tcPr>
          <w:p>
            <w:pPr>
              <w:jc w:val="right"/>
              <w:ind w:right="139"/>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4.</w:t>
            </w:r>
          </w:p>
        </w:tc>
        <w:tc>
          <w:tcPr>
            <w:tcW w:w="8940" w:type="dxa"/>
            <w:vAlign w:val="bottom"/>
            <w:gridSpan w:val="9"/>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Controls and Procedures</w:t>
              </w:r>
            </w:hyperlink>
          </w:p>
        </w:tc>
        <w:tc>
          <w:tcPr>
            <w:tcW w:w="980" w:type="dxa"/>
            <w:vAlign w:val="bottom"/>
          </w:tcPr>
          <w:p>
            <w:pPr>
              <w:jc w:val="right"/>
              <w:ind w:right="139"/>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PART II</w:t>
            </w:r>
          </w:p>
        </w:tc>
        <w:tc>
          <w:tcPr>
            <w:tcW w:w="8940" w:type="dxa"/>
            <w:vAlign w:val="bottom"/>
            <w:gridSpan w:val="9"/>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OTHER INFORMATION</w:t>
              </w:r>
            </w:hyperlink>
          </w:p>
        </w:tc>
        <w:tc>
          <w:tcPr>
            <w:tcW w:w="980" w:type="dxa"/>
            <w:vAlign w:val="bottom"/>
          </w:tcPr>
          <w:p>
            <w:pPr>
              <w:jc w:val="right"/>
              <w:ind w:right="139"/>
              <w:spacing w:after="0"/>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1.</w:t>
            </w:r>
          </w:p>
        </w:tc>
        <w:tc>
          <w:tcPr>
            <w:tcW w:w="8940" w:type="dxa"/>
            <w:vAlign w:val="bottom"/>
            <w:gridSpan w:val="9"/>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Legal Proceedings</w:t>
              </w:r>
            </w:hyperlink>
          </w:p>
        </w:tc>
        <w:tc>
          <w:tcPr>
            <w:tcW w:w="980" w:type="dxa"/>
            <w:vAlign w:val="bottom"/>
          </w:tcPr>
          <w:p>
            <w:pPr>
              <w:jc w:val="right"/>
              <w:ind w:right="139"/>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1A.</w:t>
            </w:r>
          </w:p>
        </w:tc>
        <w:tc>
          <w:tcPr>
            <w:tcW w:w="8940" w:type="dxa"/>
            <w:vAlign w:val="bottom"/>
            <w:gridSpan w:val="9"/>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Risk Factors</w:t>
              </w:r>
            </w:hyperlink>
          </w:p>
        </w:tc>
        <w:tc>
          <w:tcPr>
            <w:tcW w:w="980" w:type="dxa"/>
            <w:vAlign w:val="bottom"/>
          </w:tcPr>
          <w:p>
            <w:pPr>
              <w:jc w:val="right"/>
              <w:ind w:right="139"/>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70"/>
        </w:trPr>
        <w:tc>
          <w:tcPr>
            <w:tcW w:w="1320" w:type="dxa"/>
            <w:vAlign w:val="bottom"/>
          </w:tcPr>
          <w:p>
            <w:pPr>
              <w:ind w:left="280"/>
              <w:spacing w:after="0"/>
              <w:rPr>
                <w:sz w:val="20"/>
                <w:szCs w:val="20"/>
                <w:color w:val="auto"/>
              </w:rPr>
            </w:pPr>
            <w:r>
              <w:rPr>
                <w:rFonts w:ascii="Arial" w:cs="Arial" w:eastAsia="Arial" w:hAnsi="Arial"/>
                <w:sz w:val="16"/>
                <w:szCs w:val="16"/>
                <w:color w:val="auto"/>
              </w:rPr>
              <w:t>Item 2.</w:t>
            </w:r>
          </w:p>
        </w:tc>
        <w:tc>
          <w:tcPr>
            <w:tcW w:w="8940" w:type="dxa"/>
            <w:vAlign w:val="bottom"/>
            <w:gridSpan w:val="9"/>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Unregistered Sales of Equity Securities and Use of Proceeds</w:t>
              </w:r>
            </w:hyperlink>
          </w:p>
        </w:tc>
        <w:tc>
          <w:tcPr>
            <w:tcW w:w="980" w:type="dxa"/>
            <w:vAlign w:val="bottom"/>
          </w:tcPr>
          <w:p>
            <w:pPr>
              <w:jc w:val="right"/>
              <w:ind w:right="139"/>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70"/>
        </w:trPr>
        <w:tc>
          <w:tcPr>
            <w:tcW w:w="1320" w:type="dxa"/>
            <w:vAlign w:val="bottom"/>
          </w:tcPr>
          <w:p>
            <w:pPr>
              <w:ind w:left="240"/>
              <w:spacing w:after="0"/>
              <w:rPr>
                <w:sz w:val="20"/>
                <w:szCs w:val="20"/>
                <w:color w:val="auto"/>
              </w:rPr>
            </w:pPr>
            <w:r>
              <w:rPr>
                <w:rFonts w:ascii="Arial" w:cs="Arial" w:eastAsia="Arial" w:hAnsi="Arial"/>
                <w:sz w:val="16"/>
                <w:szCs w:val="16"/>
                <w:color w:val="auto"/>
              </w:rPr>
              <w:t>Item 6.</w:t>
            </w:r>
          </w:p>
        </w:tc>
        <w:tc>
          <w:tcPr>
            <w:tcW w:w="8940" w:type="dxa"/>
            <w:vAlign w:val="bottom"/>
            <w:gridSpan w:val="9"/>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Exhibits</w:t>
              </w:r>
            </w:hyperlink>
          </w:p>
        </w:tc>
        <w:tc>
          <w:tcPr>
            <w:tcW w:w="980" w:type="dxa"/>
            <w:vAlign w:val="bottom"/>
          </w:tcPr>
          <w:p>
            <w:pPr>
              <w:jc w:val="right"/>
              <w:ind w:right="139"/>
              <w:spacing w:after="0"/>
              <w:rPr>
                <w:rFonts w:ascii="Arial" w:cs="Arial" w:eastAsia="Arial" w:hAnsi="Arial"/>
                <w:sz w:val="16"/>
                <w:szCs w:val="16"/>
                <w:color w:val="0000FF"/>
              </w:rPr>
            </w:pPr>
            <w:hyperlink w:anchor="page32">
              <w:r>
                <w:rPr>
                  <w:rFonts w:ascii="Arial" w:cs="Arial" w:eastAsia="Arial" w:hAnsi="Arial"/>
                  <w:sz w:val="16"/>
                  <w:szCs w:val="16"/>
                  <w:color w:val="0000FF"/>
                </w:rPr>
                <w:t>31</w:t>
              </w:r>
            </w:hyperlink>
          </w:p>
        </w:tc>
      </w:tr>
      <w:tr>
        <w:trPr>
          <w:trHeight w:val="270"/>
        </w:trPr>
        <w:tc>
          <w:tcPr>
            <w:tcW w:w="1320" w:type="dxa"/>
            <w:vAlign w:val="bottom"/>
          </w:tcPr>
          <w:p>
            <w:pPr>
              <w:ind w:left="28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Signatures</w:t>
              </w:r>
            </w:hyperlink>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9"/>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r>
      <w:tr>
        <w:trPr>
          <w:trHeight w:val="2780"/>
        </w:trPr>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49,766</w:t>
            </w:r>
          </w:p>
        </w:tc>
        <w:tc>
          <w:tcPr>
            <w:tcW w:w="0" w:type="dxa"/>
            <w:vAlign w:val="bottom"/>
          </w:tcPr>
          <w:p>
            <w:pPr>
              <w:spacing w:after="0"/>
              <w:rPr>
                <w:sz w:val="1"/>
                <w:szCs w:val="1"/>
                <w:color w:val="auto"/>
              </w:rPr>
            </w:pPr>
          </w:p>
        </w:tc>
      </w:tr>
      <w:tr>
        <w:trPr>
          <w:trHeight w:val="213"/>
        </w:trPr>
        <w:tc>
          <w:tcPr>
            <w:tcW w:w="810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13,177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Investments,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50,324</w:t>
            </w:r>
          </w:p>
        </w:tc>
        <w:tc>
          <w:tcPr>
            <w:tcW w:w="0" w:type="dxa"/>
            <w:vAlign w:val="bottom"/>
          </w:tcPr>
          <w:p>
            <w:pPr>
              <w:spacing w:after="0"/>
              <w:rPr>
                <w:sz w:val="1"/>
                <w:szCs w:val="1"/>
                <w:color w:val="auto"/>
              </w:rPr>
            </w:pPr>
          </w:p>
        </w:tc>
      </w:tr>
      <w:tr>
        <w:trPr>
          <w:trHeight w:val="213"/>
        </w:trPr>
        <w:tc>
          <w:tcPr>
            <w:tcW w:w="8100" w:type="dxa"/>
            <w:vAlign w:val="bottom"/>
          </w:tcPr>
          <w:p>
            <w:pPr>
              <w:ind w:left="460"/>
              <w:spacing w:after="0"/>
              <w:rPr>
                <w:sz w:val="20"/>
                <w:szCs w:val="20"/>
                <w:color w:val="auto"/>
              </w:rPr>
            </w:pPr>
            <w:r>
              <w:rPr>
                <w:rFonts w:ascii="Arial" w:cs="Arial" w:eastAsia="Arial" w:hAnsi="Arial"/>
                <w:sz w:val="16"/>
                <w:szCs w:val="16"/>
                <w:color w:val="auto"/>
              </w:rPr>
              <w:t>Prepaid income taxes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206"/>
        </w:trPr>
        <w:tc>
          <w:tcPr>
            <w:tcW w:w="810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89,800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116,961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Noncurrent investments at fair value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4,238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15,256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$8,056 and $7,395</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178,707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Dividends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7,362</w:t>
            </w:r>
          </w:p>
        </w:tc>
        <w:tc>
          <w:tcPr>
            <w:tcW w:w="0" w:type="dxa"/>
            <w:vAlign w:val="bottom"/>
          </w:tcPr>
          <w:p>
            <w:pPr>
              <w:spacing w:after="0"/>
              <w:rPr>
                <w:sz w:val="1"/>
                <w:szCs w:val="1"/>
                <w:color w:val="auto"/>
              </w:rPr>
            </w:pPr>
          </w:p>
        </w:tc>
      </w:tr>
      <w:tr>
        <w:trPr>
          <w:trHeight w:val="213"/>
        </w:trPr>
        <w:tc>
          <w:tcPr>
            <w:tcW w:w="8100" w:type="dxa"/>
            <w:vAlign w:val="bottom"/>
          </w:tcPr>
          <w:p>
            <w:pPr>
              <w:ind w:left="460"/>
              <w:spacing w:after="0"/>
              <w:rPr>
                <w:sz w:val="20"/>
                <w:szCs w:val="20"/>
                <w:color w:val="auto"/>
              </w:rPr>
            </w:pPr>
            <w:r>
              <w:rPr>
                <w:rFonts w:ascii="Arial" w:cs="Arial" w:eastAsia="Arial" w:hAnsi="Arial"/>
                <w:sz w:val="16"/>
                <w:szCs w:val="16"/>
                <w:color w:val="auto"/>
              </w:rPr>
              <w:t>Compensation and benefits payable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9,975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Accrued dividends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9,065</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30,420</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00" w:type="dxa"/>
            <w:vAlign w:val="bottom"/>
          </w:tcPr>
          <w:p>
            <w:pPr>
              <w:ind w:left="480"/>
              <w:spacing w:after="0" w:line="166" w:lineRule="exact"/>
              <w:rPr>
                <w:sz w:val="20"/>
                <w:szCs w:val="20"/>
                <w:color w:val="auto"/>
              </w:rPr>
            </w:pPr>
            <w:r>
              <w:rPr>
                <w:rFonts w:ascii="Arial" w:cs="Arial" w:eastAsia="Arial" w:hAnsi="Arial"/>
                <w:sz w:val="16"/>
                <w:szCs w:val="16"/>
                <w:color w:val="auto"/>
                <w:w w:val="91"/>
              </w:rPr>
              <w:t>Common stock, $0.01 par value, authorized 25,000,000 shares, issued 10,542,571 and outstanding 8,366,811 shares</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9"/>
        </w:trPr>
        <w:tc>
          <w:tcPr>
            <w:tcW w:w="8100" w:type="dxa"/>
            <w:vAlign w:val="bottom"/>
          </w:tcPr>
          <w:p>
            <w:pPr>
              <w:ind w:left="640"/>
              <w:spacing w:after="0"/>
              <w:rPr>
                <w:sz w:val="20"/>
                <w:szCs w:val="20"/>
                <w:color w:val="auto"/>
              </w:rPr>
            </w:pPr>
            <w:r>
              <w:rPr>
                <w:rFonts w:ascii="Arial" w:cs="Arial" w:eastAsia="Arial" w:hAnsi="Arial"/>
                <w:sz w:val="16"/>
                <w:szCs w:val="16"/>
                <w:color w:val="auto"/>
              </w:rPr>
              <w:t>at September 30, 2020; issued 10,306,570 and outstanding 8,881,086 shares at December 31, 2019</w:t>
            </w: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203,441</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w w:val="99"/>
              </w:rPr>
              <w:t>Treasury stock, at cost - 2,175,758 shares at September 30, 2020; 1,425,483 shares at December 31, 2019</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(78,050)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(63,281)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Retained earnings (accumulated deficit)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10,967</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07"/>
        </w:trPr>
        <w:tc>
          <w:tcPr>
            <w:tcW w:w="8100" w:type="dxa"/>
            <w:vAlign w:val="bottom"/>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144,384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178,707</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0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Advisory fees: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Asset-based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44,265</w:t>
            </w:r>
          </w:p>
        </w:tc>
        <w:tc>
          <w:tcPr>
            <w:tcW w:w="0" w:type="dxa"/>
            <w:vAlign w:val="bottom"/>
          </w:tcPr>
          <w:p>
            <w:pPr>
              <w:spacing w:after="0"/>
              <w:rPr>
                <w:sz w:val="1"/>
                <w:szCs w:val="1"/>
                <w:color w:val="auto"/>
              </w:rPr>
            </w:pPr>
          </w:p>
        </w:tc>
      </w:tr>
      <w:tr>
        <w:trPr>
          <w:trHeight w:val="213"/>
        </w:trPr>
        <w:tc>
          <w:tcPr>
            <w:tcW w:w="5060" w:type="dxa"/>
            <w:vAlign w:val="bottom"/>
          </w:tcPr>
          <w:p>
            <w:pPr>
              <w:ind w:left="640"/>
              <w:spacing w:after="0"/>
              <w:rPr>
                <w:sz w:val="20"/>
                <w:szCs w:val="20"/>
                <w:color w:val="auto"/>
              </w:rPr>
            </w:pPr>
            <w:r>
              <w:rPr>
                <w:rFonts w:ascii="Arial" w:cs="Arial" w:eastAsia="Arial" w:hAnsi="Arial"/>
                <w:sz w:val="16"/>
                <w:szCs w:val="16"/>
                <w:color w:val="auto"/>
              </w:rPr>
              <w:t>Performance-based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Trust fees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19,264</w:t>
            </w: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Trust performance-based fees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07"/>
        </w:trPr>
        <w:tc>
          <w:tcPr>
            <w:tcW w:w="506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47,998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65,463</w:t>
            </w: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Employee compensation and benefits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38,060</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Westwood mutual funds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Information technology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6,276</w:t>
            </w: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3,258</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Impairment expense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loss on foreign currency transactions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07"/>
        </w:trPr>
        <w:tc>
          <w:tcPr>
            <w:tcW w:w="506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59,862</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operating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0" w:type="dxa"/>
            <w:vAlign w:val="bottom"/>
          </w:tcPr>
          <w:p>
            <w:pPr>
              <w:spacing w:after="0"/>
              <w:rPr>
                <w:sz w:val="1"/>
                <w:szCs w:val="1"/>
                <w:color w:val="auto"/>
              </w:rPr>
            </w:pPr>
          </w:p>
        </w:tc>
      </w:tr>
      <w:tr>
        <w:trPr>
          <w:trHeight w:val="206"/>
        </w:trPr>
        <w:tc>
          <w:tcPr>
            <w:tcW w:w="5060" w:type="dxa"/>
            <w:vAlign w:val="bottom"/>
          </w:tcPr>
          <w:p>
            <w:pPr>
              <w:ind w:left="320"/>
              <w:spacing w:after="0"/>
              <w:rPr>
                <w:sz w:val="20"/>
                <w:szCs w:val="20"/>
                <w:color w:val="auto"/>
              </w:rPr>
            </w:pPr>
            <w:r>
              <w:rPr>
                <w:rFonts w:ascii="Arial" w:cs="Arial" w:eastAsia="Arial" w:hAnsi="Arial"/>
                <w:sz w:val="16"/>
                <w:szCs w:val="16"/>
                <w:color w:val="auto"/>
              </w:rPr>
              <w:t>Unrealized losses on private investments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income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69"/>
        </w:trPr>
        <w:tc>
          <w:tcPr>
            <w:tcW w:w="506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w w:val="99"/>
              </w:rPr>
              <w:t>Foreign currency translation adjustments to net income (loss) upon</w:t>
            </w: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liquidation of a foreign subsidiary</w:t>
            </w:r>
          </w:p>
        </w:tc>
        <w:tc>
          <w:tcPr>
            <w:tcW w:w="2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(8,318)</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5,711</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169"/>
        </w:trPr>
        <w:tc>
          <w:tcPr>
            <w:tcW w:w="506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w w:val="94"/>
              </w:rPr>
              <w:t>Reclassification of cumulative foreign currency translation adjustments</w:t>
            </w: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 net income (loss) upon liquidation of a foreign subsidiary</w:t>
            </w:r>
          </w:p>
        </w:tc>
        <w:tc>
          <w:tcPr>
            <w:tcW w:w="2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4,454</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32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7,829,478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8,432,598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8,040,417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8,414,317</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8,040,417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8,467,823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2040" w:type="dxa"/>
            <w:vAlign w:val="bottom"/>
            <w:gridSpan w:val="4"/>
            <w:vMerge w:val="restart"/>
          </w:tcPr>
          <w:p>
            <w:pPr>
              <w:jc w:val="right"/>
              <w:ind w:right="280"/>
              <w:spacing w:after="0"/>
              <w:rPr>
                <w:sz w:val="20"/>
                <w:szCs w:val="20"/>
                <w:color w:val="auto"/>
              </w:rPr>
            </w:pPr>
            <w:r>
              <w:rPr>
                <w:rFonts w:ascii="Arial" w:cs="Arial" w:eastAsia="Arial" w:hAnsi="Arial"/>
                <w:sz w:val="15"/>
                <w:szCs w:val="15"/>
                <w:b w:val="1"/>
                <w:bCs w:val="1"/>
                <w:color w:val="auto"/>
              </w:rPr>
              <w:t>Common Stock, Par</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2"/>
              </w:rPr>
              <w:t>Accumulated Other</w:t>
            </w:r>
          </w:p>
        </w:tc>
        <w:tc>
          <w:tcPr>
            <w:tcW w:w="15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Retained Earnings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1"/>
                <w:szCs w:val="11"/>
                <w:color w:val="auto"/>
              </w:rPr>
            </w:pPr>
          </w:p>
        </w:tc>
        <w:tc>
          <w:tcPr>
            <w:tcW w:w="204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Comprehensive</w:t>
            </w:r>
          </w:p>
        </w:tc>
        <w:tc>
          <w:tcPr>
            <w:tcW w:w="18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9"/>
              </w:rPr>
              <w:t>(Accumulated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Income (Loss)</w:t>
            </w: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Deficit)</w:t>
            </w:r>
          </w:p>
        </w:tc>
        <w:tc>
          <w:tcPr>
            <w:tcW w:w="20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8,382,342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w w:val="93"/>
              </w:rPr>
              <w:t>(78,050)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131,429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(10,289)</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Foreign currency translation adjustments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66"/>
        </w:trPr>
        <w:tc>
          <w:tcPr>
            <w:tcW w:w="2860" w:type="dxa"/>
            <w:vAlign w:val="bottom"/>
          </w:tcPr>
          <w:p>
            <w:pPr>
              <w:spacing w:after="0" w:line="166" w:lineRule="exact"/>
              <w:rPr>
                <w:sz w:val="20"/>
                <w:szCs w:val="20"/>
                <w:color w:val="auto"/>
              </w:rPr>
            </w:pPr>
            <w:r>
              <w:rPr>
                <w:rFonts w:ascii="Arial" w:cs="Arial" w:eastAsia="Arial" w:hAnsi="Arial"/>
                <w:sz w:val="16"/>
                <w:szCs w:val="16"/>
                <w:color w:val="auto"/>
                <w:w w:val="98"/>
              </w:rPr>
              <w:t>Foreign currency translation adjustments</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reclassification</w:t>
            </w: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restricted stock,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rPr>
              <w:t>Dividend reversal for forfeited restricted</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stock</w:t>
            </w: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2020</w:t>
            </w:r>
          </w:p>
        </w:tc>
        <w:tc>
          <w:tcPr>
            <w:tcW w:w="1040" w:type="dxa"/>
            <w:vAlign w:val="bottom"/>
          </w:tcPr>
          <w:p>
            <w:pPr>
              <w:jc w:val="right"/>
              <w:spacing w:after="0"/>
              <w:rPr>
                <w:sz w:val="20"/>
                <w:szCs w:val="20"/>
                <w:color w:val="auto"/>
              </w:rPr>
            </w:pPr>
            <w:r>
              <w:rPr>
                <w:rFonts w:ascii="Arial" w:cs="Arial" w:eastAsia="Arial" w:hAnsi="Arial"/>
                <w:sz w:val="16"/>
                <w:szCs w:val="16"/>
                <w:color w:val="auto"/>
              </w:rPr>
              <w:t>8,366,811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209,060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240"/>
              <w:spacing w:after="0"/>
              <w:rPr>
                <w:sz w:val="20"/>
                <w:szCs w:val="20"/>
                <w:color w:val="auto"/>
              </w:rPr>
            </w:pPr>
            <w:r>
              <w:rPr>
                <w:rFonts w:ascii="Arial" w:cs="Arial" w:eastAsia="Arial" w:hAnsi="Arial"/>
                <w:sz w:val="16"/>
                <w:szCs w:val="16"/>
                <w:color w:val="auto"/>
                <w:w w:val="93"/>
              </w:rPr>
              <w:t>(78,050)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(4,624)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126,492</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5"/>
                <w:szCs w:val="15"/>
                <w:color w:val="auto"/>
              </w:rPr>
            </w:pPr>
          </w:p>
        </w:tc>
        <w:tc>
          <w:tcPr>
            <w:tcW w:w="2080" w:type="dxa"/>
            <w:vAlign w:val="bottom"/>
            <w:gridSpan w:val="4"/>
            <w:vMerge w:val="restart"/>
          </w:tcPr>
          <w:p>
            <w:pPr>
              <w:jc w:val="right"/>
              <w:ind w:right="300"/>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w w:val="96"/>
              </w:rPr>
              <w:t>Accumulated Other</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1"/>
                <w:szCs w:val="11"/>
                <w:color w:val="auto"/>
              </w:rPr>
            </w:pPr>
          </w:p>
        </w:tc>
        <w:tc>
          <w:tcPr>
            <w:tcW w:w="20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Income (Loss)</w:t>
            </w: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Retained Earnings</w:t>
            </w:r>
          </w:p>
        </w:tc>
        <w:tc>
          <w:tcPr>
            <w:tcW w:w="20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8,944,733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153,986</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Foreign currency translation adjustments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rPr>
              <w:t>Issuance of restricted stock, net 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(22,059)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forfeitures</w:t>
            </w: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($0.72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8,906,152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202,278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(63,335)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(3,799)</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14,812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150,059</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2060" w:type="dxa"/>
            <w:vAlign w:val="bottom"/>
            <w:gridSpan w:val="4"/>
            <w:vMerge w:val="restart"/>
          </w:tcPr>
          <w:p>
            <w:pPr>
              <w:jc w:val="right"/>
              <w:ind w:right="279"/>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2"/>
              </w:rPr>
              <w:t>Accumulated Other</w:t>
            </w:r>
          </w:p>
        </w:tc>
        <w:tc>
          <w:tcPr>
            <w:tcW w:w="15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Retained Earnings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1"/>
                <w:szCs w:val="11"/>
                <w:color w:val="auto"/>
              </w:rPr>
            </w:pPr>
          </w:p>
        </w:tc>
        <w:tc>
          <w:tcPr>
            <w:tcW w:w="20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Comprehensive</w:t>
            </w:r>
          </w:p>
        </w:tc>
        <w:tc>
          <w:tcPr>
            <w:tcW w:w="18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9"/>
              </w:rPr>
              <w:t>(Accumulated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8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Income (Loss)</w:t>
            </w: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Deficit)</w:t>
            </w: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8,881,086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(11,762)</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Foreign currency translation adjustments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w w:val="97"/>
              </w:rPr>
              <w:t>Foreign currency translation adjustments</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reclassification</w:t>
            </w: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restricted stock, net of</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w w:val="95"/>
              </w:rPr>
              <w:t>Dividends declared ($0.43 per share), net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(3,829)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of forfeitures</w:t>
            </w: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w:t>
            </w: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w w:val="98"/>
              </w:rPr>
              <w:t>Reclassification of compensation liability</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to be paid in shares</w:t>
            </w: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w w:val="91"/>
              </w:rPr>
              <w:t>Purchase of treasury stock under employee</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(27,474)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stock plans</w:t>
            </w: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Restricted stock returned for payment of</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2020</w:t>
            </w:r>
          </w:p>
        </w:tc>
        <w:tc>
          <w:tcPr>
            <w:tcW w:w="1060" w:type="dxa"/>
            <w:vAlign w:val="bottom"/>
          </w:tcPr>
          <w:p>
            <w:pPr>
              <w:jc w:val="right"/>
              <w:spacing w:after="0"/>
              <w:rPr>
                <w:sz w:val="20"/>
                <w:szCs w:val="20"/>
                <w:color w:val="auto"/>
              </w:rPr>
            </w:pPr>
            <w:r>
              <w:rPr>
                <w:rFonts w:ascii="Arial" w:cs="Arial" w:eastAsia="Arial" w:hAnsi="Arial"/>
                <w:sz w:val="16"/>
                <w:szCs w:val="16"/>
                <w:color w:val="auto"/>
              </w:rPr>
              <w:t>8,366,811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209,060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(78,050)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(4,624)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126,492</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2060" w:type="dxa"/>
            <w:vAlign w:val="bottom"/>
            <w:gridSpan w:val="4"/>
            <w:vMerge w:val="restart"/>
          </w:tcPr>
          <w:p>
            <w:pPr>
              <w:jc w:val="right"/>
              <w:ind w:right="279"/>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Accumulated Other</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1"/>
                <w:szCs w:val="11"/>
                <w:color w:val="auto"/>
              </w:rPr>
            </w:pPr>
          </w:p>
        </w:tc>
        <w:tc>
          <w:tcPr>
            <w:tcW w:w="20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8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Stock</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Income (Loss)</w:t>
            </w: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Retained Earnings</w:t>
            </w: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8,904,902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161,149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3,370</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Foreign currency translation adjustments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rPr>
              <w:t>Issuance of restricted stock, net 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131,721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180"/>
              <w:spacing w:after="0"/>
              <w:rPr>
                <w:sz w:val="20"/>
                <w:szCs w:val="20"/>
                <w:color w:val="auto"/>
              </w:rPr>
            </w:pPr>
            <w:r>
              <w:rPr>
                <w:rFonts w:ascii="Arial" w:cs="Arial" w:eastAsia="Arial" w:hAnsi="Arial"/>
                <w:sz w:val="16"/>
                <w:szCs w:val="16"/>
                <w:color w:val="auto"/>
              </w:rPr>
              <w:t>forfeitures</w:t>
            </w: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($2.16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(19,083)</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7,932</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Reclassification of compensation liability</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 be paid in shares</w:t>
            </w: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(68,435)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Restricted stock returned for payment of</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(62,036)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8,906,152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202,278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(63,335)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(3,799)</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14,812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150,059</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330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9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(11,762)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3,370</w:t>
            </w: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r>
      <w:tr>
        <w:trPr>
          <w:trHeight w:val="213"/>
        </w:trPr>
        <w:tc>
          <w:tcPr>
            <w:tcW w:w="7940" w:type="dxa"/>
            <w:vAlign w:val="bottom"/>
          </w:tcPr>
          <w:p>
            <w:pPr>
              <w:ind w:left="660"/>
              <w:spacing w:after="0"/>
              <w:rPr>
                <w:sz w:val="20"/>
                <w:szCs w:val="20"/>
                <w:color w:val="auto"/>
              </w:rPr>
            </w:pPr>
            <w:r>
              <w:rPr>
                <w:rFonts w:ascii="Arial" w:cs="Arial" w:eastAsia="Arial" w:hAnsi="Arial"/>
                <w:sz w:val="16"/>
                <w:szCs w:val="16"/>
                <w:color w:val="auto"/>
              </w:rPr>
              <w:t>Unrealized (gains) losses on investments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Stock based compensation expense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7,932</w:t>
            </w:r>
          </w:p>
        </w:tc>
      </w:tr>
      <w:tr>
        <w:trPr>
          <w:trHeight w:val="213"/>
        </w:trPr>
        <w:tc>
          <w:tcPr>
            <w:tcW w:w="794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1,572</w:t>
            </w: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13"/>
        </w:trPr>
        <w:tc>
          <w:tcPr>
            <w:tcW w:w="7940" w:type="dxa"/>
            <w:vAlign w:val="bottom"/>
          </w:tcPr>
          <w:p>
            <w:pPr>
              <w:ind w:left="660"/>
              <w:spacing w:after="0"/>
              <w:rPr>
                <w:sz w:val="20"/>
                <w:szCs w:val="20"/>
                <w:color w:val="auto"/>
              </w:rPr>
            </w:pPr>
            <w:r>
              <w:rPr>
                <w:rFonts w:ascii="Arial" w:cs="Arial" w:eastAsia="Arial" w:hAnsi="Arial"/>
                <w:sz w:val="16"/>
                <w:szCs w:val="16"/>
                <w:color w:val="auto"/>
              </w:rPr>
              <w:t>Impairment of goodwill</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Currency translation adjustment reclassification</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Change in operating assets and liabilities: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(purchases) sales of investments - trading securities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w:t>
            </w:r>
          </w:p>
        </w:tc>
      </w:tr>
      <w:tr>
        <w:trPr>
          <w:trHeight w:val="213"/>
        </w:trPr>
        <w:tc>
          <w:tcPr>
            <w:tcW w:w="794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5,673</w:t>
            </w: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current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13"/>
        </w:trPr>
        <w:tc>
          <w:tcPr>
            <w:tcW w:w="7940" w:type="dxa"/>
            <w:vAlign w:val="bottom"/>
          </w:tcPr>
          <w:p>
            <w:pPr>
              <w:ind w:left="66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Compensation and benefits payable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(8,100)</w:t>
            </w:r>
          </w:p>
        </w:tc>
      </w:tr>
      <w:tr>
        <w:trPr>
          <w:trHeight w:val="213"/>
        </w:trPr>
        <w:tc>
          <w:tcPr>
            <w:tcW w:w="794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(668)</w:t>
            </w:r>
          </w:p>
        </w:tc>
      </w:tr>
      <w:tr>
        <w:trPr>
          <w:trHeight w:val="219"/>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r>
      <w:tr>
        <w:trPr>
          <w:trHeight w:val="206"/>
        </w:trPr>
        <w:tc>
          <w:tcPr>
            <w:tcW w:w="794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Net cash (used in) provided by operating activities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33,611</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Purchase of property and equipment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investments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Additions to internally developed software</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13"/>
        </w:trPr>
        <w:tc>
          <w:tcPr>
            <w:tcW w:w="794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r>
      <w:tr>
        <w:trPr>
          <w:trHeight w:val="19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treasury stock</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(12,952)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Purchase of treasury stock under employee stock plans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(981)</w:t>
            </w: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stock returned for payment of taxes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r>
      <w:tr>
        <w:trPr>
          <w:trHeight w:val="213"/>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dividends paid</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(11,043)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(19,979)</w:t>
            </w:r>
          </w:p>
        </w:tc>
      </w:tr>
      <w:tr>
        <w:trPr>
          <w:trHeight w:val="213"/>
        </w:trPr>
        <w:tc>
          <w:tcPr>
            <w:tcW w:w="79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(25,812)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(24,603)</w:t>
            </w:r>
          </w:p>
        </w:tc>
      </w:tr>
      <w:tr>
        <w:trPr>
          <w:trHeight w:val="20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currency rate changes on cash</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r>
      <w:tr>
        <w:trPr>
          <w:trHeight w:val="21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(34,173)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5,923</w:t>
            </w:r>
          </w:p>
        </w:tc>
      </w:tr>
      <w:tr>
        <w:trPr>
          <w:trHeight w:val="20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52,449</w:t>
            </w:r>
          </w:p>
        </w:tc>
      </w:tr>
      <w:tr>
        <w:trPr>
          <w:trHeight w:val="23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58,372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dividends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On July 27, 2020, Westwood’s Board of Directors approved the liquidation of Westwood International Advisors, which occurred effective September 30, 2020.</w:t>
      </w:r>
    </w:p>
    <w:p>
      <w:pPr>
        <w:spacing w:after="0" w:line="80"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Westwood Management provides investment advisory services to institutional clients, a family of mutual funds called the Westwood Funds®, other mutual funds, individual investors and clients of Westwood Trust. Prior to its liquidation, Westwood International Advisors provided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70"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As a result of the substantially completed closures and liquidation of Westwood International Advisors and our Toronto office, in the three and nine months ended September 30, 2020 we recognized $0.5 million of severance expense, $0.3 million of lease impairment expense and $0.1 million of vendor contract related costs, offset by $1.3 million of restricted stock forfeitures. The severance expense and restricted stock forfeitures were recognized within "Employee compensation and benefits," the lease impairment expense was recognized in "General and administrative," and the vendor contract costs were recognized within "Information technology" on the Condensed Consolidated Statements of Comprehensive Income (Loss).</w:t>
      </w:r>
    </w:p>
    <w:p>
      <w:pPr>
        <w:spacing w:after="0" w:line="5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we repatriated previously undistributed income to the United States from Canada and incurred $1.1 million of withholding taxes (net of U.S. federal tax deduction). The withholding taxes were recognized in "Income tax expense" on the Condensed Consolidated Statements of Comprehensive Income (Loss).</w:t>
      </w:r>
    </w:p>
    <w:p>
      <w:pPr>
        <w:spacing w:after="0" w:line="76"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Westwood Management is registered with the Securities and Exchange Commission ("SEC") as an investment advisor ("RIA") under the Investment Advisers Act of 1940. Westwood Trust is chartered and regulated by the Texas Department of Banking. Westwood International Advisors is registered as a portfolio manager and exempt market dealer with the Ontario Securities Commission and the Autorité des marchés financiers in Québec.</w:t>
      </w:r>
    </w:p>
    <w:p>
      <w:pPr>
        <w:spacing w:after="0" w:line="37" w:lineRule="exact"/>
        <w:rPr>
          <w:sz w:val="20"/>
          <w:szCs w:val="20"/>
          <w:color w:val="auto"/>
        </w:rPr>
      </w:pPr>
    </w:p>
    <w:p>
      <w:pPr>
        <w:ind w:left="40" w:right="6360" w:hanging="32"/>
        <w:spacing w:after="0" w:line="378"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firstLine="486"/>
        <w:spacing w:after="0" w:line="255" w:lineRule="auto"/>
        <w:rPr>
          <w:sz w:val="20"/>
          <w:szCs w:val="20"/>
          <w:color w:val="auto"/>
        </w:rPr>
      </w:pPr>
      <w:r>
        <w:rPr>
          <w:rFonts w:ascii="Arial" w:cs="Arial" w:eastAsia="Arial" w:hAnsi="Arial"/>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84"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2019,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In January 2017, the FASB issued ASU 2017-04, Intangibles - </w:t>
      </w:r>
      <w:r>
        <w:rPr>
          <w:rFonts w:ascii="Arial" w:cs="Arial" w:eastAsia="Arial" w:hAnsi="Arial"/>
          <w:sz w:val="18"/>
          <w:szCs w:val="18"/>
          <w:i w:val="1"/>
          <w:iCs w:val="1"/>
          <w:color w:val="auto"/>
        </w:rPr>
        <w:t>Goodwill and Other (Topic 350) - Simplifying the Test for Goodwill Impairment</w:t>
      </w:r>
      <w:r>
        <w:rPr>
          <w:rFonts w:ascii="Arial" w:cs="Arial" w:eastAsia="Arial" w:hAnsi="Arial"/>
          <w:sz w:val="18"/>
          <w:szCs w:val="18"/>
          <w:color w:val="auto"/>
        </w:rPr>
        <w:t>. The purpose of this amendment is to simplify the accounting for goodwill impairment for all entities by requiring impairment charges to be based on the first step in the previous two-step impairment test. Under the new guidance, if a reporting unit’s carrying amount exceeds its fair value, an entity will record an impairment charge based on that difference. The impairment charge will be limited to the amount of goodwill allocated to that reporting unit. The standard eliminates the prior requirement to calculate a goodwill impairment charge using Step 2, which requires an entity to calculate any impairment charge by comparing the implied fair value of goodwill with its carrying amount. The amendments in this ASU are effective for fiscal years and interim periods beginning after December 15, 2019. We adopted this ASU as of January 1, 2020, and there was no significant impact on our Condensed Consolidated Financial Statements. Information regarding the impairment of goodwill related to our Advisory segment is included in Note 10 "Goodwill and Other Intangible Assets."</w:t>
      </w:r>
    </w:p>
    <w:p>
      <w:pPr>
        <w:spacing w:after="0" w:line="88"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includes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adopted this ASU as of January 1, 2020, and further information is included in Note 6 "Fair Value Measurements." There was no significant impact on our Condensed Consolidated Financial Statements.</w:t>
      </w:r>
    </w:p>
    <w:p>
      <w:pPr>
        <w:spacing w:after="0" w:line="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(Topic 350):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The purpose of this amendment is to align the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adopted this ASU as of January 1, 2020 under the prospective transition method. Incremental costs related to hosting arrangements will be recorded on the Condensed Consolidated Balance Sheets in either other current or other long-term assets, instead of intangible assets, net. Related amortization will be recorded in information technology expense on the Condensed Consolidated Statements of Comprehensive Income (Loss). Amortization of previously capitalized costs was recorded in general and administrative expense.</w:t>
      </w:r>
    </w:p>
    <w:p>
      <w:pPr>
        <w:spacing w:after="0" w:line="7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In May 2019, the FASB issued ASU 2019-05, </w:t>
      </w:r>
      <w:r>
        <w:rPr>
          <w:rFonts w:ascii="Arial" w:cs="Arial" w:eastAsia="Arial" w:hAnsi="Arial"/>
          <w:sz w:val="18"/>
          <w:szCs w:val="18"/>
          <w:i w:val="1"/>
          <w:iCs w:val="1"/>
          <w:color w:val="auto"/>
        </w:rPr>
        <w:t>Financial Instruments—Credit Losses (Topic 326): Targeted Transition Relief.</w:t>
      </w:r>
      <w:r>
        <w:rPr>
          <w:rFonts w:ascii="Arial" w:cs="Arial" w:eastAsia="Arial" w:hAnsi="Arial"/>
          <w:sz w:val="18"/>
          <w:szCs w:val="18"/>
          <w:color w:val="auto"/>
        </w:rPr>
        <w:t xml:space="preserve"> The purpose of this amendment is to amend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to allow companies to irrevocably elect, upon adoption of ASU 2016-13, the fair value option on financial instruments that were previously recorded at amortized cost and are within the scope of ASC 326-20, </w:t>
      </w:r>
      <w:r>
        <w:rPr>
          <w:rFonts w:ascii="Arial" w:cs="Arial" w:eastAsia="Arial" w:hAnsi="Arial"/>
          <w:sz w:val="18"/>
          <w:szCs w:val="18"/>
          <w:i w:val="1"/>
          <w:iCs w:val="1"/>
          <w:color w:val="auto"/>
        </w:rPr>
        <w:t>Financial Instruments-Credit Losses: Amortization Cost</w:t>
      </w:r>
      <w:r>
        <w:rPr>
          <w:rFonts w:ascii="Arial" w:cs="Arial" w:eastAsia="Arial" w:hAnsi="Arial"/>
          <w:sz w:val="18"/>
          <w:szCs w:val="18"/>
          <w:color w:val="auto"/>
        </w:rPr>
        <w:t xml:space="preserve">, if the instruments are eligible for the fair value option under Accounting Standards Codification 825 -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election does not apply to held-to-maturity debt securities. The amendments in this update are effective for public companies for fiscal years beginning after December 15, 2019, including interim periods within that fiscal year. We adopted this ASU as of January 1, 2020, and it did not have a significant impact on our Condensed Consolidated Financial Statements.</w:t>
      </w:r>
    </w:p>
    <w:p>
      <w:pPr>
        <w:spacing w:after="0" w:line="80" w:lineRule="exact"/>
        <w:rPr>
          <w:sz w:val="20"/>
          <w:szCs w:val="20"/>
          <w:color w:val="auto"/>
        </w:rPr>
      </w:pPr>
    </w:p>
    <w:p>
      <w:pPr>
        <w:ind w:right="9580" w:firstLine="8"/>
        <w:spacing w:after="0" w:line="425"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Revenue Recognition</w:t>
      </w:r>
    </w:p>
    <w:p>
      <w:pPr>
        <w:ind w:firstLine="486"/>
        <w:spacing w:after="0" w:line="257"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AUM and the performance obligation is realized over the current calendar quarter. Once clients receive our investment advisory services we have an enforceable right to payment.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80" w:lineRule="exact"/>
        <w:rPr>
          <w:sz w:val="20"/>
          <w:szCs w:val="20"/>
          <w:color w:val="auto"/>
        </w:rPr>
      </w:pPr>
    </w:p>
    <w:p>
      <w:pPr>
        <w:jc w:val="both"/>
        <w:ind w:right="640" w:firstLine="486"/>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Performance-Based Obligations</w:t>
      </w:r>
    </w:p>
    <w:p>
      <w:pPr>
        <w:spacing w:after="0" w:line="121"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2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364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2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10"/>
        </w:trPr>
        <w:tc>
          <w:tcPr>
            <w:tcW w:w="40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060" w:type="dxa"/>
            <w:vAlign w:val="bottom"/>
          </w:tcPr>
          <w:p>
            <w:pPr>
              <w:ind w:left="340"/>
              <w:spacing w:after="0"/>
              <w:rPr>
                <w:sz w:val="20"/>
                <w:szCs w:val="20"/>
                <w:color w:val="auto"/>
              </w:rPr>
            </w:pPr>
            <w:r>
              <w:rPr>
                <w:rFonts w:ascii="Arial" w:cs="Arial" w:eastAsia="Arial" w:hAnsi="Arial"/>
                <w:sz w:val="18"/>
                <w:szCs w:val="18"/>
                <w:color w:val="auto"/>
              </w:rPr>
              <w:t>Institutional</w:t>
            </w: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20,941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28,475</w:t>
            </w:r>
          </w:p>
        </w:tc>
      </w:tr>
      <w:tr>
        <w:trPr>
          <w:trHeight w:val="230"/>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w:t>
            </w:r>
          </w:p>
        </w:tc>
      </w:tr>
      <w:tr>
        <w:trPr>
          <w:trHeight w:val="229"/>
        </w:trPr>
        <w:tc>
          <w:tcPr>
            <w:tcW w:w="4060" w:type="dxa"/>
            <w:vAlign w:val="bottom"/>
          </w:tcPr>
          <w:p>
            <w:pPr>
              <w:ind w:left="340"/>
              <w:spacing w:after="0"/>
              <w:rPr>
                <w:sz w:val="20"/>
                <w:szCs w:val="20"/>
                <w:color w:val="auto"/>
              </w:rPr>
            </w:pPr>
            <w:r>
              <w:rPr>
                <w:rFonts w:ascii="Arial" w:cs="Arial" w:eastAsia="Arial" w:hAnsi="Arial"/>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Trust Fees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19,264</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performance-based Fees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serve clients primarily in the United States, but also in various locations around the world. The following table presents our revenue disaggregated by our clients' geographical locations (in thousands):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w:t>
            </w: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9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17,840</w:t>
            </w: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42,933</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 2019</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3,139</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58,248</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65,463</w:t>
            </w: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w:t>
      </w:r>
    </w:p>
    <w:p>
      <w:pPr>
        <w:spacing w:after="0" w:line="17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(Loss). Refer to the "Supplemental Financial Information" section in Item 2. "Management Discussion and Analysis of Financial Conditions and Results" for the Economic Earnings (Loss) calculation.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Our Advisory segment provides investment advisory services to (i) corporate pension and profit sharing plans, public employee retirement funds, Taft-Hartley plans, endowments, foundations and individuals, (ii) subadvisory relationships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where Westwood provides investment management services to the Westwood Funds®, funds offered by other financial institutions and funds offered by our Trust segment and (iii) pooled investment vehicles, including the UCITS Fund (liquidated in June 2020) and collective investment trusts. Westwood Management and Westwood International Advisors (prior to its closure, effective September 30, 2020), which provide investment advisory services to similar clients, are included in our Advisory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Trust provides trust and custodial services and participation in common trust funds that it sponsors to institutions and high net worth individuals.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Westwood</w:t>
            </w:r>
          </w:p>
        </w:tc>
        <w:tc>
          <w:tcPr>
            <w:tcW w:w="160" w:type="dxa"/>
            <w:vAlign w:val="bottom"/>
          </w:tcPr>
          <w:p>
            <w:pPr>
              <w:spacing w:after="0"/>
              <w:rPr>
                <w:sz w:val="16"/>
                <w:szCs w:val="1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3"/>
        </w:trPr>
        <w:tc>
          <w:tcPr>
            <w:tcW w:w="5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2020</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15,384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144,384</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Segment goodwill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intersegment revenues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dividend revenue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177,314</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Segment goodwill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782"/>
        </w:trPr>
        <w:tc>
          <w:tcPr>
            <w:tcW w:w="5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24"/>
                <w:szCs w:val="2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Westwood</w:t>
            </w:r>
          </w:p>
        </w:tc>
        <w:tc>
          <w:tcPr>
            <w:tcW w:w="16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4"/>
                <w:szCs w:val="24"/>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3"/>
        </w:trPr>
        <w:tc>
          <w:tcPr>
            <w:tcW w:w="5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30,685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48,157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Net interest and dividend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47,998</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Nine Months Ended September 30,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63,983</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Net intersegment revenues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dividend revenue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During 2018, we made a $5.4 million strategic investment in InvestCloud, a digital financial services provider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observable price changes for this investment in 2019, we recorded a gain of $2.8 million. As of September 30, 2020, there were no additional observable price changes or indicators of impairment for this investment.</w:t>
      </w:r>
    </w:p>
    <w:p>
      <w:pPr>
        <w:spacing w:after="0" w:line="6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investment in Charis, the parent company of Westwood Private Bank ("Charis"), is included in “Noncurrent investments at fair value” on our Condensed Consolidated Balance Sheets and is measured at fair value on a recurring basis. In the three months ended September 30, 2020, we recorded an unrealized loss of $0.1 million. In the nine months ended September 30, 2020, we recorded an unrealized loss of $0.7 million, primarily as a result of the global macroeconomic effects of COVID-19.</w:t>
      </w:r>
    </w:p>
    <w:p>
      <w:pPr>
        <w:spacing w:after="0" w:line="79"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In 2019 we made a $0.3 million investment in Westwood Hospitality Fund I, LLC, a private investment fund. Our investment is included in “Noncurrent investments at fair value” on our Condensed Consolidated Balance Sheets and is measured at fair value on a recurring basis using net asset value (“NAV”) as a practical expedient.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Arial" w:cs="Arial" w:eastAsia="Arial" w:hAnsi="Arial"/>
                <w:sz w:val="16"/>
                <w:szCs w:val="16"/>
                <w:b w:val="1"/>
                <w:bCs w:val="1"/>
                <w:color w:val="auto"/>
                <w:w w:val="95"/>
              </w:rPr>
              <w:t>Fair</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57,457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57,470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61,993</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50,065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There were no corporate funds invested in Westwood Funds® as of September 30, 2020. There were $6.4 million of corporate funds invested in Westwood Funds® as of December 31, 2019. See Note 13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62"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strategic investment in InvestCloud, discussed in Note 5 “Investments,” is excluded from the recurring fair value table shown below because we have elected to apply the measurement alternative for this investment.</w:t>
      </w:r>
    </w:p>
    <w:p>
      <w:pPr>
        <w:spacing w:after="0" w:line="6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Arial" w:cs="Arial" w:eastAsia="Arial" w:hAnsi="Arial"/>
                <w:sz w:val="25"/>
                <w:szCs w:val="25"/>
                <w:b w:val="1"/>
                <w:bCs w:val="1"/>
                <w:color w:val="auto"/>
                <w:w w:val="98"/>
                <w:vertAlign w:val="subscript"/>
              </w:rPr>
              <w:t>NAV</w:t>
            </w:r>
            <w:r>
              <w:rPr>
                <w:rFonts w:ascii="Arial" w:cs="Arial" w:eastAsia="Arial" w:hAnsi="Arial"/>
                <w:sz w:val="9"/>
                <w:szCs w:val="9"/>
                <w:color w:val="auto"/>
                <w:w w:val="98"/>
              </w:rPr>
              <w:t xml:space="preserve"> (1)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2020:</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61,993</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61,993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3,241</w:t>
            </w:r>
          </w:p>
        </w:tc>
        <w:tc>
          <w:tcPr>
            <w:tcW w:w="0" w:type="dxa"/>
            <w:vAlign w:val="bottom"/>
          </w:tcPr>
          <w:p>
            <w:pPr>
              <w:spacing w:after="0"/>
              <w:rPr>
                <w:sz w:val="1"/>
                <w:szCs w:val="1"/>
                <w:color w:val="auto"/>
              </w:rPr>
            </w:pPr>
          </w:p>
        </w:tc>
      </w:tr>
      <w:tr>
        <w:trPr>
          <w:trHeight w:val="235"/>
        </w:trPr>
        <w:tc>
          <w:tcPr>
            <w:tcW w:w="5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65,321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50,324</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50,324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34"/>
        </w:trPr>
        <w:tc>
          <w:tcPr>
            <w:tcW w:w="5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54,562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0" w:right="620" w:firstLine="6"/>
        <w:spacing w:after="0" w:line="236"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10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market transactions. Management believes this valuation methodology is consistent with the banking industry and we will reevaluate our methodology and inputs on a quarterly basis.</w:t>
      </w:r>
    </w:p>
    <w:p>
      <w:pPr>
        <w:spacing w:after="0" w:line="63"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5700" w:type="dxa"/>
            <w:vAlign w:val="bottom"/>
            <w:tcBorders>
              <w:bottom w:val="single" w:sz="8" w:color="auto"/>
            </w:tcBorders>
            <w:gridSpan w:val="11"/>
          </w:tcPr>
          <w:p>
            <w:pPr>
              <w:jc w:val="right"/>
              <w:ind w:right="730"/>
              <w:spacing w:after="0"/>
              <w:rPr>
                <w:sz w:val="20"/>
                <w:szCs w:val="20"/>
                <w:color w:val="auto"/>
              </w:rPr>
            </w:pPr>
            <w:r>
              <w:rPr>
                <w:rFonts w:ascii="Arial" w:cs="Arial" w:eastAsia="Arial" w:hAnsi="Arial"/>
                <w:sz w:val="16"/>
                <w:szCs w:val="16"/>
                <w:b w:val="1"/>
                <w:bCs w:val="1"/>
                <w:color w:val="auto"/>
              </w:rPr>
              <w:t>Fair Value using Significant Unobservable Inputs (Level 3)</w:t>
            </w:r>
          </w:p>
        </w:tc>
      </w:tr>
      <w:tr>
        <w:trPr>
          <w:trHeight w:val="226"/>
        </w:trPr>
        <w:tc>
          <w:tcPr>
            <w:tcW w:w="5540" w:type="dxa"/>
            <w:vAlign w:val="bottom"/>
          </w:tcPr>
          <w:p>
            <w:pPr>
              <w:spacing w:after="0"/>
              <w:rPr>
                <w:sz w:val="19"/>
                <w:szCs w:val="19"/>
                <w:color w:val="auto"/>
              </w:rPr>
            </w:pPr>
          </w:p>
        </w:tc>
        <w:tc>
          <w:tcPr>
            <w:tcW w:w="290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29"/>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losses on private investments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8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w:t>
            </w:r>
          </w:p>
        </w:tc>
      </w:tr>
      <w:tr>
        <w:trPr>
          <w:trHeight w:val="20"/>
        </w:trPr>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September 30, 2020 private investment fair value of $3.2 million was valued using a market approach based on a price to tangible book value multiple, with unobservable book value multiples ranging from $0.98 to $1.26 per share, with a weighted average of $1.18 per share. Significant increases (decreases) in book value multiples in isolation would have resulted in a significantly higher (lower) fair value measurement.</w:t>
      </w:r>
    </w:p>
    <w:p>
      <w:pPr>
        <w:spacing w:after="0" w:line="269" w:lineRule="exact"/>
        <w:rPr>
          <w:sz w:val="20"/>
          <w:szCs w:val="20"/>
          <w:color w:val="auto"/>
        </w:rPr>
      </w:pPr>
    </w:p>
    <w:p>
      <w:pPr>
        <w:ind w:right="7340" w:firstLine="8"/>
        <w:spacing w:after="0" w:line="407"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COMPENSATION Restricted Stock Awards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issued restricted shares to our employees and non-employee directors. The Seventh Amended and Restated Westwood Holdings Group, Inc. Stock Incentive Plan (the “Plan”) reserves shares of Westwood common stock for issuance to eligible employees, directors and consultants of Westwood or its subsidiaries in the form of restricted stock and stock options. In April 2020, stockholders approved an additional 350,000 shares to be authorized under the Plan, increasing the total number of shares issuable under the Plan (including predecessor plans to the Plan) to 5,398,100 shares. In the event of a change in control of Westwood, the Plan contains provisions providing for the acceleration of the vesting of restricted stock. At September 30, 2020, approximately 642,000 shares remain available for issuance under the Plan.</w:t>
      </w:r>
    </w:p>
    <w:p>
      <w:pPr>
        <w:spacing w:after="0" w:line="70" w:lineRule="exact"/>
        <w:rPr>
          <w:sz w:val="20"/>
          <w:szCs w:val="20"/>
          <w:color w:val="auto"/>
        </w:rPr>
      </w:pPr>
    </w:p>
    <w:p>
      <w:pPr>
        <w:ind w:right="520" w:firstLine="486"/>
        <w:spacing w:after="0" w:line="274"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268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Three Months Ended September 30,</w:t>
            </w:r>
          </w:p>
        </w:tc>
        <w:tc>
          <w:tcPr>
            <w:tcW w:w="25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condition stock-based compensation expense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condition stock-based compensation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under the Plan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Canadian Plan stock-based compensation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jc w:val="both"/>
        <w:ind w:right="360" w:firstLine="486"/>
        <w:spacing w:after="0" w:line="342" w:lineRule="auto"/>
        <w:rPr>
          <w:sz w:val="20"/>
          <w:szCs w:val="20"/>
          <w:color w:val="auto"/>
        </w:rPr>
      </w:pPr>
      <w:r>
        <w:rPr>
          <w:rFonts w:ascii="Arial" w:cs="Arial" w:eastAsia="Arial" w:hAnsi="Arial"/>
          <w:sz w:val="16"/>
          <w:szCs w:val="16"/>
          <w:color w:val="auto"/>
        </w:rPr>
        <w:t>As of September 30, 2020, there was approximately $13.2 million of unrecognized compensation cost for restricted stock grants under the Plan, which we expect to recognize over a weighted-average period of 2.5 years. Our two types of restricted stock grants under the Plan are discussed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1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subject only to a service condition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20" w:type="dxa"/>
            <w:vAlign w:val="bottom"/>
          </w:tcPr>
          <w:p>
            <w:pPr>
              <w:spacing w:after="0"/>
              <w:rPr>
                <w:sz w:val="15"/>
                <w:szCs w:val="15"/>
                <w:color w:val="auto"/>
              </w:rPr>
            </w:pPr>
          </w:p>
        </w:tc>
        <w:tc>
          <w:tcPr>
            <w:tcW w:w="1340" w:type="dxa"/>
            <w:vAlign w:val="bottom"/>
            <w:vMerge w:val="restart"/>
          </w:tcPr>
          <w:p>
            <w:pPr>
              <w:jc w:val="right"/>
              <w:ind w:right="35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0"/>
        </w:trPr>
        <w:tc>
          <w:tcPr>
            <w:tcW w:w="8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1, 2020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48.31</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7"/>
                <w:szCs w:val="17"/>
                <w:color w:val="auto"/>
              </w:rPr>
              <w:t>262,373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27.39</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(26,372)</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39.72</w:t>
            </w:r>
          </w:p>
        </w:tc>
        <w:tc>
          <w:tcPr>
            <w:tcW w:w="0" w:type="dxa"/>
            <w:vAlign w:val="bottom"/>
          </w:tcPr>
          <w:p>
            <w:pPr>
              <w:spacing w:after="0"/>
              <w:rPr>
                <w:sz w:val="1"/>
                <w:szCs w:val="1"/>
                <w:color w:val="auto"/>
              </w:rPr>
            </w:pPr>
          </w:p>
        </w:tc>
      </w:tr>
      <w:tr>
        <w:trPr>
          <w:trHeight w:val="235"/>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September 30, 2020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491,625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right="280" w:firstLine="486"/>
        <w:spacing w:after="0" w:line="272" w:lineRule="auto"/>
        <w:rPr>
          <w:sz w:val="20"/>
          <w:szCs w:val="20"/>
          <w:color w:val="auto"/>
        </w:rPr>
      </w:pPr>
      <w:r>
        <w:rPr>
          <w:rFonts w:ascii="Arial" w:cs="Arial" w:eastAsia="Arial" w:hAnsi="Arial"/>
          <w:sz w:val="18"/>
          <w:szCs w:val="18"/>
          <w:color w:val="auto"/>
        </w:rPr>
        <w:t>The following table details the status and changes in our restricted stock grants subject to service and performance conditions for the nine months ended September 30, 2020:</w:t>
      </w:r>
    </w:p>
    <w:tbl>
      <w:tblPr>
        <w:tblLayout w:type="fixed"/>
        <w:tblInd w:w="0" w:type="dxa"/>
        <w:tblCellMar>
          <w:top w:w="0" w:type="dxa"/>
          <w:left w:w="0" w:type="dxa"/>
          <w:bottom w:w="0" w:type="dxa"/>
          <w:right w:w="0" w:type="dxa"/>
        </w:tblCellMar>
      </w:tblPr>
      <w:tr>
        <w:trPr>
          <w:trHeight w:val="153"/>
        </w:trPr>
        <w:tc>
          <w:tcPr>
            <w:tcW w:w="8120" w:type="dxa"/>
            <w:vAlign w:val="bottom"/>
          </w:tcPr>
          <w:p>
            <w:pPr>
              <w:spacing w:after="0"/>
              <w:rPr>
                <w:sz w:val="13"/>
                <w:szCs w:val="13"/>
                <w:color w:val="auto"/>
              </w:rPr>
            </w:pPr>
          </w:p>
        </w:tc>
        <w:tc>
          <w:tcPr>
            <w:tcW w:w="13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ind w:right="158"/>
              <w:spacing w:after="0" w:line="153" w:lineRule="exact"/>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0"/>
        </w:trPr>
        <w:tc>
          <w:tcPr>
            <w:tcW w:w="8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1, 2020</w:t>
            </w:r>
          </w:p>
        </w:tc>
        <w:tc>
          <w:tcPr>
            <w:tcW w:w="1340" w:type="dxa"/>
            <w:vAlign w:val="bottom"/>
            <w:shd w:val="clear" w:color="auto" w:fill="CCEEFF"/>
          </w:tcPr>
          <w:p>
            <w:pPr>
              <w:jc w:val="center"/>
              <w:ind w:left="636"/>
              <w:spacing w:after="0"/>
              <w:rPr>
                <w:sz w:val="20"/>
                <w:szCs w:val="20"/>
                <w:color w:val="auto"/>
              </w:rPr>
            </w:pPr>
            <w:r>
              <w:rPr>
                <w:rFonts w:ascii="Arial" w:cs="Arial" w:eastAsia="Arial" w:hAnsi="Arial"/>
                <w:sz w:val="17"/>
                <w:szCs w:val="17"/>
                <w:color w:val="auto"/>
                <w:w w:val="88"/>
              </w:rPr>
              <w:t>80,975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49.73</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340" w:type="dxa"/>
            <w:vAlign w:val="bottom"/>
            <w:tcBorders>
              <w:bottom w:val="single" w:sz="8" w:color="auto"/>
            </w:tcBorders>
          </w:tcPr>
          <w:p>
            <w:pPr>
              <w:jc w:val="center"/>
              <w:ind w:left="616"/>
              <w:spacing w:after="0"/>
              <w:rPr>
                <w:sz w:val="20"/>
                <w:szCs w:val="20"/>
                <w:color w:val="auto"/>
              </w:rPr>
            </w:pPr>
            <w:r>
              <w:rPr>
                <w:rFonts w:ascii="Arial" w:cs="Arial" w:eastAsia="Arial" w:hAnsi="Arial"/>
                <w:sz w:val="17"/>
                <w:szCs w:val="17"/>
                <w:color w:val="auto"/>
                <w:w w:val="94"/>
              </w:rPr>
              <w:t>(35,275)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55.11</w:t>
            </w:r>
          </w:p>
        </w:tc>
        <w:tc>
          <w:tcPr>
            <w:tcW w:w="0" w:type="dxa"/>
            <w:vAlign w:val="bottom"/>
          </w:tcPr>
          <w:p>
            <w:pPr>
              <w:spacing w:after="0"/>
              <w:rPr>
                <w:sz w:val="1"/>
                <w:szCs w:val="1"/>
                <w:color w:val="auto"/>
              </w:rPr>
            </w:pPr>
          </w:p>
        </w:tc>
      </w:tr>
      <w:tr>
        <w:trPr>
          <w:trHeight w:val="23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September 30, 2020</w:t>
            </w:r>
          </w:p>
        </w:tc>
        <w:tc>
          <w:tcPr>
            <w:tcW w:w="134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7"/>
                <w:szCs w:val="17"/>
                <w:color w:val="auto"/>
                <w:w w:val="88"/>
              </w:rPr>
              <w:t>45,700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45.58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21" w:lineRule="exact"/>
        <w:rPr>
          <w:sz w:val="20"/>
          <w:szCs w:val="20"/>
          <w:color w:val="auto"/>
        </w:rPr>
      </w:pPr>
    </w:p>
    <w:p>
      <w:pPr>
        <w:ind w:right="440" w:firstLine="486"/>
        <w:spacing w:after="0" w:line="286"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provided compensation in the form of common stock for services performed by employees of Westwood International Advisors. On July 27, 2020, Westwood’s Board of Directors approved the closure of Westwood International Advisors, effective September 30, 2020.</w:t>
      </w:r>
    </w:p>
    <w:p>
      <w:pPr>
        <w:spacing w:after="0" w:line="5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During the first quarter of 2020, the trust formed pursuant to the Canadian Plan purchased 27,474 Westwood common shares in the open market for approximately $0.7 million. The subsequent closure of the Westwood International Advisors office resulted in forfeitures of 56,625 shares, which reduced the Company's expenses by $1.3 million in the three and nine months ended September 30, 2020. As of September 30, 2020, there is no unrecognized compensation cost related to restricted stock grants under the Canadian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2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We may grant mutual fund incentive awards, which are bonus awards based on our mutual funds achieving specific performance goals, annually to certain employees. Awards granted are notionally credited to a participant account maintained by us that contains a number of mutual fund shares equal to the award amount divided by the net asset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Unvested mutual fund awards are included under “Investments, at fair value” on our Condensed Consolidated Balance Sheets.</w:t>
      </w:r>
    </w:p>
    <w:p>
      <w:pPr>
        <w:spacing w:after="0" w:line="84"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Awards vest over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September 30, 2020 and 2019, we recorded expense of approximately $9,000 and $12,000, respectively, related to mutual fund share incentive awards. For the nine months ended September 30, 2020 we recorded expense of $27,000, and for the nine months ended September 30, 2019, a net $100,000 credit to mutual fund expense, primarily related to the forfeiture of a mutual fund award during the first quarter of 2019. As of September 30, 2020 and December 31, 2019, we had an accrued liability of approximately $50,000 and $79,000, respectively, related to mutual fund share incentive awards.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8. INCOME TAXES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effective income tax rate differed from the 21% statutory rate for the third quarter of 2020 primarily due to the 5% incremental Canadian withholding tax (net of U.S. tax federal deduction) on repatriated funds due to the closure of our Westwood International Advisors office and the impact of certain deferred tax assets that offset the discrete benefit adjustment related to the remeasurement of certain deferred taxes following the enactment of the Coronavirus Aid, Relief, and Economic Security Act ("CARES Act") recorded in the first quarter of 2020. Our effective income tax rate was (16.0)% for the first nine months of 2020, compared with 41.0% for the first nine months of 2019. The 2019 year-to-date rate was negatively impacted by a $0.6 million discrete tax expense related to a permanent difference between book and tax restricted stock expense based on a decrease in our stock price between the grant and vesting dates.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Westwood Holdings Group has an audit underway in reaction to a refund claim submitted to the state of Texas for the reporting years 2014 to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results of the audit to have a material impact on our Condensed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(LOSS) PER SHARE</w:t>
      </w:r>
    </w:p>
    <w:p>
      <w:pPr>
        <w:spacing w:after="0" w:line="121"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Basic earnings (loss) per common share is computed by dividing net income (loss) available to common stockholders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 There were approximately 623,000 and 81,000 anti-dilutive restricted shares outstanding for the three months ended September 30, 2020 and September 30, 2019, respectively. There were approximately 360,000 and 87,000 anti-dilutive restricted shares outstanding for the nine months ended September 30, 2020 and September 30, 2019, respectively.</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computation of basic and diluted earnings (loss) per share (in thousands, except per share and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268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Three Months Ended September 30,</w:t>
            </w:r>
          </w:p>
        </w:tc>
        <w:tc>
          <w:tcPr>
            <w:tcW w:w="25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6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57"/>
        </w:trPr>
        <w:tc>
          <w:tcPr>
            <w:tcW w:w="6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8,432,598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8,040,417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8,414,317</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Dilutive potential shares from unvested restricted shares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53,506</w:t>
            </w: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7,829,478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8,470,673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8,040,417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8,467,823</w:t>
            </w:r>
          </w:p>
        </w:tc>
      </w:tr>
      <w:tr>
        <w:trPr>
          <w:trHeight w:val="257"/>
        </w:trPr>
        <w:tc>
          <w:tcPr>
            <w:tcW w:w="6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2020.</w:t>
      </w:r>
    </w:p>
    <w:p>
      <w:pPr>
        <w:spacing w:after="0" w:line="76"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Following a sustained decline in the Company's market capitalization, we determined that goodwill related to our Advisory segment was impaired, and we recorded impairment charges of $3.4 million during the three and nine months ended September 30, 2020 to "Impairment expense" on the Condensed Consolidated Statements of Comprehensive Income (Loss).</w:t>
      </w:r>
    </w:p>
    <w:p>
      <w:pPr>
        <w:spacing w:after="0" w:line="7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determined the fair value of each of our reporting units using a weighted average approach of the market and income approaches. As part of this current assessment, we determined that an increase in the discount rate (from the prior assessment) applied in the valuation was required to align with market-based assumptions. The higher discount rate, in conjunction with revised long-term projections resulted in a lower fair value of the Advisory segment.</w:t>
      </w:r>
    </w:p>
    <w:p>
      <w:pPr>
        <w:spacing w:after="0" w:line="7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There was no goodwill impairment in the Trust segment, nor were there goodwill impairments recorded during the three and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events or circumstances that would indicate impairment. No intangible asset impairments were recorded during the three and nine months ended September 30, 2020 or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LEASES</w:t>
      </w:r>
    </w:p>
    <w:p>
      <w:pPr>
        <w:spacing w:after="0" w:line="121"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As of September 30, 2020, aside from the Toronto office lease impairment discussed in Note 1 "Description of the Business," there have been no material changes outside the ordinary course of business to our leases since December 31, 2019. For information regarding our leases, refer to Note 15 “Leases” in Part IV, Item 15. “Exhibits, Financial Statement Schedules” in our Annual Report on Form 10-K for the fiscal year ended December 31, 2019.</w:t>
      </w:r>
    </w:p>
    <w:p>
      <w:pPr>
        <w:spacing w:after="0" w:line="388" w:lineRule="exact"/>
        <w:rPr>
          <w:sz w:val="20"/>
          <w:szCs w:val="20"/>
          <w:color w:val="auto"/>
        </w:rPr>
      </w:pPr>
    </w:p>
    <w:p>
      <w:pPr>
        <w:ind w:right="8660" w:firstLine="8"/>
        <w:spacing w:after="0" w:line="377"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spacing w:after="0" w:line="2"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In February 2020, our Board of Directors authorized management to repurchase up to an additional $10.0 million of our outstanding common stock on the open market or in privately negotiated transactions. In April 2020, our Board of Directors authorized management to repurchase up to an additional $10.0 million of share repurchases under our share repurchase program, which is still outstanding as of September 30, 2020.</w:t>
      </w:r>
    </w:p>
    <w:p>
      <w:pPr>
        <w:spacing w:after="0" w:line="5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Company did not repurchase any shares of our common stock during the three months ended September 30, 2020. During the nine months ended September 30, 2020, the Company repurchased 679,756 shares of our common stock at an average price of $19.05 per share, including commissions, for an aggregate purchase price of $13.0 million under our share repurchase plan.</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Currency Translation and Re-measurement</w:t>
      </w:r>
    </w:p>
    <w:p>
      <w:pPr>
        <w:spacing w:after="0" w:line="121"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Assets and liabilities of Westwood International Advisors, our only non-U.S. dollar functional currency subsidiary, are translated at exchange rates as of applicable reporting dates. The gains and losses resulting from translating non-U.S. dollar functional currency into U.S. dollars are recorded through other comprehensive income.</w:t>
      </w:r>
    </w:p>
    <w:p>
      <w:pPr>
        <w:spacing w:after="0" w:line="76"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Following the closure and substantially complete liquidation of Westwood International Advisors, we reclassified foreign currency translation adjustments of $4.2 million from accumulated other comprehensive income (loss) to net income (loss) in the three and nine months ended September 30,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w:t>
      </w:r>
      <w:r>
        <w:rPr>
          <w:rFonts w:ascii="Arial" w:cs="Arial" w:eastAsia="Arial" w:hAnsi="Arial"/>
          <w:sz w:val="18"/>
          <w:szCs w:val="18"/>
          <w:color w:val="222222"/>
        </w:rPr>
        <w:t>“Investments”</w:t>
      </w:r>
      <w:r>
        <w:rPr>
          <w:rFonts w:ascii="Arial" w:cs="Arial" w:eastAsia="Arial" w:hAnsi="Arial"/>
          <w:sz w:val="18"/>
          <w:szCs w:val="18"/>
          <w:color w:val="auto"/>
        </w:rPr>
        <w:t xml:space="preserve"> (“Private Equity”) to determine whether each of these entities is a variable interest entity (“VIE”) or voting ownership entity (“VOE”).</w:t>
      </w:r>
    </w:p>
    <w:p>
      <w:pPr>
        <w:spacing w:after="0" w:line="7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76"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57" w:lineRule="exact"/>
        <w:rPr>
          <w:sz w:val="20"/>
          <w:szCs w:val="20"/>
          <w:color w:val="auto"/>
        </w:rPr>
      </w:pPr>
    </w:p>
    <w:p>
      <w:pPr>
        <w:ind w:right="820" w:firstLine="486"/>
        <w:spacing w:after="0" w:line="342" w:lineRule="auto"/>
        <w:rPr>
          <w:sz w:val="20"/>
          <w:szCs w:val="20"/>
          <w:color w:val="auto"/>
        </w:rPr>
      </w:pPr>
      <w:r>
        <w:rPr>
          <w:rFonts w:ascii="Arial" w:cs="Arial" w:eastAsia="Arial" w:hAnsi="Arial"/>
          <w:sz w:val="16"/>
          <w:szCs w:val="16"/>
          <w:color w:val="auto"/>
        </w:rPr>
        <w:t>Based on our analyses of our investments in these entities for the periods ended September 30, 2020 and December 31, 2019, we have not consolidated the CTFs or Private Funds under the VIE method or the Westwood Funds® or Private Equity under the VOE method.</w:t>
      </w:r>
    </w:p>
    <w:p>
      <w:pPr>
        <w:spacing w:after="0" w:line="16"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had no seed investments in the Westwood Funds as of September 30, 2020, and we had $6.4 million as of December 31, 2019. The seed investments were provided for the sole purpose of showing the economic substance needed to establish the funds and are included in “Investments, at fair value”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are accounted for as investments consistent with our other investments described in Note 5 “Investments.” We recognized fee revenue from the Westwood VIEs and Westwood VOEs as follows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2020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2019</w:t>
            </w:r>
          </w:p>
        </w:tc>
        <w:tc>
          <w:tcPr>
            <w:tcW w:w="8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2020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2019</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Fee Revenues</w:t>
            </w:r>
          </w:p>
        </w:tc>
        <w:tc>
          <w:tcPr>
            <w:tcW w:w="44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bl>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the AUM and the risk of loss in each vehicle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1019"/>
              <w:spacing w:after="0"/>
              <w:rPr>
                <w:sz w:val="20"/>
                <w:szCs w:val="20"/>
                <w:color w:val="auto"/>
              </w:rPr>
            </w:pPr>
            <w:r>
              <w:rPr>
                <w:rFonts w:ascii="Arial" w:cs="Arial" w:eastAsia="Arial" w:hAnsi="Arial"/>
                <w:sz w:val="16"/>
                <w:szCs w:val="16"/>
                <w:b w:val="1"/>
                <w:bCs w:val="1"/>
                <w:color w:val="auto"/>
                <w:w w:val="89"/>
              </w:rPr>
              <w:t>As of September 30, 2020</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79"/>
              </w:rPr>
              <w:t>Assets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4"/>
              </w:rPr>
              <w:t>Corporate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5"/>
              </w:rPr>
              <w:t>Under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Amount at Risk</w:t>
            </w:r>
          </w:p>
        </w:tc>
        <w:tc>
          <w:tcPr>
            <w:tcW w:w="0" w:type="dxa"/>
            <w:vAlign w:val="bottom"/>
          </w:tcPr>
          <w:p>
            <w:pPr>
              <w:spacing w:after="0"/>
              <w:rPr>
                <w:sz w:val="1"/>
                <w:szCs w:val="1"/>
                <w:color w:val="auto"/>
              </w:rPr>
            </w:pPr>
          </w:p>
        </w:tc>
      </w:tr>
      <w:tr>
        <w:trPr>
          <w:trHeight w:val="213"/>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Management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2"/>
              </w:rPr>
              <w:t>Investment</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VIEs/VOEs:</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340"/>
              <w:spacing w:after="0"/>
              <w:rPr>
                <w:sz w:val="20"/>
                <w:szCs w:val="20"/>
                <w:color w:val="auto"/>
              </w:rPr>
            </w:pPr>
            <w:r>
              <w:rPr>
                <w:rFonts w:ascii="Arial" w:cs="Arial" w:eastAsia="Arial" w:hAnsi="Arial"/>
                <w:sz w:val="18"/>
                <w:szCs w:val="18"/>
                <w:color w:val="auto"/>
              </w:rPr>
              <w:t>Westwood 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1,824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gridSpan w:val="3"/>
          </w:tcPr>
          <w:p>
            <w:pPr>
              <w:ind w:left="96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Trust Funds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860" w:type="dxa"/>
            <w:vAlign w:val="bottom"/>
          </w:tcPr>
          <w:p>
            <w:pPr>
              <w:ind w:left="340"/>
              <w:spacing w:after="0"/>
              <w:rPr>
                <w:sz w:val="20"/>
                <w:szCs w:val="20"/>
                <w:color w:val="auto"/>
              </w:rPr>
            </w:pPr>
            <w:r>
              <w:rPr>
                <w:rFonts w:ascii="Arial" w:cs="Arial" w:eastAsia="Arial" w:hAnsi="Arial"/>
                <w:sz w:val="18"/>
                <w:szCs w:val="18"/>
                <w:color w:val="auto"/>
              </w:rPr>
              <w:t>Private Funds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All other assets: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Wealth Management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Institutional</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Under Management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14. RELATED PARTY TRANSACTIONS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For both the three months ended September 30, 2020 and 2019, we recorded trust fees from these accounts of $0.1 million. For both the nine months ended September 30, 2020 and 2019, we recorded trust fees from these accounts of $0.3 million. There was $0.1 million due from these accounts as of both September 30, 2020 and December 31, 2019.</w:t>
      </w:r>
    </w:p>
    <w:p>
      <w:pPr>
        <w:spacing w:after="0" w:line="79"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Company engages in transactions with its affiliates in the ordinary course of business. Westwood International Advisors (prior to its closure, effective September 30, 2020) and Westwood Management provide investment advisory services to the UCITS Fund and the Westwood Funds®. Certain members of our management served on the board of directors of the UCITS Fund (liquidated as of June 2020). Under the terms of the investment advisory agreements, the Company earns quarterly fees paid by clients of the fund or by the funds directly. The fees are based on negotiated fee schedules applied to AUM. The Company earned no fees from the affiliated funds for the three months ended September 30, 2020, and earned $0.7 million for the three months ended September 30, 2019. For the nine months ended September 30, 2020 and 2019, the Company earned approximately $0.6 million and $2.3 million, respectively, in fees from the affiliated funds. As of September 30, 2020, all of these fees had been collected. As of December 31, 2019, $0.2 million, of these fees were outstanding and included in “Accounts receivable”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90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2019, filed with the SEC, and those risks set forth below:</w:t>
      </w:r>
    </w:p>
    <w:p>
      <w:pPr>
        <w:spacing w:after="0" w:line="69" w:lineRule="exact"/>
        <w:rPr>
          <w:sz w:val="20"/>
          <w:szCs w:val="20"/>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AUM include investments in foreign companies;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500" w:right="240" w:hanging="6"/>
        <w:spacing w:after="0" w:line="277" w:lineRule="auto"/>
        <w:tabs>
          <w:tab w:leader="none" w:pos="6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organizational documents contain provisions that may prevent or deter another group from paying a premium over the market price to our stockholders to acquire our stock;</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holding company dependent on the operations and funds of our subsidiaries;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1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reflect events or circumstances occurring after the date of this report or to reflect the occurrence of unanticipated events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Advisors”) and Westwood Trust. Westwood Management provides investment advisory services to institutional investors, a family of mutual funds called the Westwood Funds®, other mutual funds, individuals and clients of Westwood Trust.</w:t>
      </w:r>
    </w:p>
    <w:p>
      <w:pPr>
        <w:spacing w:after="0" w:line="49"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On July 27, 2020, Westwood’s Board of Directors approved the closure of Westwood International Advisors and Westwood’s office in Toronto, Canada. As a result of this closure, we incurred $0.5 million of severance expense, $0.3 million of lease impairment expense and $0.1 million of vendor contract related costs, offset by $1.3 million of restricted stock forfeitures. The severance expense and restricted stock forfeitures were recognized within "Employee compensation and benefits," the lease impairment expense was recognized in "General and administrative," and the vendor contract costs were recognized within "Information technology" on the Condensed Consolidated Statements of Comprehensive Income (Loss).</w:t>
      </w:r>
    </w:p>
    <w:p>
      <w:pPr>
        <w:spacing w:after="0" w:line="5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we repatriated previously undistributed income to the United States from Canada and incurred $1.1 million of withholding taxes (net of U.S. federal tax deduction). The withholding taxes were recognized in "Income tax expense" on the Condensed Consolidated Statements of Comprehensive Income (Loss).</w:t>
      </w:r>
    </w:p>
    <w:p>
      <w:pPr>
        <w:spacing w:after="0" w:line="76" w:lineRule="exact"/>
        <w:rPr>
          <w:sz w:val="20"/>
          <w:szCs w:val="20"/>
          <w:color w:val="auto"/>
        </w:rPr>
      </w:pPr>
    </w:p>
    <w:p>
      <w:pPr>
        <w:jc w:val="both"/>
        <w:ind w:right="300" w:firstLine="486"/>
        <w:spacing w:after="0" w:line="259" w:lineRule="auto"/>
        <w:rPr>
          <w:sz w:val="20"/>
          <w:szCs w:val="20"/>
          <w:color w:val="auto"/>
        </w:rPr>
      </w:pPr>
      <w:r>
        <w:rPr>
          <w:rFonts w:ascii="Arial" w:cs="Arial" w:eastAsia="Arial" w:hAnsi="Arial"/>
          <w:sz w:val="18"/>
          <w:szCs w:val="18"/>
          <w:color w:val="auto"/>
        </w:rPr>
        <w:t>Westwood Trust provides trust and custodial services and participation in common trust funds to institutions and high net worth individuals. Our revenues are generally derived from fees based on a percentage of AUM. Westwood International Advisors provided investment advisory services to an Irish investment company authorized pursuant to the European Communities (Undertakings for Collective Investment in Transferable Securities) Regulation 2011 (as amended) (the “UCITS Fund”), which was liquidated in June 2020.</w:t>
      </w:r>
    </w:p>
    <w:p>
      <w:pPr>
        <w:spacing w:after="0" w:line="79"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continue to closely monitor the impact of the COVID-19 pandemic on all aspects of our business, particularly the impact on global stock markets. In 2020 we have taken a number of precautionary measures designed to help minimize the risk of the spread of the virus to our employees, including suspending all non-essential travel for our employees and encouraging our employees to work remotely. The investments we have made in technology over the past several years, particularly our significant investments in cloud-based systems and business continuity planning, have allowed our entire team to serve our clients seamlessly from their homes.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8"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80" w:lineRule="exact"/>
        <w:rPr>
          <w:sz w:val="20"/>
          <w:szCs w:val="20"/>
          <w:color w:val="auto"/>
        </w:rPr>
      </w:pPr>
    </w:p>
    <w:p>
      <w:pPr>
        <w:ind w:right="1740" w:firstLine="486"/>
        <w:spacing w:after="0" w:line="402" w:lineRule="auto"/>
        <w:rPr>
          <w:sz w:val="20"/>
          <w:szCs w:val="20"/>
          <w:color w:val="auto"/>
        </w:rPr>
      </w:pPr>
      <w:r>
        <w:rPr>
          <w:rFonts w:ascii="Arial" w:cs="Arial" w:eastAsia="Arial" w:hAnsi="Arial"/>
          <w:sz w:val="18"/>
          <w:szCs w:val="18"/>
          <w:color w:val="auto"/>
        </w:rPr>
        <w:t xml:space="preserve">Our other revenues primarily consist of investment income from our seed money investments into new investment strategies. </w:t>
      </w:r>
      <w:r>
        <w:rPr>
          <w:rFonts w:ascii="Arial" w:cs="Arial" w:eastAsia="Arial" w:hAnsi="Arial"/>
          <w:sz w:val="18"/>
          <w:szCs w:val="18"/>
          <w:i w:val="1"/>
          <w:iCs w:val="1"/>
          <w:color w:val="auto"/>
        </w:rPr>
        <w:t>Employee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6"/>
          <w:szCs w:val="16"/>
          <w:color w:val="auto"/>
        </w:rPr>
        <w:t>Employee compensation and benefits expenses generally consist of salaries, incentive compensation, equity-based compensation and benefits.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and marketing expenses relate to our marketing efforts, including travel and entertainment, direct marketing and advertising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Professional services expenses generally consist of costs associated with subadvisory fees, audit, tax, legal and other professional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expense consists of long-lived asset impairments, generally goodwill or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Gains (Losses)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Unrealized gains (losses) in private investments includes changes in the value of our private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consists of income from the sublease of a portion of our corporate headquarters office.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adjustments to net income (loss) upon liquidation of a foreign subsidiary</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Foreign currency translation adjustments to net income (loss) upon liquidation of a foreign subsidiary includes a cumulative adjustment following the substantially completed liquidation of a foreign subsidiary, Westwood International Advisors.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AUM decreased $3.0 billion to $12.0 billion at September 30, 2020 compared with $15.0 billion at September 30, 2019. The average of beginning and ending AUM for the third quarter of 2020 was $11.9 billion compared to $15.2 billion for the third quarter of 2019. These decreases are due to net outflows primarily in our Emerging Markets (closed in the third quarter of 2020), LargeCap Value, and Income Opportunity strategies and market depreciation in the first quarter of 2020.</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AUM as of September 30, 2020 and 2019 (in millions):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05" w:right="5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As of September 30,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r>
      <w:tr>
        <w:trPr>
          <w:trHeight w:val="226"/>
        </w:trPr>
        <w:tc>
          <w:tcPr>
            <w:tcW w:w="7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9"/>
        </w:trPr>
        <w:tc>
          <w:tcPr>
            <w:tcW w:w="7400" w:type="dxa"/>
            <w:vAlign w:val="bottom"/>
          </w:tcPr>
          <w:p>
            <w:pPr>
              <w:ind w:left="20"/>
              <w:spacing w:after="0" w:line="230" w:lineRule="exact"/>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4,301</w:t>
            </w:r>
          </w:p>
        </w:tc>
        <w:tc>
          <w:tcPr>
            <w:tcW w:w="1300" w:type="dxa"/>
            <w:vAlign w:val="bottom"/>
            <w:gridSpan w:val="2"/>
          </w:tcPr>
          <w:p>
            <w:pPr>
              <w:jc w:val="right"/>
              <w:ind w:right="88"/>
              <w:spacing w:after="0"/>
              <w:rPr>
                <w:sz w:val="20"/>
                <w:szCs w:val="20"/>
                <w:color w:val="auto"/>
              </w:rPr>
            </w:pPr>
            <w:r>
              <w:rPr>
                <w:rFonts w:ascii="Arial" w:cs="Arial" w:eastAsia="Arial" w:hAnsi="Arial"/>
                <w:sz w:val="17"/>
                <w:szCs w:val="17"/>
                <w:color w:val="auto"/>
              </w:rPr>
              <w:t>(5)</w:t>
            </w: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(22)</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Total AUM</w:t>
            </w:r>
            <w:r>
              <w:rPr>
                <w:rFonts w:ascii="Arial" w:cs="Arial" w:eastAsia="Arial" w:hAnsi="Arial"/>
                <w:sz w:val="9"/>
                <w:szCs w:val="9"/>
                <w:b w:val="1"/>
                <w:bCs w:val="1"/>
                <w:color w:val="auto"/>
              </w:rPr>
              <w:t>(4)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left="340" w:hanging="332"/>
        <w:spacing w:after="0" w:line="24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Westwood International Advisors (prior to its closure, effective September 30, 2020) and external unaffiliated subadvisors. For certain assets in this category Westwood Trust currently provides limited custody services for a minimal or no fee, viewing these assets as potentially converting to fee-generating managed assets in the future.</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as well as offered as part of our investment strategies for institutional and wealth management accounts.</w:t>
      </w:r>
    </w:p>
    <w:p>
      <w:pPr>
        <w:ind w:left="340" w:right="20" w:hanging="332"/>
        <w:spacing w:after="0" w:line="25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AUM excludes $240 million and $266 million of assets under advisement (“AUA”) as of September 30, 2020 and 2019,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25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2"/>
              </w:rPr>
              <w:t>Institutional</w:t>
            </w:r>
          </w:p>
        </w:tc>
        <w:tc>
          <w:tcPr>
            <w:tcW w:w="504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6,183</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8,377</w:t>
            </w:r>
          </w:p>
        </w:tc>
        <w:tc>
          <w:tcPr>
            <w:tcW w:w="18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8,739</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9,327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Outflows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8,347</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Wealth Management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Outflows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4,301</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Mutual Funds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1,740</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2,612</w:t>
            </w:r>
          </w:p>
        </w:tc>
        <w:tc>
          <w:tcPr>
            <w:tcW w:w="18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2,058</w:t>
            </w:r>
          </w:p>
        </w:tc>
        <w:tc>
          <w:tcPr>
            <w:tcW w:w="1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3,236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Outflows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2,338</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Total AUM</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Outflows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(1,620)</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6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14,986</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and 2019</w:t>
      </w:r>
    </w:p>
    <w:p>
      <w:pPr>
        <w:spacing w:after="0" w:line="117"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$0.1 billion increase in AUM for the three months ended September 30, 2020 was due to market appreciation of $0.7 billion offset by net outflows of $0.6 billion. Net outflows were primarily related to our Emerging Markets strategy.</w:t>
      </w:r>
    </w:p>
    <w:p>
      <w:pPr>
        <w:spacing w:after="0" w:line="116"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The $0.4 billion decrease in AUM for the three months ended September 30, 2019 was due to net outflows of $0.6 billion partially offset by market appreciation of $0.2 billion. Net outflows were primarily related to our Income Opportunity, LargeCap Value, and SMidCap strategies.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24" w:name="page25"/>
    <w:bookmarkEnd w:id="24"/>
    <w:p>
      <w:pPr>
        <w:ind w:right="60" w:firstLine="486"/>
        <w:spacing w:after="0" w:line="277" w:lineRule="auto"/>
        <w:rPr>
          <w:sz w:val="20"/>
          <w:szCs w:val="20"/>
          <w:color w:val="auto"/>
        </w:rPr>
      </w:pPr>
      <w:r>
        <w:rPr>
          <w:rFonts w:ascii="Arial" w:cs="Arial" w:eastAsia="Arial" w:hAnsi="Arial"/>
          <w:sz w:val="18"/>
          <w:szCs w:val="18"/>
          <w:color w:val="auto"/>
        </w:rPr>
        <w:t>The $3.3 billion decrease in AUM for the nine months ended September 30, 2020 was due to net outflows of $2.4 billion and market depreciation of $0.9 billion. Net outflows were primarily related to our Emerging Markets and LargeCap Value strategies.</w:t>
      </w:r>
    </w:p>
    <w:p>
      <w:pPr>
        <w:spacing w:after="0" w:line="62"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The $1.6 billion decrease in AUM for the nine months ended September 30, 2019 was due to net outflows of $3.8 billion partially offset by market appreciation of $2.2 billion. Net outflows were primarily related to our Income Opportunity, Emerging Markets, LargeCap Value and SMidCap strategies, partially offset by net inflows to our SmallCap Value strategy.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4"/>
          </w:tcPr>
          <w:p>
            <w:pPr>
              <w:jc w:val="right"/>
              <w:ind w:right="299"/>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Advisory fees: asset-based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13,164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29,277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44,265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Advisory fees: performance-based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Trust fees: asset-based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6,281</w:t>
            </w: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19,264</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Trust fees: performance-based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100" w:type="dxa"/>
            <w:vAlign w:val="bottom"/>
            <w:tcBorders>
              <w:bottom w:val="single" w:sz="8" w:color="CCEEFF"/>
            </w:tcBorders>
            <w:gridSpan w:val="2"/>
          </w:tcPr>
          <w:p>
            <w:pPr>
              <w:jc w:val="right"/>
              <w:ind w:right="78"/>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11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19,892</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compensation and benefits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12,072</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506</w:t>
            </w: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1,550</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Westwood mutual funds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Information technology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2,017</w:t>
            </w:r>
          </w:p>
        </w:tc>
        <w:tc>
          <w:tcPr>
            <w:tcW w:w="1100" w:type="dxa"/>
            <w:vAlign w:val="bottom"/>
            <w:gridSpan w:val="2"/>
          </w:tcPr>
          <w:p>
            <w:pPr>
              <w:jc w:val="right"/>
              <w:ind w:right="11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6,276</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2,317</w:t>
            </w:r>
          </w:p>
        </w:tc>
        <w:tc>
          <w:tcPr>
            <w:tcW w:w="1100" w:type="dxa"/>
            <w:vAlign w:val="bottom"/>
            <w:gridSpan w:val="2"/>
          </w:tcPr>
          <w:p>
            <w:pPr>
              <w:jc w:val="right"/>
              <w:ind w:right="11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7,153</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(Gain) loss on foreign currency transactions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100" w:type="dxa"/>
            <w:vAlign w:val="bottom"/>
            <w:tcBorders>
              <w:bottom w:val="single" w:sz="8" w:color="CCEEFF"/>
            </w:tcBorders>
            <w:gridSpan w:val="2"/>
          </w:tcPr>
          <w:p>
            <w:pPr>
              <w:jc w:val="right"/>
              <w:ind w:right="78"/>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c>
          <w:tcPr>
            <w:tcW w:w="11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18,366</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53,759</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operating income (loss)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losses on private investments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6"/>
        </w:trPr>
        <w:tc>
          <w:tcPr>
            <w:tcW w:w="4660" w:type="dxa"/>
            <w:vAlign w:val="bottom"/>
          </w:tcPr>
          <w:p>
            <w:pPr>
              <w:ind w:left="220"/>
              <w:spacing w:after="0" w:line="166" w:lineRule="exact"/>
              <w:rPr>
                <w:sz w:val="20"/>
                <w:szCs w:val="20"/>
                <w:color w:val="auto"/>
              </w:rPr>
            </w:pPr>
            <w:r>
              <w:rPr>
                <w:rFonts w:ascii="Arial" w:cs="Arial" w:eastAsia="Arial" w:hAnsi="Arial"/>
                <w:sz w:val="16"/>
                <w:szCs w:val="16"/>
                <w:color w:val="auto"/>
                <w:w w:val="93"/>
              </w:rPr>
              <w:t>Foreign currency translation adjustments to net income (loss) upon</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ind w:left="72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liquidation of a foreign subsidiary</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100" w:type="dxa"/>
            <w:vAlign w:val="bottom"/>
            <w:tcBorders>
              <w:bottom w:val="single" w:sz="8" w:color="CCEEFF"/>
            </w:tcBorders>
            <w:gridSpan w:val="2"/>
          </w:tcPr>
          <w:p>
            <w:pPr>
              <w:jc w:val="right"/>
              <w:ind w:right="118"/>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11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17"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$4.4 million, or 22%, to $15.5 million for the three months ended September 30, 2020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$19.9 million for the three months ended September 30, 2019. Asset-based advisory fees decreased $4.4 million, or 33%, and Trust fees decreased $0.5 million, or 8%, both primarily due to lower average AUM. Performance-based advisory fees increased $0.5 million, or 363%, primarily due to higher realization of performance fees in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5" w:name="page26"/>
    <w:bookmarkEnd w:id="25"/>
    <w:p>
      <w:pPr>
        <w:ind w:firstLine="486"/>
        <w:spacing w:after="0" w:line="257"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decreased $2.6 million, or 21%, to $9.5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compared with $12.1 million for the three months ended September 30, 2019. The decrease was primarily due to reductions in compensation relating to short- and long-term incentive compensation as a result of lower asset-based revenues from the prior year, stock forfeitures related to the closure of Westwood International Advisors, and lower headcount, partially offset by severance costs following the closure of Westwood International Advisors.</w:t>
      </w:r>
    </w:p>
    <w:p>
      <w:pPr>
        <w:spacing w:after="0" w:line="134"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$0.3 million, or 58%, to $0.2 for the three months ended September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$0.5 million for the three months ended September 30, 2019. The decrease was primarily due to lower travel costs as a result of COVID-19.</w:t>
      </w:r>
    </w:p>
    <w:p>
      <w:pPr>
        <w:spacing w:after="0" w:line="70"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i w:val="1"/>
          <w:iCs w:val="1"/>
          <w:color w:val="auto"/>
        </w:rPr>
        <w:t xml:space="preserve">Westwood Mutual Funds. </w:t>
      </w:r>
      <w:r>
        <w:rPr>
          <w:rFonts w:ascii="Arial" w:cs="Arial" w:eastAsia="Arial" w:hAnsi="Arial"/>
          <w:sz w:val="18"/>
          <w:szCs w:val="18"/>
          <w:color w:val="auto"/>
        </w:rPr>
        <w:t>Westwood mutual funds expenses decreased $0.5 million, or 54%, to $0.4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with $0.9 million for the three months ended September 30, 2019. The decrease was primarily due to lower service fees following declines in market values for the Westwood funds.</w:t>
      </w:r>
    </w:p>
    <w:p>
      <w:pPr>
        <w:spacing w:after="0" w:line="13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i w:val="1"/>
          <w:iCs w:val="1"/>
          <w:color w:val="auto"/>
        </w:rPr>
        <w:t xml:space="preserve">Impairment expense. </w:t>
      </w:r>
      <w:r>
        <w:rPr>
          <w:rFonts w:ascii="Arial" w:cs="Arial" w:eastAsia="Arial" w:hAnsi="Arial"/>
          <w:sz w:val="18"/>
          <w:szCs w:val="18"/>
          <w:color w:val="auto"/>
        </w:rPr>
        <w:t>We recorded $3.4 million of impairment expense related to our Advisory segment goodwill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No impairment expense was recorded in the three months ended September 30, 2019.</w:t>
      </w:r>
    </w:p>
    <w:p>
      <w:pPr>
        <w:spacing w:after="0" w:line="11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$0.4 million in foreign currency losses in the current quarter as a result of fluctuations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Canadian dollar exchange rate.</w:t>
      </w:r>
    </w:p>
    <w:p>
      <w:pPr>
        <w:spacing w:after="0" w:line="116"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i w:val="1"/>
          <w:iCs w:val="1"/>
          <w:color w:val="auto"/>
        </w:rPr>
        <w:t xml:space="preserve">Foreign currency translation adjustments to net income (loss) upon liquidation of a foreign subsidiary. </w:t>
      </w:r>
      <w:r>
        <w:rPr>
          <w:rFonts w:ascii="Arial" w:cs="Arial" w:eastAsia="Arial" w:hAnsi="Arial"/>
          <w:sz w:val="18"/>
          <w:szCs w:val="18"/>
          <w:color w:val="auto"/>
        </w:rPr>
        <w:t>We recorded a cumulative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 of $4.2 million following the substantially completed liquidation of Westwood International Advisors in the three months ended September 30, 2020.</w:t>
      </w:r>
    </w:p>
    <w:p>
      <w:pPr>
        <w:spacing w:after="0" w:line="13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.Our effective tax rate of (23.7)% differed from the 21% statutory rate for the third quarter of 2020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5% incremental Canadian withholding tax (net of U.S. federal tax deduction) paid on repatriated funds due to the closure of Westwood International Advisors, effective September 30, 2020, and the impact of certain deferred tax assets that offset the discrete benefit adjustment related to the remeasurement of certain deferred taxes following the enactment of the Coronavirus Aid, Relief, and Economic Security Act ("CARES Act") recorded in the first quarter of 2020. The effective tax rate was 28.4% for the three months ended September 30, 2019. The 2019 quarterly tax rate was negatively impacted by increased permanent differences between book and tax compensation expense as a result of additional compensation limitations under the Tax Cuts and Jobs Act.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71" w:lineRule="exact"/>
        <w:rPr>
          <w:sz w:val="20"/>
          <w:szCs w:val="20"/>
          <w:color w:val="auto"/>
        </w:rPr>
      </w:pPr>
    </w:p>
    <w:p>
      <w:pPr>
        <w:jc w:val="both"/>
        <w:ind w:right="280" w:firstLine="486"/>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$17.5 million, or 27%, to $48.0 million for the nine months ended September 30, 2020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$65.5 million for the nine months ended September 30, 2019. Asset-based advisory fees decreased $15.0 million, or 34%, and Trust fees decreased $1.9 million, or 10%, both primarily due to lower average AUM. Performance-based advisory fees increased $0.9 million, or 210%, primarily due to higher realization of performance fees in the nine months ended September 30, 2020.</w:t>
      </w:r>
    </w:p>
    <w:p>
      <w:pPr>
        <w:spacing w:after="0" w:line="13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 Employee compensation and benefits costs decreased $5.1 million, or 13%, to $33.0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compared with $38.1 million for the nine months ended September 30, 2019. The decrease was primarily due to reductions in compensation relating to short- and long-term incentive compensation as a result of lower asset-based revenues as compared to the prior year and lower headcount.</w:t>
      </w:r>
    </w:p>
    <w:p>
      <w:pPr>
        <w:spacing w:after="0" w:line="133"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$0.7 million, or 39.0%, to $0.9 million for the nine months ended September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$1.6 million for the nine months ended September 30, 2019. The decrease was primarily due to lower travel costs as a result of COVID-19.</w:t>
      </w:r>
    </w:p>
    <w:p>
      <w:pPr>
        <w:spacing w:after="0" w:line="70"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decreased $1.0 million or 43% to $1.4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$2.4 million for the nine months ended September 30, 2019. The decrease was primarily due to lower service fees following declines in market values for the Westwood funds.</w:t>
      </w:r>
    </w:p>
    <w:p>
      <w:pPr>
        <w:spacing w:after="0" w:line="130"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i w:val="1"/>
          <w:iCs w:val="1"/>
          <w:color w:val="auto"/>
        </w:rPr>
        <w:t xml:space="preserve">Impairment expense. </w:t>
      </w:r>
      <w:r>
        <w:rPr>
          <w:rFonts w:ascii="Arial" w:cs="Arial" w:eastAsia="Arial" w:hAnsi="Arial"/>
          <w:sz w:val="18"/>
          <w:szCs w:val="18"/>
          <w:color w:val="auto"/>
        </w:rPr>
        <w:t>We recorded $3.4 million of impairment expense related to our Advisory segment goodwill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No impairment expense was recorded in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26" w:name="page27"/>
    <w:bookmarkEnd w:id="26"/>
    <w:p>
      <w:pPr>
        <w:ind w:right="2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$1.2 million in foreign currency gains for the nine months ended September 30, 2020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fluctuations in the Canadian dollar exchange rate.</w:t>
      </w:r>
    </w:p>
    <w:p>
      <w:pPr>
        <w:spacing w:after="0" w:line="11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Unrealized losses on private investments</w:t>
      </w:r>
      <w:r>
        <w:rPr>
          <w:rFonts w:ascii="Arial" w:cs="Arial" w:eastAsia="Arial" w:hAnsi="Arial"/>
          <w:sz w:val="18"/>
          <w:szCs w:val="18"/>
          <w:color w:val="auto"/>
        </w:rPr>
        <w:t>. We recorded a net unrealized loss of $0.9 million, primarily related to our investment in Charis,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bank, as a result of the global macroeconomic effects of COVID-19.</w:t>
      </w:r>
    </w:p>
    <w:p>
      <w:pPr>
        <w:spacing w:after="0" w:line="116"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i w:val="1"/>
          <w:iCs w:val="1"/>
          <w:color w:val="auto"/>
        </w:rPr>
        <w:t xml:space="preserve">Foreign currency translation adjustments to net income (loss) upon liquidation of a foreign subsidiary. </w:t>
      </w:r>
      <w:r>
        <w:rPr>
          <w:rFonts w:ascii="Arial" w:cs="Arial" w:eastAsia="Arial" w:hAnsi="Arial"/>
          <w:sz w:val="18"/>
          <w:szCs w:val="18"/>
          <w:color w:val="auto"/>
        </w:rPr>
        <w:t>We recorded a cumulative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 of $4.2 million following the substantially completed liquidation of Westwood International Advisors in the nine months ended September 30, 2020.</w:t>
      </w:r>
    </w:p>
    <w:p>
      <w:pPr>
        <w:spacing w:after="0" w:line="184"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effective tax rate was (16.0)% for the nine months ended September 30, 2020, compared to 41.0%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2019. Our income tax rate differed from the 21% statutory rate for 2020 primarily due to the 5% incremental Canadian withholding tax (net of federal deduction) paid on repatriated funds due to the closure of Westwood International Advisors office, effective September 30, 2020, and permanent differences between book and tax restricted stock expense based on a decrease in our stock price between the grant and vesting dates. The 2019 year-to-date rate was negatively impacted by a $0.6 million discrete tax expense related to a permanent difference between book and tax restricted stock expense based on a decrease in our stock price between the grant and vesting dates.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 supplemental information, we are providing non-GAAP performance measures that we refer to as Economic Earnings (Loss) and Economic EPS. We provide these measures in addition to, not as a substitute for, net income (loss)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56"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define Economic Earnings (Loss) as net income (loss) plus non-cash equity-based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In addition, we do not adjust Economic Earnings (Loss) for tax deductions related to restricted stock expense or amortization of intangible assets. Economic EPS represents Economic Earnings (Loss) divided by diluted weighted average shares outstanding.</w:t>
      </w:r>
    </w:p>
    <w:p>
      <w:pPr>
        <w:spacing w:after="0" w:line="84"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following tables provide a reconciliation of Net income (loss) to Economic Earnings (Loss) and Economic Earnings (Loss) by segment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4"/>
          </w:tcPr>
          <w:p>
            <w:pPr>
              <w:ind w:left="18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3"/>
        </w:trPr>
        <w:tc>
          <w:tcPr>
            <w:tcW w:w="4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6"/>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Change</w:t>
            </w:r>
          </w:p>
        </w:tc>
      </w:tr>
      <w:tr>
        <w:trPr>
          <w:trHeight w:val="22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2,249</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7,932</w:t>
            </w:r>
          </w:p>
        </w:tc>
        <w:tc>
          <w:tcPr>
            <w:tcW w:w="122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Impairment expense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Add: Intangible amortization</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1,281</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1</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Currency translation adjustment reclassification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40" w:type="dxa"/>
            <w:vAlign w:val="bottom"/>
            <w:tcBorders>
              <w:bottom w:val="single" w:sz="8" w:color="CCEEFF"/>
            </w:tcBorders>
            <w:gridSpan w:val="2"/>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20" w:type="dxa"/>
            <w:vAlign w:val="bottom"/>
            <w:tcBorders>
              <w:bottom w:val="single" w:sz="8" w:color="CCEEFF"/>
            </w:tcBorders>
            <w:gridSpan w:val="2"/>
          </w:tcPr>
          <w:p>
            <w:pPr>
              <w:jc w:val="right"/>
              <w:ind w:right="92"/>
              <w:spacing w:after="0"/>
              <w:rPr>
                <w:sz w:val="20"/>
                <w:szCs w:val="20"/>
                <w:color w:val="auto"/>
              </w:rPr>
            </w:pPr>
            <w:r>
              <w:rPr>
                <w:rFonts w:ascii="Arial" w:cs="Arial" w:eastAsia="Arial" w:hAnsi="Arial"/>
                <w:sz w:val="18"/>
                <w:szCs w:val="18"/>
                <w:color w:val="auto"/>
              </w:rPr>
              <w:t>(1)</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7,829,478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8,470,673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8,040,417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8,467,823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Economic Earnings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Economic Earnings (Loss) by Segment: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Trust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2,055</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4,872</w:t>
            </w:r>
          </w:p>
        </w:tc>
        <w:tc>
          <w:tcPr>
            <w:tcW w:w="1220" w:type="dxa"/>
            <w:vAlign w:val="bottom"/>
            <w:gridSpan w:val="2"/>
          </w:tcPr>
          <w:p>
            <w:pPr>
              <w:jc w:val="right"/>
              <w:ind w:right="92"/>
              <w:spacing w:after="0"/>
              <w:rPr>
                <w:sz w:val="20"/>
                <w:szCs w:val="20"/>
                <w:color w:val="auto"/>
              </w:rPr>
            </w:pPr>
            <w:r>
              <w:rPr>
                <w:rFonts w:ascii="Arial" w:cs="Arial" w:eastAsia="Arial" w:hAnsi="Arial"/>
                <w:sz w:val="18"/>
                <w:szCs w:val="18"/>
                <w:color w:val="auto"/>
              </w:rPr>
              <w:t>(22)</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Westwood Holdings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2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Consolidated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fund our operations and cash requirements with cash generated from operating activities. We may also use cash from operations to pay dividends to our stockholders. We suspended our dividend in the second quarter of 2020 in order to preserve capital and provide additional financial flexibility amid the uncertainties created by COVID-19. As of September 30, 2020 and December 31, 2019,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0"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During the nine months ended September 30, 2020, cash flow used in operating activities was $7.1 million, which included net purchases of $11.9 million of current investments and reduction in compensation and benefits payable of $3.8 million, partially offset by a $3.6 million change in accounts receivable and positive adjustments to net income. During the nine months ended September 30, 2019, cash flow provided by operating activities was $33.6 million, which included a $23.4 million net liquidation of investments partially offset by an $8.1 million decrease in compensation and benefits payables.</w:t>
      </w:r>
    </w:p>
    <w:p>
      <w:pPr>
        <w:spacing w:after="0" w:line="80"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Cash flow used in investing activities during the nine months ended September 30, 2020 was related to purchases of property and equipment, while the prior year was related to purchases of property and equipment and our investments in private equity and Westwood Hospitality Fund I, LLC.</w:t>
      </w:r>
    </w:p>
    <w:p>
      <w:pPr>
        <w:spacing w:after="0" w:line="16"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Cash flows used in financing activities of $25.8 million for the nine months ended September 30, 2020 reflected treasury stock repurchases, the payment of dividends and restricted stock returned for the payment of taxes. Cash flow used in financing activities of $24.6 million for the nine months ended September 30, 2019 reflected the payment of dividends, purchases of restricted stock returned for payment of taxes and purchases of treasury shares.</w:t>
      </w:r>
    </w:p>
    <w:p>
      <w:pPr>
        <w:spacing w:after="0" w:line="4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had cash and short-term investments of $77.6 million as of September 30, 2020 and $100.1 million as of December 31, 2019. On July 27, 2020, Westwood’s Board of Directors approved the closure of Westwood International Advisors, effective September 30, 2020. Following that decision by the Board of Directors, we repatriated over $37.0 million to the United States and primarily invested the cash in short-term investments. At September 30, 2020 and December 31, 2019, working capital aggregated $79.0 million and $95.6 million, respectively.</w:t>
      </w:r>
    </w:p>
    <w:p>
      <w:pPr>
        <w:spacing w:after="0" w:line="6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Consolidated Balance Sheets. At September 30, 2020, Westwood Trust had approximately $11.3 million in excess of its minimum capital requirement.</w:t>
      </w:r>
    </w:p>
    <w:p>
      <w:pPr>
        <w:spacing w:after="0" w:line="14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2019,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As of September 30, 2020, there have been no material changes outside of the ordinary course of business to our contractual obligations since December 31, 2019. For information regarding our contractual obligations, refer to “Contractual Obligations” in Part II, Item 7. “Management's Discussion and Analysis of Financial Condition and Results of Operations” in our Annual Report on Form 10-K for the fiscal year ended December 31,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There have been no significant changes in our critical or significant accounting policies and estimates since December 31, 2019.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2019.</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29" w:name="page30"/>
    <w:bookmarkEnd w:id="29"/>
    <w:p>
      <w:pPr>
        <w:ind w:firstLine="486"/>
        <w:spacing w:after="0" w:line="259" w:lineRule="auto"/>
        <w:rPr>
          <w:sz w:val="20"/>
          <w:szCs w:val="20"/>
          <w:color w:val="auto"/>
        </w:rPr>
      </w:pPr>
      <w:r>
        <w:rPr>
          <w:rFonts w:ascii="Arial" w:cs="Arial" w:eastAsia="Arial" w:hAnsi="Arial"/>
          <w:sz w:val="18"/>
          <w:szCs w:val="18"/>
          <w:color w:val="auto"/>
        </w:rPr>
        <w:t>During the quarter ended September 30, 2020,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workforce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05" w:right="5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2019 and the risks set forth below.</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believes that there has been no material change in its risk factors as previously disclosed in the Form 10-K other than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Investment Industry</w:t>
      </w:r>
    </w:p>
    <w:p>
      <w:pPr>
        <w:spacing w:after="0" w:line="117"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b w:val="1"/>
          <w:bCs w:val="1"/>
          <w:color w:val="auto"/>
        </w:rPr>
        <w:t>The recent COVID-19 pandemic, and other potential outbreaks, could negatively impact our businesses, financial condition and results of operations.</w:t>
      </w:r>
    </w:p>
    <w:p>
      <w:pPr>
        <w:spacing w:after="0" w:line="58"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may face risks related to the outbreak of COVID-19, which has been declared a pandemic by the World Health Organization. The full impact of COVID-19 is unknown and rapidly evolving. The outbreak and any preventative or protective actions that governments, we or our clients may take in respect of this virus may result in a period of disruption, including with respect to our financial reporting capabilities and our operations generally, and could potentially impact our clients and third party vendors. Any resulting financial impact cannot be reasonably estimated at this time, but the COVID-19 pandemic could have a material adverse effect on the Company’s business, prospects, results of operations, reputation, financial condition, cash flows or ability to continue current operations without any direct or indirect impairment or disruption.</w:t>
      </w:r>
    </w:p>
    <w:p>
      <w:pPr>
        <w:spacing w:after="0" w:line="70"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The extent to which COVID-19 impacts our results will depend on future developments, which are highly uncertain and cannot be predicted, including new information which may emerge concerning the severity and spread of COVID-19 and the actions to contain the virus or treat its impact, among others.</w:t>
      </w:r>
    </w:p>
    <w:p>
      <w:pPr>
        <w:spacing w:after="0" w:line="2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September 30,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44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92"/>
              </w:rPr>
              <w:t>Total number of</w:t>
            </w:r>
          </w:p>
        </w:tc>
        <w:tc>
          <w:tcPr>
            <w:tcW w:w="2160" w:type="dxa"/>
            <w:vAlign w:val="bottom"/>
          </w:tcPr>
          <w:p>
            <w:pPr>
              <w:jc w:val="center"/>
              <w:ind w:right="116"/>
              <w:spacing w:after="0"/>
              <w:rPr>
                <w:sz w:val="20"/>
                <w:szCs w:val="20"/>
                <w:color w:val="auto"/>
              </w:rPr>
            </w:pPr>
            <w:r>
              <w:rPr>
                <w:rFonts w:ascii="Arial" w:cs="Arial" w:eastAsia="Arial" w:hAnsi="Arial"/>
                <w:sz w:val="16"/>
                <w:szCs w:val="16"/>
                <w:b w:val="1"/>
                <w:bCs w:val="1"/>
                <w:color w:val="auto"/>
                <w:w w:val="95"/>
              </w:rPr>
              <w:t>Maximum number (or</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Average</w:t>
            </w:r>
          </w:p>
        </w:tc>
        <w:tc>
          <w:tcPr>
            <w:tcW w:w="1900" w:type="dxa"/>
            <w:vAlign w:val="bottom"/>
            <w:gridSpan w:val="3"/>
          </w:tcPr>
          <w:p>
            <w:pPr>
              <w:jc w:val="center"/>
              <w:ind w:right="230"/>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2160" w:type="dxa"/>
            <w:vAlign w:val="bottom"/>
          </w:tcPr>
          <w:p>
            <w:pPr>
              <w:jc w:val="center"/>
              <w:ind w:right="116"/>
              <w:spacing w:after="0" w:line="162" w:lineRule="exact"/>
              <w:rPr>
                <w:sz w:val="20"/>
                <w:szCs w:val="20"/>
                <w:color w:val="auto"/>
              </w:rPr>
            </w:pPr>
            <w:r>
              <w:rPr>
                <w:rFonts w:ascii="Arial" w:cs="Arial" w:eastAsia="Arial" w:hAnsi="Arial"/>
                <w:sz w:val="16"/>
                <w:szCs w:val="16"/>
                <w:b w:val="1"/>
                <w:bCs w:val="1"/>
                <w:color w:val="auto"/>
                <w:w w:val="92"/>
              </w:rPr>
              <w:t>approximate dollar value)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40" w:type="dxa"/>
            <w:vAlign w:val="bottom"/>
            <w:gridSpan w:val="3"/>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number of</w:t>
            </w:r>
          </w:p>
        </w:tc>
        <w:tc>
          <w:tcPr>
            <w:tcW w:w="1100" w:type="dxa"/>
            <w:vAlign w:val="bottom"/>
            <w:gridSpan w:val="2"/>
            <w:vMerge w:val="continue"/>
          </w:tcPr>
          <w:p>
            <w:pPr>
              <w:spacing w:after="0"/>
              <w:rPr>
                <w:sz w:val="14"/>
                <w:szCs w:val="14"/>
                <w:color w:val="auto"/>
              </w:rPr>
            </w:pPr>
          </w:p>
        </w:tc>
        <w:tc>
          <w:tcPr>
            <w:tcW w:w="1900" w:type="dxa"/>
            <w:vAlign w:val="bottom"/>
            <w:gridSpan w:val="3"/>
          </w:tcPr>
          <w:p>
            <w:pPr>
              <w:jc w:val="center"/>
              <w:ind w:right="210"/>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2160" w:type="dxa"/>
            <w:vAlign w:val="bottom"/>
          </w:tcPr>
          <w:p>
            <w:pPr>
              <w:jc w:val="center"/>
              <w:ind w:right="116"/>
              <w:spacing w:after="0" w:line="162" w:lineRule="exact"/>
              <w:rPr>
                <w:sz w:val="20"/>
                <w:szCs w:val="20"/>
                <w:color w:val="auto"/>
              </w:rPr>
            </w:pPr>
            <w:r>
              <w:rPr>
                <w:rFonts w:ascii="Arial" w:cs="Arial" w:eastAsia="Arial" w:hAnsi="Arial"/>
                <w:sz w:val="16"/>
                <w:szCs w:val="16"/>
                <w:b w:val="1"/>
                <w:bCs w:val="1"/>
                <w:color w:val="auto"/>
                <w:w w:val="89"/>
              </w:rPr>
              <w:t>of shares that may yet be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40" w:type="dxa"/>
            <w:vAlign w:val="bottom"/>
            <w:gridSpan w:val="3"/>
          </w:tcPr>
          <w:p>
            <w:pPr>
              <w:jc w:val="center"/>
              <w:ind w:right="280"/>
              <w:spacing w:after="0" w:line="162" w:lineRule="exact"/>
              <w:rPr>
                <w:sz w:val="20"/>
                <w:szCs w:val="20"/>
                <w:color w:val="auto"/>
              </w:rPr>
            </w:pPr>
            <w:r>
              <w:rPr>
                <w:rFonts w:ascii="Arial" w:cs="Arial" w:eastAsia="Arial" w:hAnsi="Arial"/>
                <w:sz w:val="16"/>
                <w:szCs w:val="16"/>
                <w:b w:val="1"/>
                <w:bCs w:val="1"/>
                <w:color w:val="auto"/>
                <w:w w:val="85"/>
              </w:rPr>
              <w:t>shares</w:t>
            </w: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price paid</w:t>
            </w:r>
          </w:p>
        </w:tc>
        <w:tc>
          <w:tcPr>
            <w:tcW w:w="1900" w:type="dxa"/>
            <w:vAlign w:val="bottom"/>
            <w:gridSpan w:val="3"/>
          </w:tcPr>
          <w:p>
            <w:pPr>
              <w:jc w:val="center"/>
              <w:ind w:right="21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2160" w:type="dxa"/>
            <w:vAlign w:val="bottom"/>
          </w:tcPr>
          <w:p>
            <w:pPr>
              <w:jc w:val="center"/>
              <w:ind w:right="96"/>
              <w:spacing w:after="0" w:line="162" w:lineRule="exact"/>
              <w:rPr>
                <w:sz w:val="20"/>
                <w:szCs w:val="20"/>
                <w:color w:val="auto"/>
              </w:rPr>
            </w:pPr>
            <w:r>
              <w:rPr>
                <w:rFonts w:ascii="Arial" w:cs="Arial" w:eastAsia="Arial" w:hAnsi="Arial"/>
                <w:sz w:val="16"/>
                <w:szCs w:val="16"/>
                <w:b w:val="1"/>
                <w:bCs w:val="1"/>
                <w:color w:val="auto"/>
                <w:w w:val="89"/>
              </w:rPr>
              <w:t>purchased under the</w:t>
            </w: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8"/>
              </w:rPr>
              <w:t>purchased</w:t>
            </w: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per share</w:t>
            </w:r>
          </w:p>
        </w:tc>
        <w:tc>
          <w:tcPr>
            <w:tcW w:w="190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92"/>
              </w:rPr>
              <w:t>programs</w:t>
            </w:r>
          </w:p>
        </w:tc>
        <w:tc>
          <w:tcPr>
            <w:tcW w:w="216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plans or programs (1)</w:t>
            </w:r>
          </w:p>
        </w:tc>
        <w:tc>
          <w:tcPr>
            <w:tcW w:w="0" w:type="dxa"/>
            <w:vAlign w:val="bottom"/>
          </w:tcPr>
          <w:p>
            <w:pPr>
              <w:spacing w:after="0"/>
              <w:rPr>
                <w:sz w:val="1"/>
                <w:szCs w:val="1"/>
                <w:color w:val="auto"/>
              </w:rPr>
            </w:pPr>
          </w:p>
        </w:tc>
      </w:tr>
      <w:tr>
        <w:trPr>
          <w:trHeight w:val="226"/>
        </w:trPr>
        <w:tc>
          <w:tcPr>
            <w:tcW w:w="464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3"/>
                <w:szCs w:val="23"/>
                <w:color w:val="auto"/>
                <w:vertAlign w:val="superscript"/>
              </w:rPr>
              <w:t>(1)</w:t>
            </w: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Third quarter 2020</w:t>
            </w:r>
          </w:p>
        </w:tc>
        <w:tc>
          <w:tcPr>
            <w:tcW w:w="1440" w:type="dxa"/>
            <w:vAlign w:val="bottom"/>
            <w:gridSpan w:val="3"/>
          </w:tcPr>
          <w:p>
            <w:pPr>
              <w:ind w:left="90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Canadian Plan </w:t>
            </w:r>
            <w:r>
              <w:rPr>
                <w:rFonts w:ascii="Arial" w:cs="Arial" w:eastAsia="Arial" w:hAnsi="Arial"/>
                <w:sz w:val="23"/>
                <w:szCs w:val="23"/>
                <w:color w:val="auto"/>
                <w:vertAlign w:val="superscript"/>
              </w:rPr>
              <w:t>(2)</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5"/>
        </w:trPr>
        <w:tc>
          <w:tcPr>
            <w:tcW w:w="4640" w:type="dxa"/>
            <w:vAlign w:val="bottom"/>
          </w:tcPr>
          <w:p>
            <w:pPr>
              <w:ind w:left="20"/>
              <w:spacing w:after="0"/>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900" w:right="80" w:hanging="892"/>
        <w:spacing w:after="0" w:line="286"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6"/>
          <w:szCs w:val="16"/>
          <w:color w:val="auto"/>
        </w:rPr>
        <w:t>On July 20, 2012, our Board of Directors authorized management to repurchase up to $10.0 million of our outstanding common stock on the open market or in privately negotiated transactions. Westwood's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27" w:lineRule="exact"/>
        <w:rPr>
          <w:rFonts w:ascii="Arial" w:cs="Arial" w:eastAsia="Arial" w:hAnsi="Arial"/>
          <w:sz w:val="14"/>
          <w:szCs w:val="14"/>
          <w:color w:val="auto"/>
        </w:rPr>
      </w:pPr>
    </w:p>
    <w:p>
      <w:pPr>
        <w:ind w:left="900" w:right="160" w:hanging="892"/>
        <w:spacing w:after="0" w:line="232" w:lineRule="auto"/>
        <w:tabs>
          <w:tab w:leader="none" w:pos="89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ind w:left="892" w:right="100"/>
        <w:spacing w:after="0" w:line="271" w:lineRule="auto"/>
        <w:rPr>
          <w:sz w:val="20"/>
          <w:szCs w:val="20"/>
          <w:color w:val="auto"/>
        </w:rPr>
      </w:pPr>
      <w:r>
        <w:rPr>
          <w:rFonts w:ascii="Arial" w:cs="Arial" w:eastAsia="Arial" w:hAnsi="Arial"/>
          <w:sz w:val="17"/>
          <w:szCs w:val="17"/>
          <w:color w:val="auto"/>
        </w:rPr>
        <w:t>up to $10.0 million CDN of our outstanding common stock on the open market for the purpose of making share awards to our Canadian employees. On July 27, 2020, Westwood’s Board of Directors approved the closure of Westwood International Advisors, effective September 30, 2020. The Canadian Plan going forward will not be accessed, and will be discontinued by the Board of Directors.</w:t>
      </w:r>
    </w:p>
    <w:p>
      <w:pPr>
        <w:jc w:val="both"/>
        <w:ind w:left="892" w:hanging="892"/>
        <w:spacing w:after="0" w:line="255" w:lineRule="auto"/>
        <w:tabs>
          <w:tab w:leader="none" w:pos="892" w:val="left"/>
        </w:tabs>
        <w:numPr>
          <w:ilvl w:val="0"/>
          <w:numId w:val="13"/>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097"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73"/>
        </w:trPr>
        <w:tc>
          <w:tcPr>
            <w:tcW w:w="2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31.1*</w:t>
            </w:r>
          </w:p>
        </w:tc>
        <w:tc>
          <w:tcPr>
            <w:tcW w:w="860" w:type="dxa"/>
            <w:vAlign w:val="bottom"/>
          </w:tcPr>
          <w:p>
            <w:pPr>
              <w:spacing w:after="0"/>
              <w:rPr>
                <w:sz w:val="24"/>
                <w:szCs w:val="24"/>
                <w:color w:val="auto"/>
              </w:rPr>
            </w:pPr>
          </w:p>
        </w:tc>
        <w:tc>
          <w:tcPr>
            <w:tcW w:w="9380" w:type="dxa"/>
            <w:vAlign w:val="bottom"/>
            <w:gridSpan w:val="4"/>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Chief Executive Officer Pursuant to Securities Exchange Act Rule 13a-14(a)</w:t>
              </w:r>
            </w:hyperlink>
          </w:p>
        </w:tc>
      </w:tr>
      <w:tr>
        <w:trPr>
          <w:trHeight w:val="445"/>
        </w:trPr>
        <w:tc>
          <w:tcPr>
            <w:tcW w:w="2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31.2*</w:t>
            </w:r>
          </w:p>
        </w:tc>
        <w:tc>
          <w:tcPr>
            <w:tcW w:w="860" w:type="dxa"/>
            <w:vAlign w:val="bottom"/>
          </w:tcPr>
          <w:p>
            <w:pPr>
              <w:spacing w:after="0"/>
              <w:rPr>
                <w:sz w:val="24"/>
                <w:szCs w:val="24"/>
                <w:color w:val="auto"/>
              </w:rPr>
            </w:pPr>
          </w:p>
        </w:tc>
        <w:tc>
          <w:tcPr>
            <w:tcW w:w="9380" w:type="dxa"/>
            <w:vAlign w:val="bottom"/>
            <w:gridSpan w:val="4"/>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Financial Officer Pursuant to Securities Exchange Act Rule 13a-14(a)</w:t>
              </w:r>
            </w:hyperlink>
          </w:p>
        </w:tc>
      </w:tr>
      <w:tr>
        <w:trPr>
          <w:trHeight w:val="405"/>
        </w:trPr>
        <w:tc>
          <w:tcPr>
            <w:tcW w:w="2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32.1**</w:t>
            </w:r>
          </w:p>
        </w:tc>
        <w:tc>
          <w:tcPr>
            <w:tcW w:w="860" w:type="dxa"/>
            <w:vAlign w:val="bottom"/>
          </w:tcPr>
          <w:p>
            <w:pPr>
              <w:spacing w:after="0"/>
              <w:rPr>
                <w:sz w:val="24"/>
                <w:szCs w:val="24"/>
                <w:color w:val="auto"/>
              </w:rPr>
            </w:pPr>
          </w:p>
        </w:tc>
        <w:tc>
          <w:tcPr>
            <w:tcW w:w="9380" w:type="dxa"/>
            <w:vAlign w:val="bottom"/>
            <w:gridSpan w:val="4"/>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Certification of Chief Executive Officer Pursuant to 18 U.S.C. Section 1350, as Adopted Pursuant to Section 906 of the Sarbanes-</w:t>
              </w:r>
            </w:hyperlink>
          </w:p>
        </w:tc>
      </w:tr>
      <w:tr>
        <w:trPr>
          <w:trHeight w:val="156"/>
        </w:trPr>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37">
              <w:r>
                <w:rPr>
                  <w:rFonts w:ascii="Arial" w:cs="Arial" w:eastAsia="Arial" w:hAnsi="Arial"/>
                  <w:sz w:val="18"/>
                  <w:szCs w:val="18"/>
                  <w:color w:val="0000FF"/>
                  <w:w w:val="94"/>
                </w:rPr>
                <w:t>Oxley Act of 2002</w:t>
              </w:r>
            </w:hyperlink>
          </w:p>
        </w:tc>
        <w:tc>
          <w:tcPr>
            <w:tcW w:w="8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25"/>
        </w:trPr>
        <w:tc>
          <w:tcPr>
            <w:tcW w:w="2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32.2**</w:t>
            </w:r>
          </w:p>
        </w:tc>
        <w:tc>
          <w:tcPr>
            <w:tcW w:w="860" w:type="dxa"/>
            <w:vAlign w:val="bottom"/>
          </w:tcPr>
          <w:p>
            <w:pPr>
              <w:spacing w:after="0"/>
              <w:rPr>
                <w:sz w:val="24"/>
                <w:szCs w:val="24"/>
                <w:color w:val="auto"/>
              </w:rPr>
            </w:pPr>
          </w:p>
        </w:tc>
        <w:tc>
          <w:tcPr>
            <w:tcW w:w="9380" w:type="dxa"/>
            <w:vAlign w:val="bottom"/>
            <w:gridSpan w:val="4"/>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Certification of Chief Financial Officer Pursuant to 18 U.S.C. Section 1350, as Adopted Pursuant to Section 906 of the Sarbanes-</w:t>
              </w:r>
            </w:hyperlink>
          </w:p>
        </w:tc>
      </w:tr>
      <w:tr>
        <w:trPr>
          <w:trHeight w:val="156"/>
        </w:trPr>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38">
              <w:r>
                <w:rPr>
                  <w:rFonts w:ascii="Arial" w:cs="Arial" w:eastAsia="Arial" w:hAnsi="Arial"/>
                  <w:sz w:val="18"/>
                  <w:szCs w:val="18"/>
                  <w:color w:val="0000FF"/>
                  <w:w w:val="94"/>
                </w:rPr>
                <w:t>Oxley Act of 2002</w:t>
              </w:r>
            </w:hyperlink>
          </w:p>
        </w:tc>
        <w:tc>
          <w:tcPr>
            <w:tcW w:w="7960" w:type="dxa"/>
            <w:vAlign w:val="bottom"/>
            <w:tcBorders>
              <w:top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r>
      <w:tr>
        <w:trPr>
          <w:trHeight w:val="412"/>
        </w:trPr>
        <w:tc>
          <w:tcPr>
            <w:tcW w:w="2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w w:val="93"/>
              </w:rPr>
              <w:t>The following financial information from Westwood Holdings Group, Inc.'s Quarterly Report on Form 10-Q for the period ended</w:t>
            </w:r>
          </w:p>
        </w:tc>
      </w:tr>
      <w:tr>
        <w:trPr>
          <w:trHeight w:val="176"/>
        </w:trPr>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380" w:type="dxa"/>
            <w:vAlign w:val="bottom"/>
            <w:gridSpan w:val="4"/>
          </w:tcPr>
          <w:p>
            <w:pPr>
              <w:spacing w:after="0" w:line="176" w:lineRule="exact"/>
              <w:rPr>
                <w:sz w:val="20"/>
                <w:szCs w:val="20"/>
                <w:color w:val="auto"/>
              </w:rPr>
            </w:pPr>
            <w:r>
              <w:rPr>
                <w:rFonts w:ascii="Arial" w:cs="Arial" w:eastAsia="Arial" w:hAnsi="Arial"/>
                <w:sz w:val="18"/>
                <w:szCs w:val="18"/>
                <w:color w:val="auto"/>
                <w:w w:val="91"/>
              </w:rPr>
              <w:t>September 30, 2020, formatted in Inline eXtensible Business Reporting Language (iXBRL): (i) Condensed Consolidated Balance</w:t>
            </w:r>
          </w:p>
        </w:tc>
      </w:tr>
      <w:tr>
        <w:trPr>
          <w:trHeight w:val="175"/>
        </w:trPr>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380" w:type="dxa"/>
            <w:vAlign w:val="bottom"/>
            <w:gridSpan w:val="4"/>
          </w:tcPr>
          <w:p>
            <w:pPr>
              <w:spacing w:after="0" w:line="176" w:lineRule="exact"/>
              <w:rPr>
                <w:sz w:val="20"/>
                <w:szCs w:val="20"/>
                <w:color w:val="auto"/>
              </w:rPr>
            </w:pPr>
            <w:r>
              <w:rPr>
                <w:rFonts w:ascii="Arial" w:cs="Arial" w:eastAsia="Arial" w:hAnsi="Arial"/>
                <w:sz w:val="18"/>
                <w:szCs w:val="18"/>
                <w:color w:val="auto"/>
                <w:w w:val="92"/>
              </w:rPr>
              <w:t>Sheets as of September 30, 2020 and December 31, 2019; (ii) Condensed Consolidated Statements of Comprehensive Income</w:t>
            </w:r>
          </w:p>
        </w:tc>
      </w:tr>
      <w:tr>
        <w:trPr>
          <w:trHeight w:val="176"/>
        </w:trPr>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380" w:type="dxa"/>
            <w:vAlign w:val="bottom"/>
            <w:gridSpan w:val="4"/>
          </w:tcPr>
          <w:p>
            <w:pPr>
              <w:spacing w:after="0" w:line="176" w:lineRule="exact"/>
              <w:rPr>
                <w:sz w:val="20"/>
                <w:szCs w:val="20"/>
                <w:color w:val="auto"/>
              </w:rPr>
            </w:pPr>
            <w:r>
              <w:rPr>
                <w:rFonts w:ascii="Arial" w:cs="Arial" w:eastAsia="Arial" w:hAnsi="Arial"/>
                <w:sz w:val="18"/>
                <w:szCs w:val="18"/>
                <w:color w:val="auto"/>
                <w:w w:val="98"/>
              </w:rPr>
              <w:t>(Loss) for the three and nine months ended September 30, 2020 and 2019; (iii) Condensed Consolidated Statements of</w:t>
            </w:r>
          </w:p>
        </w:tc>
      </w:tr>
      <w:tr>
        <w:trPr>
          <w:trHeight w:val="176"/>
        </w:trPr>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380" w:type="dxa"/>
            <w:vAlign w:val="bottom"/>
            <w:gridSpan w:val="4"/>
          </w:tcPr>
          <w:p>
            <w:pPr>
              <w:spacing w:after="0" w:line="176" w:lineRule="exact"/>
              <w:rPr>
                <w:sz w:val="20"/>
                <w:szCs w:val="20"/>
                <w:color w:val="auto"/>
              </w:rPr>
            </w:pPr>
            <w:r>
              <w:rPr>
                <w:rFonts w:ascii="Arial" w:cs="Arial" w:eastAsia="Arial" w:hAnsi="Arial"/>
                <w:sz w:val="18"/>
                <w:szCs w:val="18"/>
                <w:color w:val="auto"/>
                <w:w w:val="90"/>
              </w:rPr>
              <w:t>Stockholders' Equity; (iv) Condensed Consolidated Statements of Cash Flows for the nine months ended September 30, 2020 and</w:t>
            </w:r>
          </w:p>
        </w:tc>
      </w:tr>
      <w:tr>
        <w:trPr>
          <w:trHeight w:val="230"/>
        </w:trPr>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2019; and (v) Notes to the Condensed Consolidated Financial Statements.</w:t>
            </w:r>
          </w:p>
        </w:tc>
      </w:tr>
      <w:tr>
        <w:trPr>
          <w:trHeight w:val="445"/>
        </w:trPr>
        <w:tc>
          <w:tcPr>
            <w:tcW w:w="2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tc>
      </w:tr>
      <w:tr>
        <w:trPr>
          <w:trHeight w:val="52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20" w:type="dxa"/>
            <w:vAlign w:val="bottom"/>
            <w:gridSpan w:val="6"/>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20" w:type="dxa"/>
            <w:vAlign w:val="bottom"/>
            <w:gridSpan w:val="6"/>
          </w:tcPr>
          <w:p>
            <w:pPr>
              <w:ind w:left="160"/>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sectPr>
      </w:pPr>
    </w:p>
    <w:bookmarkStart w:id="33" w:name="page34"/>
    <w:bookmarkEnd w:id="33"/>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Dated:   October 28, 2020</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WESTWOOD HOLDINGS GROUP, INC.</w:t>
            </w:r>
          </w:p>
        </w:tc>
      </w:tr>
      <w:tr>
        <w:trPr>
          <w:trHeight w:val="486"/>
        </w:trPr>
        <w:tc>
          <w:tcPr>
            <w:tcW w:w="348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O. Casey</w:t>
            </w:r>
          </w:p>
        </w:tc>
      </w:tr>
      <w:tr>
        <w:trPr>
          <w:trHeight w:val="222"/>
        </w:trPr>
        <w:tc>
          <w:tcPr>
            <w:tcW w:w="3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Brian O. Casey</w:t>
            </w:r>
          </w:p>
        </w:tc>
      </w:tr>
      <w:tr>
        <w:trPr>
          <w:trHeight w:val="230"/>
        </w:trPr>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45"/>
        </w:trPr>
        <w:tc>
          <w:tcPr>
            <w:tcW w:w="348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Forbes III</w:t>
            </w:r>
          </w:p>
        </w:tc>
      </w:tr>
      <w:tr>
        <w:trPr>
          <w:trHeight w:val="222"/>
        </w:trPr>
        <w:tc>
          <w:tcPr>
            <w:tcW w:w="3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Murray Forbes III</w:t>
            </w:r>
          </w:p>
        </w:tc>
      </w:tr>
      <w:tr>
        <w:trPr>
          <w:trHeight w:val="230"/>
        </w:trPr>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60"/>
          </w:cols>
          <w:pgMar w:left="320" w:top="1097" w:right="81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 13a-14(a)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82" w:lineRule="exact"/>
        <w:rPr>
          <w:sz w:val="20"/>
          <w:szCs w:val="20"/>
          <w:color w:val="auto"/>
        </w:rPr>
      </w:pPr>
    </w:p>
    <w:p>
      <w:pPr>
        <w:ind w:left="1200" w:hanging="1174"/>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jc w:val="both"/>
        <w:ind w:left="1200" w:right="620" w:hanging="1174"/>
        <w:spacing w:after="0" w:line="278"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spacing w:after="0" w:line="308" w:lineRule="exact"/>
        <w:rPr>
          <w:rFonts w:ascii="Arial" w:cs="Arial" w:eastAsia="Arial" w:hAnsi="Arial"/>
          <w:sz w:val="16"/>
          <w:szCs w:val="16"/>
          <w:color w:val="auto"/>
        </w:rPr>
      </w:pPr>
    </w:p>
    <w:p>
      <w:pPr>
        <w:ind w:left="1200" w:right="580" w:hanging="1174"/>
        <w:spacing w:after="0" w:line="328"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5"/>
          <w:szCs w:val="15"/>
          <w:color w:val="auto"/>
        </w:rPr>
      </w:pPr>
    </w:p>
    <w:p>
      <w:pPr>
        <w:spacing w:after="0" w:line="273" w:lineRule="exact"/>
        <w:rPr>
          <w:rFonts w:ascii="Arial" w:cs="Arial" w:eastAsia="Arial" w:hAnsi="Arial"/>
          <w:sz w:val="15"/>
          <w:szCs w:val="15"/>
          <w:color w:val="auto"/>
        </w:rPr>
      </w:pPr>
    </w:p>
    <w:p>
      <w:pPr>
        <w:jc w:val="both"/>
        <w:ind w:left="1200" w:right="600" w:hanging="1174"/>
        <w:spacing w:after="0" w:line="278"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980" w:right="360" w:firstLine="486"/>
        <w:spacing w:after="0" w:line="261" w:lineRule="auto"/>
        <w:tabs>
          <w:tab w:leader="none" w:pos="16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700" w:hanging="234"/>
        <w:spacing w:after="0"/>
        <w:tabs>
          <w:tab w:leader="none" w:pos="17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30" w:lineRule="exact"/>
        <w:rPr>
          <w:rFonts w:ascii="Arial" w:cs="Arial" w:eastAsia="Arial" w:hAnsi="Arial"/>
          <w:sz w:val="15"/>
          <w:szCs w:val="15"/>
          <w:color w:val="auto"/>
        </w:rPr>
      </w:pPr>
    </w:p>
    <w:p>
      <w:pPr>
        <w:ind w:left="980"/>
        <w:spacing w:after="0" w:line="257"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5"/>
          <w:szCs w:val="15"/>
          <w:color w:val="auto"/>
        </w:rPr>
      </w:pPr>
    </w:p>
    <w:p>
      <w:pPr>
        <w:ind w:left="980" w:right="820" w:firstLine="486"/>
        <w:spacing w:after="0" w:line="349" w:lineRule="auto"/>
        <w:tabs>
          <w:tab w:leader="none" w:pos="1686"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4"/>
          <w:szCs w:val="14"/>
          <w:color w:val="auto"/>
        </w:rPr>
      </w:pPr>
    </w:p>
    <w:p>
      <w:pPr>
        <w:ind w:left="980" w:right="120" w:firstLine="486"/>
        <w:spacing w:after="0" w:line="261" w:lineRule="auto"/>
        <w:tabs>
          <w:tab w:leader="none" w:pos="16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6"/>
          <w:szCs w:val="16"/>
          <w:color w:val="auto"/>
        </w:rPr>
      </w:pPr>
    </w:p>
    <w:p>
      <w:pPr>
        <w:ind w:left="1200" w:right="580" w:hanging="1174"/>
        <w:spacing w:after="0" w:line="328"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5"/>
          <w:szCs w:val="15"/>
          <w:color w:val="auto"/>
        </w:rPr>
      </w:pPr>
    </w:p>
    <w:p>
      <w:pPr>
        <w:ind w:left="980" w:right="280" w:firstLine="486"/>
        <w:spacing w:after="0" w:line="275" w:lineRule="auto"/>
        <w:tabs>
          <w:tab w:leader="none" w:pos="16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980" w:right="220" w:firstLine="486"/>
        <w:spacing w:after="0" w:line="275" w:lineRule="auto"/>
        <w:tabs>
          <w:tab w:leader="none" w:pos="16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Dated: October 28, 2020</w:t>
      </w:r>
    </w:p>
    <w:p>
      <w:pPr>
        <w:spacing w:after="0" w:line="30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34925</wp:posOffset>
            </wp:positionV>
            <wp:extent cx="27089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6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Brian O. Casey</w:t>
      </w:r>
    </w:p>
    <w:p>
      <w:pPr>
        <w:spacing w:after="0" w:line="73"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895" w:right="339" w:bottom="1440" w:gutter="0" w:footer="0" w:header="0"/>
        </w:sectPr>
      </w:pPr>
    </w:p>
    <w:bookmarkStart w:id="35" w:name="page36"/>
    <w:bookmarkEnd w:id="35"/>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113" w:lineRule="exact"/>
        <w:rPr>
          <w:sz w:val="20"/>
          <w:szCs w:val="20"/>
          <w:color w:val="auto"/>
        </w:rPr>
      </w:pPr>
    </w:p>
    <w:p>
      <w:pPr>
        <w:ind w:left="1240" w:hanging="1214"/>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240" w:right="120" w:hanging="1214"/>
        <w:spacing w:after="0" w:line="369" w:lineRule="auto"/>
        <w:tabs>
          <w:tab w:leader="none" w:pos="1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5" w:lineRule="exact"/>
        <w:rPr>
          <w:rFonts w:ascii="Arial" w:cs="Arial" w:eastAsia="Arial" w:hAnsi="Arial"/>
          <w:sz w:val="14"/>
          <w:szCs w:val="14"/>
          <w:color w:val="auto"/>
        </w:rPr>
      </w:pPr>
    </w:p>
    <w:p>
      <w:pPr>
        <w:ind w:left="1240" w:right="540" w:hanging="1214"/>
        <w:spacing w:after="0" w:line="328" w:lineRule="auto"/>
        <w:tabs>
          <w:tab w:leader="none" w:pos="1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5" w:lineRule="exact"/>
        <w:rPr>
          <w:rFonts w:ascii="Arial" w:cs="Arial" w:eastAsia="Arial" w:hAnsi="Arial"/>
          <w:sz w:val="15"/>
          <w:szCs w:val="15"/>
          <w:color w:val="auto"/>
        </w:rPr>
      </w:pPr>
    </w:p>
    <w:p>
      <w:pPr>
        <w:ind w:left="1240" w:right="200" w:hanging="1214"/>
        <w:spacing w:after="0" w:line="278"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6"/>
          <w:szCs w:val="16"/>
          <w:color w:val="auto"/>
        </w:rPr>
      </w:pPr>
    </w:p>
    <w:p>
      <w:pPr>
        <w:ind w:left="980" w:right="360" w:firstLine="486"/>
        <w:spacing w:after="0" w:line="261" w:lineRule="auto"/>
        <w:tabs>
          <w:tab w:leader="none" w:pos="16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6"/>
          <w:szCs w:val="16"/>
          <w:color w:val="auto"/>
        </w:rPr>
      </w:pPr>
    </w:p>
    <w:p>
      <w:pPr>
        <w:ind w:left="1700" w:hanging="234"/>
        <w:spacing w:after="0"/>
        <w:tabs>
          <w:tab w:leader="none" w:pos="17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30" w:lineRule="exact"/>
        <w:rPr>
          <w:rFonts w:ascii="Arial" w:cs="Arial" w:eastAsia="Arial" w:hAnsi="Arial"/>
          <w:sz w:val="15"/>
          <w:szCs w:val="15"/>
          <w:color w:val="auto"/>
        </w:rPr>
      </w:pPr>
    </w:p>
    <w:p>
      <w:pPr>
        <w:ind w:left="980"/>
        <w:spacing w:after="0" w:line="257"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Arial" w:cs="Arial" w:eastAsia="Arial" w:hAnsi="Arial"/>
          <w:sz w:val="15"/>
          <w:szCs w:val="15"/>
          <w:color w:val="auto"/>
        </w:rPr>
      </w:pPr>
    </w:p>
    <w:p>
      <w:pPr>
        <w:ind w:left="980" w:right="820" w:firstLine="486"/>
        <w:spacing w:after="0" w:line="322" w:lineRule="auto"/>
        <w:tabs>
          <w:tab w:leader="none" w:pos="1686" w:val="left"/>
        </w:tabs>
        <w:numPr>
          <w:ilvl w:val="1"/>
          <w:numId w:val="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20" w:firstLine="486"/>
        <w:spacing w:after="0" w:line="261" w:lineRule="auto"/>
        <w:tabs>
          <w:tab w:leader="none" w:pos="1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left="1240" w:right="300" w:hanging="1214"/>
        <w:spacing w:after="0" w:line="328" w:lineRule="auto"/>
        <w:tabs>
          <w:tab w:leader="none" w:pos="1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5"/>
          <w:szCs w:val="15"/>
          <w:color w:val="auto"/>
        </w:rPr>
      </w:pPr>
    </w:p>
    <w:p>
      <w:pPr>
        <w:ind w:left="980" w:right="280" w:firstLine="486"/>
        <w:spacing w:after="0" w:line="275" w:lineRule="auto"/>
        <w:tabs>
          <w:tab w:leader="none" w:pos="16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980" w:right="220" w:firstLine="486"/>
        <w:spacing w:after="0" w:line="275" w:lineRule="auto"/>
        <w:tabs>
          <w:tab w:leader="none" w:pos="1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Dated: October 28, 2020</w:t>
      </w:r>
    </w:p>
    <w:p>
      <w:pPr>
        <w:spacing w:after="0" w:line="30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34925</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Murray Forbes III</w:t>
      </w:r>
    </w:p>
    <w:p>
      <w:pPr>
        <w:spacing w:after="0" w:line="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ind w:right="380"/>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September 30, 2020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Dated: October 28, 2020</w:t>
      </w:r>
    </w:p>
    <w:p>
      <w:pPr>
        <w:spacing w:after="0" w:line="30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34925</wp:posOffset>
            </wp:positionV>
            <wp:extent cx="3042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Brian O. Casey</w:t>
      </w:r>
    </w:p>
    <w:p>
      <w:pPr>
        <w:spacing w:after="0" w:line="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President &amp; Chief Executive Officer</w:t>
      </w:r>
    </w:p>
    <w:p>
      <w:pPr>
        <w:spacing w:after="0" w:line="262"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September 30, 2020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Dated: October 28, 2020</w:t>
      </w:r>
    </w:p>
    <w:p>
      <w:pPr>
        <w:spacing w:after="0" w:line="30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34925</wp:posOffset>
            </wp:positionV>
            <wp:extent cx="3042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Murray Forbes III</w:t>
      </w:r>
    </w:p>
    <w:p>
      <w:pPr>
        <w:spacing w:after="0" w:line="7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 and Treasurer</w:t>
      </w:r>
    </w:p>
    <w:p>
      <w:pPr>
        <w:spacing w:after="0" w:line="262"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12"/>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2020-10-28T15:53:29Z</dcterms:created>
  <dcterms:modified xsi:type="dcterms:W3CDTF">2020-10-28T15:53:29Z</dcterms:modified>
</cp:coreProperties>
</file>