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August 2, 2023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WESTWOOD HOLDINGS GROUP,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______________________________________________________________________________________________________</w:t>
      </w:r>
    </w:p>
    <w:p>
      <w:pPr>
        <w:pStyle w:val="TextBody"/>
        <w:bidi w:val="0"/>
        <w:spacing w:before="0" w:after="0"/>
        <w:jc w:val="left"/>
        <w:rPr/>
      </w:pPr>
      <w:r>
        <w:rPr/>
      </w:r>
    </w:p>
    <w:tbl>
      <w:tblPr>
        <w:tblW w:w="8092"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001-31234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75-2969997</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Crescent Court, Suite 1200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Dallas, Texas 75201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(214) 756-6900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 xml:space="preserve">see </w:t>
      </w:r>
      <w:r>
        <w:rPr>
          <w:rFonts w:ascii="Times New Roman;sans-serif" w:hAnsi="Times New Roman;sans-serif"/>
          <w:b w:val="false"/>
          <w:color w:val="000000"/>
          <w:sz w:val="20"/>
        </w:rPr>
        <w:t>General Instruction A.2. below):</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312" w:before="0" w:after="0"/>
        <w:jc w:val="left"/>
        <w:rPr/>
      </w:pPr>
      <w:r>
        <w:rPr>
          <w:color w:val="000000"/>
        </w:rPr>
        <w:t>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1252"/>
        <w:gridCol w:w="1103"/>
        <w:gridCol w:w="1109"/>
        <w:gridCol w:w="539"/>
        <w:gridCol w:w="539"/>
        <w:gridCol w:w="541"/>
        <w:gridCol w:w="1138"/>
        <w:gridCol w:w="1138"/>
        <w:gridCol w:w="1609"/>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WHG</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31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2" w:before="180" w:after="283"/>
        <w:jc w:val="left"/>
        <w:rPr/>
      </w:pPr>
      <w:r>
        <w:rPr>
          <w:rFonts w:ascii="Times New Roman;sans-serif" w:hAnsi="Times New Roman;sans-serif"/>
          <w:b w:val="false"/>
          <w:color w:val="000000"/>
          <w:sz w:val="18"/>
        </w:rPr>
        <w:t>Emerging growth company  </w:t>
      </w:r>
      <w:r>
        <w:rPr>
          <w:color w:val="000000"/>
        </w:rPr>
        <w:t>☐</w:t>
      </w:r>
    </w:p>
    <w:p>
      <w:pPr>
        <w:pStyle w:val="TextBody"/>
        <w:bidi w:val="0"/>
        <w:spacing w:lineRule="auto" w:line="312" w:before="180" w:after="283"/>
        <w:jc w:val="left"/>
        <w:rPr/>
      </w:pPr>
      <w:r>
        <w:rPr>
          <w:rFonts w:ascii="Times New Roman;sans-serif" w:hAnsi="Times New Roman;sans-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On August 2, 2023, Westwood Holdings Group, Inc. (“Westwood”) announced its financial results for the quarter ended June 30, 2023, a copy of which is furnished with this Current Report on Form 8-K as Exhibit 99.1.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ITEM 7.01:    REGULATION FD DISCLOSURE</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Westwood announced today that its Board of Directors has approved the payment of a quarterly cash dividend of $0.15 per common share, payable on October 2, 2023 to stockholders of record on September 1,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Exhibits: The following exhibit is furnished with this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Exhibit Number                    Description</w: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ans-serif" w:hAnsi="Times New Roman;sans-serif"/>
          <w:b w:val="false"/>
          <w:color w:val="000000"/>
          <w:sz w:val="22"/>
        </w:rPr>
        <w:t>99.1    </w:t>
      </w:r>
      <w:hyperlink w:anchor="a2q23earningsrelease.htm">
        <w:r>
          <w:rPr>
            <w:rStyle w:val="InternetLink"/>
          </w:rPr>
          <w:t>Press Release Dated A</w:t>
        </w:r>
      </w:hyperlink>
      <w:hyperlink w:anchor="a2q23earningsrelease.htm">
        <w:r>
          <w:rPr>
            <w:rStyle w:val="InternetLink"/>
          </w:rPr>
          <w:t>ugust</w:t>
        </w:r>
      </w:hyperlink>
      <w:hyperlink w:anchor="a2q23earningsrelease.htm">
        <w:r>
          <w:rPr>
            <w:rStyle w:val="InternetLink"/>
          </w:rPr>
          <w:t xml:space="preserve"> 2</w:t>
        </w:r>
      </w:hyperlink>
      <w:hyperlink w:anchor="a2q23earningsrelease.htm">
        <w:r>
          <w:rPr>
            <w:rStyle w:val="InternetLink"/>
          </w:rPr>
          <w:t>, 2023</w:t>
        </w:r>
      </w:hyperlink>
    </w:p>
    <w:p>
      <w:pPr>
        <w:pStyle w:val="TextBody"/>
        <w:bidi w:val="0"/>
        <w:spacing w:lineRule="auto" w:line="288" w:before="0" w:after="0"/>
        <w:ind w:left="0" w:right="0" w:hanging="1440"/>
        <w:jc w:val="left"/>
        <w:rPr>
          <w:rFonts w:ascii="Times New Roman;sans-serif" w:hAnsi="Times New Roman;sans-serif"/>
          <w:b w:val="false"/>
          <w:color w:val="000000"/>
          <w:sz w:val="22"/>
        </w:rPr>
      </w:pPr>
      <w:r>
        <w:rPr>
          <w:rFonts w:ascii="Times New Roman;sans-serif" w:hAnsi="Times New Roman;sans-serif"/>
          <w:b w:val="false"/>
          <w:color w:val="000000"/>
          <w:sz w:val="22"/>
        </w:rPr>
        <w:t>104    Cover Page Interactive Date File (embedded within the Inline XBRL document)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August 2, 2023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40" w:type="dxa"/>
        <w:jc w:val="right"/>
        <w:tblInd w:w="0" w:type="dxa"/>
        <w:tblLayout w:type="fixed"/>
        <w:tblCellMar>
          <w:top w:w="28" w:type="dxa"/>
          <w:left w:w="28" w:type="dxa"/>
          <w:bottom w:w="28" w:type="dxa"/>
          <w:right w:w="28" w:type="dxa"/>
        </w:tblCellMar>
      </w:tblPr>
      <w:tblGrid>
        <w:gridCol w:w="151"/>
        <w:gridCol w:w="134"/>
        <w:gridCol w:w="135"/>
        <w:gridCol w:w="1001"/>
        <w:gridCol w:w="1001"/>
        <w:gridCol w:w="141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WESTWOOD HOLDINGS GROUP,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Forbes III</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5241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24125" cy="80010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Westwood Holdings Group, Inc. Reports Second Quarter 2023 Results</w:t>
      </w:r>
    </w:p>
    <w:p>
      <w:pPr>
        <w:pStyle w:val="TextBody"/>
        <w:bidi w:val="0"/>
        <w:spacing w:lineRule="auto" w:line="288" w:before="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Most U.S. Value Strategies Outperformed Their Benchmarks</w:t>
      </w:r>
    </w:p>
    <w:p>
      <w:pPr>
        <w:pStyle w:val="TextBody"/>
        <w:bidi w:val="0"/>
        <w:spacing w:lineRule="auto" w:line="288" w:before="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Positive Large Cap Value Flows Despite Worst May for Industry in 15 Years</w:t>
      </w:r>
    </w:p>
    <w:p>
      <w:pPr>
        <w:pStyle w:val="TextBody"/>
        <w:bidi w:val="0"/>
        <w:spacing w:lineRule="auto" w:line="288" w:before="60" w:after="283"/>
        <w:jc w:val="center"/>
        <w:rPr/>
      </w:pPr>
      <w:r>
        <w:rPr>
          <w:rFonts w:ascii="Times New Roman;sans-serif" w:hAnsi="Times New Roman;sans-serif"/>
          <w:b/>
          <w:color w:val="000000"/>
          <w:sz w:val="20"/>
          <w:shd w:fill="FFFFFF" w:val="clear"/>
        </w:rPr>
        <w:t>21</w:t>
      </w:r>
      <w:r>
        <w:rPr>
          <w:rFonts w:ascii="Times New Roman;sans-serif" w:hAnsi="Times New Roman;sans-serif"/>
          <w:b/>
          <w:color w:val="000000"/>
          <w:sz w:val="13"/>
          <w:shd w:fill="FFFFFF" w:val="clear"/>
        </w:rPr>
        <w:t>st</w:t>
      </w:r>
      <w:r>
        <w:rPr>
          <w:color w:val="000000"/>
          <w:shd w:fill="FFFFFF" w:val="clear"/>
        </w:rPr>
        <w:t xml:space="preserve"> </w:t>
      </w:r>
      <w:r>
        <w:rPr>
          <w:rFonts w:ascii="Times New Roman;sans-serif" w:hAnsi="Times New Roman;sans-serif"/>
          <w:b/>
          <w:color w:val="000000"/>
          <w:sz w:val="20"/>
          <w:shd w:fill="FFFFFF" w:val="clear"/>
        </w:rPr>
        <w:t>Anniversary of New York Stock Exchange Listing</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120" w:after="220"/>
        <w:jc w:val="left"/>
        <w:rPr>
          <w:rFonts w:ascii="Times New Roman;sans-serif" w:hAnsi="Times New Roman;sans-serif"/>
          <w:b w:val="false"/>
          <w:color w:val="000000"/>
          <w:sz w:val="24"/>
        </w:rPr>
      </w:pPr>
      <w:r>
        <w:rPr>
          <w:rFonts w:ascii="Times New Roman;sans-serif" w:hAnsi="Times New Roman;sans-serif"/>
          <w:b w:val="false"/>
          <w:color w:val="000000"/>
          <w:sz w:val="24"/>
        </w:rPr>
        <w:t>Dallas, TX, August 2, 2023 – Westwood Holdings Group, Inc. (NYSE: WHG) today reported second quarter 2023 earnings. Significant items for the quarter include: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Numerous strategies beat their primary benchmarks, including LargeCap Value, SmallCap Value, MidCap Value, Enhanced Balanced, High Income, Global Real Estate, Select Income and Tactical Growth.</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Quarterly peer rankings benefited from strong investment performance as High Alpha achieved its second consecutive top eVestment ranking and Platinum, Enhanced Balanced, Global Real Estate and Select Income posted top quartile rankings.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Revenues totaled $21.9 million compared with the first quarter's $22.7 million and $15.6 million a year ago. Net income of $2.9 million compared with the first quarter's $0.7 million and a net loss of $0.4 million in 2022's second quarter.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The second quarter was impacted by a $4.1 million gain from the change in fair value of contingent consideration.</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Non-GAAP Economic Earnings of $5.7 million compared with the first quarter's $3.6 million and $1.6 million in last year's second quarter.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Westwood held $38.1 million in cash and short-term investments as of June 30, 2023, up $5.8 million from the first quarter. Stockholders' equity totaled $114.1 million and we have no debt.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4"/>
        </w:rPr>
        <w:t>We declared a cash dividend of $0.15 per common share, payable on October 2, 2023 to stockholders of record on September 1, 2023.</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Brian Casey, Westwood’s President and CEO, commented, "Today’s investing environment presents plenty of challenges.</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But Westwood has a 40 year history with more than half of them as a public company, so we are comfortable confronting and overcoming challenges. We’ve successfully integrated Salient’s talented people and products and now offer even more competitive products to the marketplace. Our Select Income and Global Real Estate strategies scored top 10 percentile rankings in Morningstar while our MLP &amp; Energy Infrastructure mutual fund also stepped up to claim four stars from Morningstar. On the more traditional front, 60% of our US Value products outperformed their benchmarks for the quarter and, despite suffering through the worst month in the industry for large cap value outflows, our institutional Large Cap and SmidCap strategies experienced positive inflows for the quarter.</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Distribution remains challenging amid investor uncertainty but our fully integrated sales team is working hard, supported by new technology tools, and set an all-time activity record. We feel sure that the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combination of dedicated salespeople armed with an expanded array of competitive products will pay dividends over the coming months."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Revenues were lower than the first quarter on lower performance-based fees. Revenues were higher than last year's second quarter reflecting higher average AUM following the acquisition of Salient Partners' asset management business during the fourth quarter of last year.</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Firmwide assets under management and advisement totaled $16.2 billion at quarter end, consisting of assets under management ("AUM") of $15.0 billion and assets under advisement ("AUA") of $1.2 billion.</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Second quarter net income of $2.9 million compared to the first quarter's $0.7 million due to changes in the fair value of contingent consideration, offset by lower revenues and higher income taxes. Diluted earnings (loss) per share ("EPS") of $0.36 compared with $0.09 for the first quarter. Non-GAAP Economic Earnings of $5.7 million, or $0.70 per share, compared with $3.6 million, or $0.45 per share, in the first quarter.</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Second quarter net income of $2.9 million compared to last year's second quarter net loss of $0.4 million due to changes in the fair value of contingent consideration and higher revenues, partially offset by higher expenses, primarily employee compensation and benefits expenses, following the acquisition of Salient Partners' asset management business in 2022. Diluted EPS was $0.36 compared with a loss of $0.05 per share for 2022's second quarter. Non-GAAP Economic Earnings were $5.7 million, or $0.70 per share, compared with $1.6 million, or $0.20 per share, in the second quarter of 2022.</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Economic Earnings and Economic EPS are non-GAAP performance measures and are explained and reconciled with the most comparable GAAP numbers in the attached tables.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Westwood will host a conference call to discuss second quarter 2023 results and other business matters at 4:30 p.m. Eastern time today. To join the conference call, please register here:</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https://register.vevent.com/register/BI098cd99103af49f6bcb5baaeee41d7d6</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After registering, you will be provided with a dial-in number containing a personalized PIN.</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Webcast Link: https://edge.media-server.com/mmc/p/5r2wxumm</w:t>
      </w:r>
    </w:p>
    <w:p>
      <w:pPr>
        <w:pStyle w:val="TextBody"/>
        <w:bidi w:val="0"/>
        <w:spacing w:lineRule="auto" w:line="288" w:before="120" w:after="283"/>
        <w:jc w:val="both"/>
        <w:rPr>
          <w:rFonts w:ascii="Times New Roman;sans-serif" w:hAnsi="Times New Roman;sans-serif"/>
          <w:b/>
          <w:color w:val="000000"/>
          <w:sz w:val="24"/>
        </w:rPr>
      </w:pPr>
      <w:r>
        <w:rPr>
          <w:rFonts w:ascii="Times New Roman;sans-serif" w:hAnsi="Times New Roman;sans-serif"/>
          <w:b/>
          <w:color w:val="000000"/>
          <w:sz w:val="24"/>
        </w:rPr>
        <w:t>ABOUT WESTWOOD HOLDINGS GROUP</w:t>
      </w:r>
    </w:p>
    <w:p>
      <w:pPr>
        <w:pStyle w:val="TextBody"/>
        <w:bidi w:val="0"/>
        <w:spacing w:lineRule="auto" w:line="288" w:before="120" w:after="283"/>
        <w:jc w:val="both"/>
        <w:rPr/>
      </w:pPr>
      <w:r>
        <w:rPr>
          <w:rFonts w:ascii="Times New Roman;sans-serif" w:hAnsi="Times New Roman;sans-serif"/>
          <w:b w:val="false"/>
          <w:color w:val="000000"/>
          <w:sz w:val="24"/>
        </w:rPr>
        <w:t>Westwood Holdings Group, Inc. is an investment management boutique and wealth management firm. Westwood offers high-conviction equity and outcome-oriented solutions to institutional investors, private wealth clients and financial intermediaries. The firm specializes in the following distinct investment capabilities: U.S. Value Equity, Multi-Asset, Energy and Real Assets, Tactical Absolute Return, Income Alternatives and Systematic Equity. Strategies are made available through separate accounts, the Westwood Funds</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4"/>
        </w:rPr>
        <w:t>family of mutual funds and other pooled vehicles. Westwood benefits from significant, broad-based employee ownership and trades on the New York Stock Exchange under the symbol “WHG.” Based in Dallas, Westwood also maintains offices in Houston and San Francisco.</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more information on Westwood, please visit westwoodgroup.com.</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2022 and its quarterly report on Form 10-Q for the quarters ended March 31, 2023 and June 30, 2023.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SOURCE: Westwood Holdings Group,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(WHG-G)</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CONTACT: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Westwood Holdings Group,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Terry Forbes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(214) 756-6900</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COMPREHENSIVE INCOME (LOSS)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 thousands, except per share and share amounts)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(unaudited)</w:t>
      </w:r>
    </w:p>
    <w:tbl>
      <w:tblPr>
        <w:tblW w:w="9981" w:type="dxa"/>
        <w:jc w:val="left"/>
        <w:tblInd w:w="0" w:type="dxa"/>
        <w:tblLayout w:type="fixed"/>
        <w:tblCellMar>
          <w:top w:w="28" w:type="dxa"/>
          <w:left w:w="28" w:type="dxa"/>
          <w:bottom w:w="28" w:type="dxa"/>
          <w:right w:w="28" w:type="dxa"/>
        </w:tblCellMar>
      </w:tblPr>
      <w:tblGrid>
        <w:gridCol w:w="2054"/>
        <w:gridCol w:w="1806"/>
        <w:gridCol w:w="1824"/>
        <w:gridCol w:w="238"/>
        <w:gridCol w:w="785"/>
        <w:gridCol w:w="132"/>
        <w:gridCol w:w="109"/>
        <w:gridCol w:w="109"/>
        <w:gridCol w:w="109"/>
        <w:gridCol w:w="266"/>
        <w:gridCol w:w="876"/>
        <w:gridCol w:w="147"/>
        <w:gridCol w:w="109"/>
        <w:gridCol w:w="109"/>
        <w:gridCol w:w="109"/>
        <w:gridCol w:w="236"/>
        <w:gridCol w:w="778"/>
        <w:gridCol w:w="185"/>
      </w:tblGrid>
      <w:tr>
        <w:trPr/>
        <w:tc>
          <w:tcPr>
            <w:tcW w:w="2054"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Advisory fees: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Asset-based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Performance-based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fees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Westwood mutual funds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technology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from change in fair value of contingent consideration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expenses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operating income (loss)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appreciation (depreciation) on private investments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(loss) before income taxes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income (loss)</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(loss) attributable to noncontrolling interest</w:t>
            </w:r>
          </w:p>
        </w:tc>
        <w:tc>
          <w:tcPr>
            <w:tcW w:w="10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(loss) attributable to Westwood Holdings Group, Inc.</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(loss) per Westwood Holdings Group, Inc. share:</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shares outstanding:</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7,991,228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7,853,921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7,944,212</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8,131,333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7,968,504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7,944,212</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Earnings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EPS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CONDENSED CONSOLIDATED STATEMENTS OF COMPREHENSIVE INCOME (LOSS)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 thousands, except per share and share amounts)</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(unaudited)</w:t>
      </w:r>
    </w:p>
    <w:tbl>
      <w:tblPr>
        <w:tblW w:w="8365" w:type="dxa"/>
        <w:jc w:val="left"/>
        <w:tblInd w:w="0" w:type="dxa"/>
        <w:tblLayout w:type="fixed"/>
        <w:tblCellMar>
          <w:top w:w="28" w:type="dxa"/>
          <w:left w:w="28" w:type="dxa"/>
          <w:bottom w:w="28" w:type="dxa"/>
          <w:right w:w="28" w:type="dxa"/>
        </w:tblCellMar>
      </w:tblPr>
      <w:tblGrid>
        <w:gridCol w:w="2054"/>
        <w:gridCol w:w="1806"/>
        <w:gridCol w:w="1824"/>
        <w:gridCol w:w="238"/>
        <w:gridCol w:w="785"/>
        <w:gridCol w:w="132"/>
        <w:gridCol w:w="109"/>
        <w:gridCol w:w="109"/>
        <w:gridCol w:w="109"/>
        <w:gridCol w:w="236"/>
        <w:gridCol w:w="778"/>
        <w:gridCol w:w="185"/>
      </w:tblGrid>
      <w:tr>
        <w:trPr/>
        <w:tc>
          <w:tcPr>
            <w:tcW w:w="2054"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2022</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Advisory fees: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Asset-based</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Performance-based</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fees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32,819 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Westwood mutual funds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technology</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from change in fair value of contingent consideration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expenses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operating income</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appreciation (depreciation) on private investments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before income taxes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income (loss)</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3,613 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Comprehensive income (loss) attributable to noncontrolling interest</w:t>
            </w:r>
          </w:p>
        </w:tc>
        <w:tc>
          <w:tcPr>
            <w:tcW w:w="10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income (loss) attributable to Westwood Holdings Group, Inc.</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Earnings (loss) per share:</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shares outstanding:</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7,922,954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7,904,911</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8,050,298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7,904,911</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Earnings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Economic EPS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 except par value and share amounts)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3000"/>
        <w:gridCol w:w="2183"/>
        <w:gridCol w:w="2194"/>
        <w:gridCol w:w="204"/>
        <w:gridCol w:w="770"/>
        <w:gridCol w:w="114"/>
        <w:gridCol w:w="109"/>
        <w:gridCol w:w="109"/>
        <w:gridCol w:w="109"/>
        <w:gridCol w:w="236"/>
        <w:gridCol w:w="888"/>
        <w:gridCol w:w="131"/>
        <w:gridCol w:w="158"/>
      </w:tblGrid>
      <w:tr>
        <w:trPr/>
        <w:tc>
          <w:tcPr>
            <w:tcW w:w="300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at fair value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income taxes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55,886 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investments at fair value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$9,755 and $9,277</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assets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88,235 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146,427 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authorized 25,000,000 shares, issued 11,896,226 and outstanding 9,182,770 shares at June 30, 2023; issued 11,527,544 and outstanding 8,881,831 shares at December 31, 2022</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- 2,713,456 shares at June 30, 2023; 2,645,713 shares at December 31, 2022</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(accumulated deficit)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Westwood Holdings Group, Inc. stockholders’ equity</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110,648 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 in consolidated subsidiary</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142,105 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146,427 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WESTWOOD HOLDINGS GROUP, INC. AND SUBSIDIARIES</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(unaudited)</w:t>
      </w:r>
    </w:p>
    <w:tbl>
      <w:tblPr>
        <w:tblW w:w="9191" w:type="dxa"/>
        <w:jc w:val="center"/>
        <w:tblInd w:w="0" w:type="dxa"/>
        <w:tblLayout w:type="fixed"/>
        <w:tblCellMar>
          <w:top w:w="28" w:type="dxa"/>
          <w:left w:w="28" w:type="dxa"/>
          <w:bottom w:w="28" w:type="dxa"/>
          <w:right w:w="28" w:type="dxa"/>
        </w:tblCellMar>
      </w:tblPr>
      <w:tblGrid>
        <w:gridCol w:w="2502"/>
        <w:gridCol w:w="2201"/>
        <w:gridCol w:w="2212"/>
        <w:gridCol w:w="196"/>
        <w:gridCol w:w="647"/>
        <w:gridCol w:w="109"/>
        <w:gridCol w:w="109"/>
        <w:gridCol w:w="109"/>
        <w:gridCol w:w="109"/>
        <w:gridCol w:w="196"/>
        <w:gridCol w:w="647"/>
        <w:gridCol w:w="154"/>
      </w:tblGrid>
      <w:tr>
        <w:trPr/>
        <w:tc>
          <w:tcPr>
            <w:tcW w:w="2502"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(used in)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unrealized (appreciation) depreciation on investments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asset disposition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remeasurement of lease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change of contingent consideration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 of trading securities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 payable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net of cash acquired</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treasury stock</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returned for payment of taxes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currency rate changes on cash</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CHANGE IN CASH AND CASH EQUIVALENTS</w:t>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dividends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purchases of treasury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WESTWOOD HOLDINGS GROUP, INC. AND SUBSIDIARIES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of Comprehensive Income (Loss) Attributable to Westwood Holdings Group, Inc. to Economic Earnings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 thousands, except per share and share amounts)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supplemental information, we are providing non-GAAP performance measures that we refer to as Economic Earnings and Economic EPS. We provide these measures in addition to, not as a substitute for, Comprehensive income (loss) attributable to Westwood Holdings Group, Inc.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Comprehensive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Economic Earnings as Comprehensive income (loss)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because gains and losses on changes in the fair value of contingent consideration are considered regular following an acquisition. In addition, we do not adjust Economic Earnings for tax deductions related to restricted stock expense or amortization of intangible assets. Economic EPS represents Economic Earnings divided by diluted weighted average shares outstanding.</w:t>
      </w:r>
    </w:p>
    <w:p>
      <w:pPr>
        <w:pStyle w:val="TextBody"/>
        <w:bidi w:val="0"/>
        <w:spacing w:before="120" w:after="283"/>
        <w:jc w:val="left"/>
        <w:rPr/>
      </w:pPr>
      <w:r>
        <w:rPr/>
      </w:r>
    </w:p>
    <w:tbl>
      <w:tblPr>
        <w:tblW w:w="9894" w:type="dxa"/>
        <w:jc w:val="center"/>
        <w:tblInd w:w="0" w:type="dxa"/>
        <w:tblLayout w:type="fixed"/>
        <w:tblCellMar>
          <w:top w:w="28" w:type="dxa"/>
          <w:left w:w="28" w:type="dxa"/>
          <w:bottom w:w="28" w:type="dxa"/>
          <w:right w:w="28" w:type="dxa"/>
        </w:tblCellMar>
      </w:tblPr>
      <w:tblGrid>
        <w:gridCol w:w="2060"/>
        <w:gridCol w:w="1810"/>
        <w:gridCol w:w="1815"/>
        <w:gridCol w:w="256"/>
        <w:gridCol w:w="727"/>
        <w:gridCol w:w="142"/>
        <w:gridCol w:w="109"/>
        <w:gridCol w:w="109"/>
        <w:gridCol w:w="109"/>
        <w:gridCol w:w="287"/>
        <w:gridCol w:w="814"/>
        <w:gridCol w:w="159"/>
        <w:gridCol w:w="109"/>
        <w:gridCol w:w="109"/>
        <w:gridCol w:w="109"/>
        <w:gridCol w:w="253"/>
        <w:gridCol w:w="718"/>
        <w:gridCol w:w="199"/>
      </w:tblGrid>
      <w:tr>
        <w:trPr/>
        <w:tc>
          <w:tcPr>
            <w:tcW w:w="206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Comprehensive income (loss) attributable to Westwood Holdings Group, Inc.</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(378)</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Earnings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5,686 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Earnings (loss) per share</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0.36 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0.09 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(0.05)</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0.19</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0.05</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EPS</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weighted average shares</w:t>
            </w:r>
          </w:p>
        </w:tc>
        <w:tc>
          <w:tcPr>
            <w:tcW w:w="112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8,131,333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7,968,504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7,944,212</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Comprehensive income (loss) attributable to Westwood Holdings Group, Inc.</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(328)</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Earnings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Earnings (loss) per share</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0.45 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(0.04)</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0.37</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Intangible amortization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0.10</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Tax benefit from goodwill amortization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0.01</w:t>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Economic EPS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Diluted weighted average shares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8,050,298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7,904,911</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3455</Words>
  <Characters>20084</Characters>
  <CharactersWithSpaces>23185</CharactersWithSpaces>
  <Paragraphs>742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