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w:t>
      </w:r>
    </w:p>
    <w:p>
      <w:pPr>
        <w:spacing w:after="0" w:line="4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w:t>
      </w:r>
    </w:p>
    <w:p>
      <w:pPr>
        <w:spacing w:after="0" w:line="1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6"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w:t>
      </w:r>
    </w:p>
    <w:p>
      <w:pPr>
        <w:spacing w:after="0" w:line="246" w:lineRule="exact"/>
        <w:rPr>
          <w:sz w:val="24"/>
          <w:szCs w:val="24"/>
          <w:color w:val="auto"/>
        </w:rPr>
      </w:pPr>
    </w:p>
    <w:p>
      <w:pPr>
        <w:ind w:left="500" w:hanging="465"/>
        <w:spacing w:after="0"/>
        <w:tabs>
          <w:tab w:leader="none" w:pos="5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11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0"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39" w:lineRule="exact"/>
        <w:rPr>
          <w:sz w:val="24"/>
          <w:szCs w:val="24"/>
          <w:color w:val="auto"/>
        </w:rPr>
      </w:pPr>
    </w:p>
    <w:tbl>
      <w:tblPr>
        <w:tblLayout w:type="fixed"/>
        <w:tblInd w:w="384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316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Commission file number 1-31234</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w:t>
      </w:r>
    </w:p>
    <w:p>
      <w:pPr>
        <w:spacing w:after="0" w:line="10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WESTWOOD HOLDINGS GROUP,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w:t>
      </w:r>
    </w:p>
    <w:p>
      <w:pPr>
        <w:spacing w:after="0" w:line="149" w:lineRule="exact"/>
        <w:rPr>
          <w:sz w:val="24"/>
          <w:szCs w:val="24"/>
          <w:color w:val="auto"/>
        </w:rPr>
      </w:pPr>
    </w:p>
    <w:tbl>
      <w:tblPr>
        <w:tblLayout w:type="fixed"/>
        <w:tblInd w:w="640" w:type="dxa"/>
        <w:tblCellMar>
          <w:top w:w="0" w:type="dxa"/>
          <w:left w:w="0" w:type="dxa"/>
          <w:bottom w:w="0" w:type="dxa"/>
          <w:right w:w="0" w:type="dxa"/>
        </w:tblCellMar>
      </w:tblPr>
      <w:tr>
        <w:trPr>
          <w:trHeight w:val="238"/>
        </w:trPr>
        <w:tc>
          <w:tcPr>
            <w:tcW w:w="7000" w:type="dxa"/>
            <w:vAlign w:val="bottom"/>
          </w:tcPr>
          <w:p>
            <w:pPr>
              <w:jc w:val="center"/>
              <w:ind w:right="3015"/>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2440" w:type="dxa"/>
            <w:vAlign w:val="bottom"/>
          </w:tcPr>
          <w:p>
            <w:pPr>
              <w:jc w:val="right"/>
              <w:ind w:right="594"/>
              <w:spacing w:after="0"/>
              <w:rPr>
                <w:sz w:val="20"/>
                <w:szCs w:val="20"/>
                <w:color w:val="auto"/>
              </w:rPr>
            </w:pPr>
            <w:r>
              <w:rPr>
                <w:rFonts w:ascii="Times New Roman" w:cs="Times New Roman" w:eastAsia="Times New Roman" w:hAnsi="Times New Roman"/>
                <w:sz w:val="18"/>
                <w:szCs w:val="18"/>
                <w:b w:val="1"/>
                <w:bCs w:val="1"/>
                <w:color w:val="auto"/>
              </w:rPr>
              <w:t>75-2969997</w:t>
            </w:r>
          </w:p>
        </w:tc>
      </w:tr>
      <w:tr>
        <w:trPr>
          <w:trHeight w:val="251"/>
        </w:trPr>
        <w:tc>
          <w:tcPr>
            <w:tcW w:w="7000" w:type="dxa"/>
            <w:vAlign w:val="bottom"/>
          </w:tcPr>
          <w:p>
            <w:pPr>
              <w:jc w:val="center"/>
              <w:ind w:right="3035"/>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440" w:type="dxa"/>
            <w:vAlign w:val="bottom"/>
          </w:tcPr>
          <w:p>
            <w:pPr>
              <w:jc w:val="center"/>
              <w:ind w:left="134"/>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564"/>
        </w:trPr>
        <w:tc>
          <w:tcPr>
            <w:tcW w:w="7000" w:type="dxa"/>
            <w:vAlign w:val="bottom"/>
          </w:tcPr>
          <w:p>
            <w:pPr>
              <w:jc w:val="center"/>
              <w:ind w:right="3035"/>
              <w:spacing w:after="0"/>
              <w:rPr>
                <w:sz w:val="20"/>
                <w:szCs w:val="20"/>
                <w:color w:val="auto"/>
              </w:rPr>
            </w:pPr>
            <w:r>
              <w:rPr>
                <w:rFonts w:ascii="Times New Roman" w:cs="Times New Roman" w:eastAsia="Times New Roman" w:hAnsi="Times New Roman"/>
                <w:sz w:val="18"/>
                <w:szCs w:val="18"/>
                <w:b w:val="1"/>
                <w:bCs w:val="1"/>
                <w:color w:val="auto"/>
                <w:w w:val="99"/>
              </w:rPr>
              <w:t>200 CRESCENT COURT, SUITE 1200</w:t>
            </w:r>
          </w:p>
        </w:tc>
        <w:tc>
          <w:tcPr>
            <w:tcW w:w="2440" w:type="dxa"/>
            <w:vAlign w:val="bottom"/>
          </w:tcPr>
          <w:p>
            <w:pPr>
              <w:spacing w:after="0"/>
              <w:rPr>
                <w:sz w:val="24"/>
                <w:szCs w:val="24"/>
                <w:color w:val="auto"/>
              </w:rPr>
            </w:pPr>
          </w:p>
        </w:tc>
      </w:tr>
      <w:tr>
        <w:trPr>
          <w:trHeight w:val="252"/>
        </w:trPr>
        <w:tc>
          <w:tcPr>
            <w:tcW w:w="7000" w:type="dxa"/>
            <w:vAlign w:val="bottom"/>
          </w:tcPr>
          <w:p>
            <w:pPr>
              <w:jc w:val="center"/>
              <w:ind w:right="3015"/>
              <w:spacing w:after="0"/>
              <w:rPr>
                <w:sz w:val="20"/>
                <w:szCs w:val="20"/>
                <w:color w:val="auto"/>
              </w:rPr>
            </w:pPr>
            <w:r>
              <w:rPr>
                <w:rFonts w:ascii="Times New Roman" w:cs="Times New Roman" w:eastAsia="Times New Roman" w:hAnsi="Times New Roman"/>
                <w:sz w:val="18"/>
                <w:szCs w:val="18"/>
                <w:b w:val="1"/>
                <w:bCs w:val="1"/>
                <w:color w:val="auto"/>
                <w:w w:val="99"/>
              </w:rPr>
              <w:t>DALLAS, TEXAS</w:t>
            </w:r>
          </w:p>
        </w:tc>
        <w:tc>
          <w:tcPr>
            <w:tcW w:w="2440" w:type="dxa"/>
            <w:vAlign w:val="bottom"/>
          </w:tcPr>
          <w:p>
            <w:pPr>
              <w:jc w:val="right"/>
              <w:ind w:right="794"/>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251"/>
        </w:trPr>
        <w:tc>
          <w:tcPr>
            <w:tcW w:w="7000" w:type="dxa"/>
            <w:vAlign w:val="bottom"/>
          </w:tcPr>
          <w:p>
            <w:pPr>
              <w:jc w:val="center"/>
              <w:ind w:right="3035"/>
              <w:spacing w:after="0"/>
              <w:rPr>
                <w:sz w:val="20"/>
                <w:szCs w:val="20"/>
                <w:color w:val="auto"/>
              </w:rPr>
            </w:pPr>
            <w:r>
              <w:rPr>
                <w:rFonts w:ascii="Times New Roman" w:cs="Times New Roman" w:eastAsia="Times New Roman" w:hAnsi="Times New Roman"/>
                <w:sz w:val="16"/>
                <w:szCs w:val="16"/>
                <w:color w:val="auto"/>
              </w:rPr>
              <w:t>(Address of principal executive office)</w:t>
            </w:r>
          </w:p>
        </w:tc>
        <w:tc>
          <w:tcPr>
            <w:tcW w:w="2440" w:type="dxa"/>
            <w:vAlign w:val="bottom"/>
          </w:tcPr>
          <w:p>
            <w:pPr>
              <w:jc w:val="center"/>
              <w:ind w:left="134"/>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357"/>
        </w:trPr>
        <w:tc>
          <w:tcPr>
            <w:tcW w:w="7000" w:type="dxa"/>
            <w:vAlign w:val="bottom"/>
          </w:tcPr>
          <w:p>
            <w:pPr>
              <w:jc w:val="right"/>
              <w:ind w:right="1335"/>
              <w:spacing w:after="0"/>
              <w:rPr>
                <w:sz w:val="20"/>
                <w:szCs w:val="20"/>
                <w:color w:val="auto"/>
              </w:rPr>
            </w:pPr>
            <w:r>
              <w:rPr>
                <w:rFonts w:ascii="Times New Roman" w:cs="Times New Roman" w:eastAsia="Times New Roman" w:hAnsi="Times New Roman"/>
                <w:sz w:val="16"/>
                <w:szCs w:val="16"/>
                <w:b w:val="1"/>
                <w:bCs w:val="1"/>
                <w:color w:val="auto"/>
              </w:rPr>
              <w:t>(214) 756-6900</w:t>
            </w:r>
          </w:p>
        </w:tc>
        <w:tc>
          <w:tcPr>
            <w:tcW w:w="2440" w:type="dxa"/>
            <w:vAlign w:val="bottom"/>
          </w:tcPr>
          <w:p>
            <w:pPr>
              <w:spacing w:after="0"/>
              <w:rPr>
                <w:sz w:val="24"/>
                <w:szCs w:val="24"/>
                <w:color w:val="auto"/>
              </w:rPr>
            </w:pPr>
          </w:p>
        </w:tc>
      </w:tr>
      <w:tr>
        <w:trPr>
          <w:trHeight w:val="205"/>
        </w:trPr>
        <w:tc>
          <w:tcPr>
            <w:tcW w:w="7000" w:type="dxa"/>
            <w:vAlign w:val="bottom"/>
          </w:tcPr>
          <w:p>
            <w:pPr>
              <w:jc w:val="center"/>
              <w:ind w:left="3075"/>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2440" w:type="dxa"/>
            <w:vAlign w:val="bottom"/>
          </w:tcPr>
          <w:p>
            <w:pPr>
              <w:spacing w:after="0"/>
              <w:rPr>
                <w:sz w:val="17"/>
                <w:szCs w:val="17"/>
                <w:color w:val="auto"/>
              </w:rPr>
            </w:pPr>
          </w:p>
        </w:tc>
      </w:tr>
    </w:tbl>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w:t>
      </w:r>
    </w:p>
    <w:p>
      <w:pPr>
        <w:spacing w:after="0" w:line="1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20"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179"/>
        <w:spacing w:after="0" w:line="184" w:lineRule="exact"/>
        <w:tabs>
          <w:tab w:leader="none" w:pos="140" w:val="left"/>
        </w:tabs>
        <w:rPr>
          <w:sz w:val="20"/>
          <w:szCs w:val="20"/>
          <w:color w:val="auto"/>
        </w:rPr>
      </w:pPr>
      <w:r>
        <w:rPr>
          <w:rFonts w:ascii="Times New Roman" w:cs="Times New Roman" w:eastAsia="Times New Roman" w:hAnsi="Times New Roman"/>
          <w:sz w:val="16"/>
          <w:szCs w:val="16"/>
          <w:color w:val="auto"/>
        </w:rPr>
        <w:t>Yes x</w:t>
        <w:tab/>
        <w:t xml:space="preserve">No </w:t>
      </w:r>
      <w:r>
        <w:rPr>
          <w:rFonts w:ascii="MS PGothic" w:cs="MS PGothic" w:eastAsia="MS PGothic" w:hAnsi="MS PGothic"/>
          <w:sz w:val="16"/>
          <w:szCs w:val="16"/>
          <w:color w:val="auto"/>
        </w:rPr>
        <w:t>☐</w:t>
      </w:r>
    </w:p>
    <w:p>
      <w:pPr>
        <w:spacing w:after="0" w:line="47" w:lineRule="exact"/>
        <w:rPr>
          <w:sz w:val="24"/>
          <w:szCs w:val="24"/>
          <w:color w:val="auto"/>
        </w:rPr>
      </w:pPr>
    </w:p>
    <w:p>
      <w:pPr>
        <w:ind w:right="40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9" w:lineRule="exact"/>
        <w:rPr>
          <w:sz w:val="24"/>
          <w:szCs w:val="24"/>
          <w:color w:val="auto"/>
        </w:rPr>
      </w:pPr>
    </w:p>
    <w:p>
      <w:pPr>
        <w:jc w:val="center"/>
        <w:ind w:right="-179"/>
        <w:spacing w:after="0" w:line="184" w:lineRule="exact"/>
        <w:tabs>
          <w:tab w:leader="none" w:pos="140" w:val="left"/>
        </w:tabs>
        <w:rPr>
          <w:sz w:val="20"/>
          <w:szCs w:val="20"/>
          <w:color w:val="auto"/>
        </w:rPr>
      </w:pPr>
      <w:r>
        <w:rPr>
          <w:rFonts w:ascii="Times New Roman" w:cs="Times New Roman" w:eastAsia="Times New Roman" w:hAnsi="Times New Roman"/>
          <w:sz w:val="16"/>
          <w:szCs w:val="16"/>
          <w:color w:val="auto"/>
        </w:rPr>
        <w:t>Yes x</w:t>
        <w:tab/>
        <w:t xml:space="preserve">No </w:t>
      </w:r>
      <w:r>
        <w:rPr>
          <w:rFonts w:ascii="MS PGothic" w:cs="MS PGothic" w:eastAsia="MS PGothic" w:hAnsi="MS PGothic"/>
          <w:sz w:val="16"/>
          <w:szCs w:val="16"/>
          <w:color w:val="auto"/>
        </w:rPr>
        <w:t>☐</w:t>
      </w:r>
    </w:p>
    <w:p>
      <w:pPr>
        <w:spacing w:after="0" w:line="85" w:lineRule="exact"/>
        <w:rPr>
          <w:sz w:val="24"/>
          <w:szCs w:val="24"/>
          <w:color w:val="auto"/>
        </w:rPr>
      </w:pPr>
    </w:p>
    <w:p>
      <w:pPr>
        <w:ind w:right="10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Large accelerated filer</w:t>
            </w:r>
          </w:p>
        </w:tc>
        <w:tc>
          <w:tcPr>
            <w:tcW w:w="374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392"/>
        </w:trPr>
        <w:tc>
          <w:tcPr>
            <w:tcW w:w="2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Non-accelerated filer</w:t>
            </w:r>
          </w:p>
        </w:tc>
        <w:tc>
          <w:tcPr>
            <w:tcW w:w="37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378"/>
        </w:trPr>
        <w:tc>
          <w:tcPr>
            <w:tcW w:w="20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860" w:type="dxa"/>
            <w:vAlign w:val="bottom"/>
            <w:vMerge w:val="restart"/>
          </w:tcPr>
          <w:p>
            <w:pPr>
              <w:ind w:left="206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85"/>
        </w:trPr>
        <w:tc>
          <w:tcPr>
            <w:tcW w:w="20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48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06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w:t>
            </w:r>
          </w:p>
        </w:tc>
        <w:tc>
          <w:tcPr>
            <w:tcW w:w="460" w:type="dxa"/>
            <w:vAlign w:val="bottom"/>
            <w:vMerge w:val="restart"/>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8"/>
        </w:trPr>
        <w:tc>
          <w:tcPr>
            <w:tcW w:w="58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revised accounting standards provided pursuant to Section 13(a) of the Exchange Act.</w:t>
            </w:r>
          </w:p>
        </w:tc>
        <w:tc>
          <w:tcPr>
            <w:tcW w:w="486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7"/>
        </w:trPr>
        <w:tc>
          <w:tcPr>
            <w:tcW w:w="10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60" w:type="dxa"/>
            <w:vAlign w:val="bottom"/>
          </w:tcPr>
          <w:p>
            <w:pPr>
              <w:spacing w:after="0"/>
              <w:rPr>
                <w:sz w:val="22"/>
                <w:szCs w:val="22"/>
                <w:color w:val="auto"/>
              </w:rPr>
            </w:pPr>
          </w:p>
        </w:tc>
        <w:tc>
          <w:tcPr>
            <w:tcW w:w="3740" w:type="dxa"/>
            <w:vAlign w:val="bottom"/>
          </w:tcPr>
          <w:p>
            <w:pPr>
              <w:ind w:left="316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4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 x</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Shares of common stock, par value $0.01 per share, outstanding as of April 19, 2019: 8,971,173.</w:t>
      </w:r>
    </w:p>
    <w:p>
      <w:pPr>
        <w:spacing w:after="0" w:line="21"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w:t>
      </w:r>
    </w:p>
    <w:p>
      <w:pPr>
        <w:sectPr>
          <w:pgSz w:w="11900" w:h="16838" w:orient="portrait"/>
          <w:cols w:equalWidth="0" w:num="1">
            <w:col w:w="11240"/>
          </w:cols>
          <w:pgMar w:left="240" w:top="229" w:right="41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PART I</w:t>
            </w:r>
          </w:p>
        </w:tc>
        <w:tc>
          <w:tcPr>
            <w:tcW w:w="87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FINANCIAL INFORMATION</w:t>
            </w:r>
          </w:p>
        </w:tc>
        <w:tc>
          <w:tcPr>
            <w:tcW w:w="16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PAGE</w:t>
            </w:r>
          </w:p>
        </w:tc>
      </w:tr>
      <w:tr>
        <w:trPr>
          <w:trHeight w:val="432"/>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w:t>
            </w:r>
          </w:p>
        </w:tc>
        <w:tc>
          <w:tcPr>
            <w:tcW w:w="872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Financial Statements</w:t>
            </w:r>
          </w:p>
        </w:tc>
        <w:tc>
          <w:tcPr>
            <w:tcW w:w="1600" w:type="dxa"/>
            <w:vAlign w:val="bottom"/>
          </w:tcPr>
          <w:p>
            <w:pPr>
              <w:spacing w:after="0"/>
              <w:rPr>
                <w:sz w:val="24"/>
                <w:szCs w:val="24"/>
                <w:color w:val="auto"/>
              </w:rPr>
            </w:pPr>
          </w:p>
        </w:tc>
      </w:tr>
      <w:tr>
        <w:trPr>
          <w:trHeight w:val="398"/>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20" w:type="dxa"/>
            <w:vAlign w:val="bottom"/>
            <w:gridSpan w:val="14"/>
          </w:tcPr>
          <w:p>
            <w:pPr>
              <w:spacing w:after="0"/>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Condensed Consolidated Balance Sheets as of March 31, 2019 and December 31, 2018</w:t>
              </w:r>
            </w:hyperlink>
          </w:p>
        </w:tc>
        <w:tc>
          <w:tcPr>
            <w:tcW w:w="1600" w:type="dxa"/>
            <w:vAlign w:val="bottom"/>
          </w:tcPr>
          <w:p>
            <w:pPr>
              <w:jc w:val="right"/>
              <w:spacing w:after="0"/>
              <w:rPr>
                <w:rFonts w:ascii="Times New Roman" w:cs="Times New Roman" w:eastAsia="Times New Roman" w:hAnsi="Times New Roman"/>
                <w:sz w:val="16"/>
                <w:szCs w:val="16"/>
                <w:color w:val="auto"/>
              </w:rPr>
            </w:pPr>
            <w:hyperlink w:anchor="page3">
              <w:r>
                <w:rPr>
                  <w:rFonts w:ascii="Times New Roman" w:cs="Times New Roman" w:eastAsia="Times New Roman" w:hAnsi="Times New Roman"/>
                  <w:sz w:val="16"/>
                  <w:szCs w:val="16"/>
                  <w:color w:val="auto"/>
                </w:rPr>
                <w:t>1</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20" w:type="dxa"/>
            <w:vAlign w:val="bottom"/>
            <w:gridSpan w:val="14"/>
          </w:tcPr>
          <w:p>
            <w:pPr>
              <w:spacing w:after="0"/>
              <w:rPr>
                <w:rFonts w:ascii="Times New Roman" w:cs="Times New Roman" w:eastAsia="Times New Roman" w:hAnsi="Times New Roman"/>
                <w:sz w:val="16"/>
                <w:szCs w:val="16"/>
                <w:color w:val="0000EE"/>
              </w:rPr>
            </w:pPr>
            <w:hyperlink w:anchor="page4">
              <w:r>
                <w:rPr>
                  <w:rFonts w:ascii="Times New Roman" w:cs="Times New Roman" w:eastAsia="Times New Roman" w:hAnsi="Times New Roman"/>
                  <w:sz w:val="16"/>
                  <w:szCs w:val="16"/>
                  <w:color w:val="0000EE"/>
                </w:rPr>
                <w:t>Condensed Consolidated Statements of Comprehensive Income for the Three Months Ended March 31, 2019 and 2018</w:t>
              </w:r>
            </w:hyperlink>
          </w:p>
        </w:tc>
        <w:tc>
          <w:tcPr>
            <w:tcW w:w="1600" w:type="dxa"/>
            <w:vAlign w:val="bottom"/>
          </w:tcPr>
          <w:p>
            <w:pPr>
              <w:jc w:val="right"/>
              <w:spacing w:after="0"/>
              <w:rPr>
                <w:rFonts w:ascii="Times New Roman" w:cs="Times New Roman" w:eastAsia="Times New Roman" w:hAnsi="Times New Roman"/>
                <w:sz w:val="16"/>
                <w:szCs w:val="16"/>
                <w:color w:val="auto"/>
              </w:rPr>
            </w:pPr>
            <w:hyperlink w:anchor="page4">
              <w:r>
                <w:rPr>
                  <w:rFonts w:ascii="Times New Roman" w:cs="Times New Roman" w:eastAsia="Times New Roman" w:hAnsi="Times New Roman"/>
                  <w:sz w:val="16"/>
                  <w:szCs w:val="16"/>
                  <w:color w:val="auto"/>
                </w:rPr>
                <w:t>2</w:t>
              </w:r>
            </w:hyperlink>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8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6"/>
                <w:szCs w:val="16"/>
                <w:color w:val="0000EE"/>
              </w:rPr>
            </w:pPr>
            <w:hyperlink w:anchor="page5">
              <w:r>
                <w:rPr>
                  <w:rFonts w:ascii="Times New Roman" w:cs="Times New Roman" w:eastAsia="Times New Roman" w:hAnsi="Times New Roman"/>
                  <w:sz w:val="16"/>
                  <w:szCs w:val="16"/>
                  <w:color w:val="0000EE"/>
                </w:rPr>
                <w:t>Condensed Consolidated Statement of Stockholders’ Equity for the Three Months Ended March 31, 2019 and 2018</w:t>
              </w:r>
            </w:hyperlink>
          </w:p>
        </w:tc>
        <w:tc>
          <w:tcPr>
            <w:tcW w:w="22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1600" w:type="dxa"/>
            <w:vAlign w:val="bottom"/>
          </w:tcPr>
          <w:p>
            <w:pPr>
              <w:jc w:val="right"/>
              <w:spacing w:after="0"/>
              <w:rPr>
                <w:rFonts w:ascii="Times New Roman" w:cs="Times New Roman" w:eastAsia="Times New Roman" w:hAnsi="Times New Roman"/>
                <w:sz w:val="16"/>
                <w:szCs w:val="16"/>
                <w:color w:val="auto"/>
              </w:rPr>
            </w:pPr>
            <w:hyperlink w:anchor="page5">
              <w:r>
                <w:rPr>
                  <w:rFonts w:ascii="Times New Roman" w:cs="Times New Roman" w:eastAsia="Times New Roman" w:hAnsi="Times New Roman"/>
                  <w:sz w:val="16"/>
                  <w:szCs w:val="16"/>
                  <w:color w:val="auto"/>
                </w:rPr>
                <w:t>3</w:t>
              </w:r>
            </w:hyperlink>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20" w:type="dxa"/>
            <w:vAlign w:val="bottom"/>
            <w:gridSpan w:val="14"/>
          </w:tcPr>
          <w:p>
            <w:pPr>
              <w:spacing w:after="0"/>
              <w:rPr>
                <w:rFonts w:ascii="Times New Roman" w:cs="Times New Roman" w:eastAsia="Times New Roman" w:hAnsi="Times New Roman"/>
                <w:sz w:val="16"/>
                <w:szCs w:val="16"/>
                <w:color w:val="0000EE"/>
              </w:rPr>
            </w:pPr>
            <w:hyperlink w:anchor="page6">
              <w:r>
                <w:rPr>
                  <w:rFonts w:ascii="Times New Roman" w:cs="Times New Roman" w:eastAsia="Times New Roman" w:hAnsi="Times New Roman"/>
                  <w:sz w:val="16"/>
                  <w:szCs w:val="16"/>
                  <w:color w:val="0000EE"/>
                </w:rPr>
                <w:t>Condensed Consolidated Statements of Cash Flows for the Three Months Ended March 31, 2019 and 2018</w:t>
              </w:r>
            </w:hyperlink>
          </w:p>
        </w:tc>
        <w:tc>
          <w:tcPr>
            <w:tcW w:w="1600" w:type="dxa"/>
            <w:vAlign w:val="bottom"/>
          </w:tcPr>
          <w:p>
            <w:pPr>
              <w:jc w:val="right"/>
              <w:spacing w:after="0"/>
              <w:rPr>
                <w:rFonts w:ascii="Times New Roman" w:cs="Times New Roman" w:eastAsia="Times New Roman" w:hAnsi="Times New Roman"/>
                <w:sz w:val="16"/>
                <w:szCs w:val="16"/>
                <w:color w:val="auto"/>
              </w:rPr>
            </w:pPr>
            <w:hyperlink w:anchor="page6">
              <w:r>
                <w:rPr>
                  <w:rFonts w:ascii="Times New Roman" w:cs="Times New Roman" w:eastAsia="Times New Roman" w:hAnsi="Times New Roman"/>
                  <w:sz w:val="16"/>
                  <w:szCs w:val="16"/>
                  <w:color w:val="auto"/>
                </w:rPr>
                <w:t>4</w:t>
              </w:r>
            </w:hyperlink>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6"/>
                <w:szCs w:val="16"/>
                <w:color w:val="0000EE"/>
              </w:rPr>
            </w:pPr>
            <w:hyperlink w:anchor="page7">
              <w:r>
                <w:rPr>
                  <w:rFonts w:ascii="Times New Roman" w:cs="Times New Roman" w:eastAsia="Times New Roman" w:hAnsi="Times New Roman"/>
                  <w:sz w:val="16"/>
                  <w:szCs w:val="16"/>
                  <w:color w:val="0000EE"/>
                </w:rPr>
                <w:t>Notes to Condensed Consolidated Financial Statements</w:t>
              </w:r>
            </w:hyperlink>
          </w:p>
        </w:tc>
        <w:tc>
          <w:tcPr>
            <w:tcW w:w="3320" w:type="dxa"/>
            <w:vAlign w:val="bottom"/>
            <w:tcBorders>
              <w:top w:val="single" w:sz="8" w:color="0000EE"/>
            </w:tcBorders>
            <w:gridSpan w:val="5"/>
          </w:tcPr>
          <w:p>
            <w:pPr>
              <w:spacing w:after="0"/>
              <w:rPr>
                <w:sz w:val="24"/>
                <w:szCs w:val="24"/>
                <w:color w:val="auto"/>
              </w:rPr>
            </w:pPr>
          </w:p>
        </w:tc>
        <w:tc>
          <w:tcPr>
            <w:tcW w:w="1800" w:type="dxa"/>
            <w:vAlign w:val="bottom"/>
            <w:gridSpan w:val="3"/>
          </w:tcPr>
          <w:p>
            <w:pPr>
              <w:spacing w:after="0"/>
              <w:rPr>
                <w:sz w:val="24"/>
                <w:szCs w:val="24"/>
                <w:color w:val="auto"/>
              </w:rPr>
            </w:pPr>
          </w:p>
        </w:tc>
        <w:tc>
          <w:tcPr>
            <w:tcW w:w="1600" w:type="dxa"/>
            <w:vAlign w:val="bottom"/>
          </w:tcPr>
          <w:p>
            <w:pPr>
              <w:jc w:val="right"/>
              <w:spacing w:after="0"/>
              <w:rPr>
                <w:rFonts w:ascii="Times New Roman" w:cs="Times New Roman" w:eastAsia="Times New Roman" w:hAnsi="Times New Roman"/>
                <w:sz w:val="16"/>
                <w:szCs w:val="16"/>
                <w:color w:val="auto"/>
              </w:rPr>
            </w:pPr>
            <w:hyperlink w:anchor="page7">
              <w:r>
                <w:rPr>
                  <w:rFonts w:ascii="Times New Roman" w:cs="Times New Roman" w:eastAsia="Times New Roman" w:hAnsi="Times New Roman"/>
                  <w:sz w:val="16"/>
                  <w:szCs w:val="16"/>
                  <w:color w:val="auto"/>
                </w:rPr>
                <w:t>5</w:t>
              </w:r>
            </w:hyperlink>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2.</w:t>
            </w:r>
          </w:p>
        </w:tc>
        <w:tc>
          <w:tcPr>
            <w:tcW w:w="5820" w:type="dxa"/>
            <w:vAlign w:val="bottom"/>
            <w:tcBorders>
              <w:bottom w:val="single" w:sz="8" w:color="0000EE"/>
            </w:tcBorders>
            <w:gridSpan w:val="10"/>
          </w:tcPr>
          <w:p>
            <w:pPr>
              <w:spacing w:after="0"/>
              <w:rPr>
                <w:rFonts w:ascii="Times New Roman" w:cs="Times New Roman" w:eastAsia="Times New Roman" w:hAnsi="Times New Roman"/>
                <w:sz w:val="16"/>
                <w:szCs w:val="16"/>
                <w:color w:val="0000EE"/>
              </w:rPr>
            </w:pPr>
            <w:hyperlink w:anchor="page21">
              <w:r>
                <w:rPr>
                  <w:rFonts w:ascii="Times New Roman" w:cs="Times New Roman" w:eastAsia="Times New Roman" w:hAnsi="Times New Roman"/>
                  <w:sz w:val="16"/>
                  <w:szCs w:val="16"/>
                  <w:color w:val="0000EE"/>
                </w:rPr>
                <w:t>Management’s Discussion and Analysis of Financial Condition and Results of Operations</w:t>
              </w:r>
            </w:hyperlink>
          </w:p>
        </w:tc>
        <w:tc>
          <w:tcPr>
            <w:tcW w:w="2900" w:type="dxa"/>
            <w:vAlign w:val="bottom"/>
            <w:gridSpan w:val="4"/>
          </w:tcPr>
          <w:p>
            <w:pPr>
              <w:spacing w:after="0"/>
              <w:rPr>
                <w:sz w:val="24"/>
                <w:szCs w:val="24"/>
                <w:color w:val="auto"/>
              </w:rPr>
            </w:pPr>
          </w:p>
        </w:tc>
        <w:tc>
          <w:tcPr>
            <w:tcW w:w="1600" w:type="dxa"/>
            <w:vAlign w:val="bottom"/>
          </w:tcPr>
          <w:p>
            <w:pPr>
              <w:jc w:val="right"/>
              <w:spacing w:after="0"/>
              <w:rPr>
                <w:rFonts w:ascii="Times New Roman" w:cs="Times New Roman" w:eastAsia="Times New Roman" w:hAnsi="Times New Roman"/>
                <w:sz w:val="16"/>
                <w:szCs w:val="16"/>
                <w:color w:val="auto"/>
              </w:rPr>
            </w:pPr>
            <w:hyperlink w:anchor="page21">
              <w:r>
                <w:rPr>
                  <w:rFonts w:ascii="Times New Roman" w:cs="Times New Roman" w:eastAsia="Times New Roman" w:hAnsi="Times New Roman"/>
                  <w:sz w:val="16"/>
                  <w:szCs w:val="16"/>
                  <w:color w:val="auto"/>
                </w:rPr>
                <w:t>19</w:t>
              </w:r>
            </w:hyperlink>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3.</w:t>
            </w:r>
          </w:p>
        </w:tc>
        <w:tc>
          <w:tcPr>
            <w:tcW w:w="3940" w:type="dxa"/>
            <w:vAlign w:val="bottom"/>
            <w:tcBorders>
              <w:bottom w:val="single" w:sz="8" w:color="0000EE"/>
            </w:tcBorders>
            <w:gridSpan w:val="8"/>
          </w:tcPr>
          <w:p>
            <w:pPr>
              <w:spacing w:after="0"/>
              <w:rPr>
                <w:rFonts w:ascii="Times New Roman" w:cs="Times New Roman" w:eastAsia="Times New Roman" w:hAnsi="Times New Roman"/>
                <w:sz w:val="16"/>
                <w:szCs w:val="16"/>
                <w:color w:val="0000EE"/>
              </w:rPr>
            </w:pPr>
            <w:hyperlink w:anchor="page29">
              <w:r>
                <w:rPr>
                  <w:rFonts w:ascii="Times New Roman" w:cs="Times New Roman" w:eastAsia="Times New Roman" w:hAnsi="Times New Roman"/>
                  <w:sz w:val="16"/>
                  <w:szCs w:val="16"/>
                  <w:color w:val="0000EE"/>
                </w:rPr>
                <w:t>Quantitative and Qualitative Disclosures About Market Risk</w:t>
              </w:r>
            </w:hyperlink>
          </w:p>
        </w:tc>
        <w:tc>
          <w:tcPr>
            <w:tcW w:w="4780" w:type="dxa"/>
            <w:vAlign w:val="bottom"/>
            <w:gridSpan w:val="6"/>
          </w:tcPr>
          <w:p>
            <w:pPr>
              <w:spacing w:after="0"/>
              <w:rPr>
                <w:sz w:val="24"/>
                <w:szCs w:val="24"/>
                <w:color w:val="auto"/>
              </w:rPr>
            </w:pPr>
          </w:p>
        </w:tc>
        <w:tc>
          <w:tcPr>
            <w:tcW w:w="1600" w:type="dxa"/>
            <w:vAlign w:val="bottom"/>
          </w:tcPr>
          <w:p>
            <w:pPr>
              <w:jc w:val="right"/>
              <w:spacing w:after="0"/>
              <w:rPr>
                <w:rFonts w:ascii="Times New Roman" w:cs="Times New Roman" w:eastAsia="Times New Roman" w:hAnsi="Times New Roman"/>
                <w:sz w:val="16"/>
                <w:szCs w:val="16"/>
                <w:color w:val="auto"/>
              </w:rPr>
            </w:pPr>
            <w:hyperlink w:anchor="page29">
              <w:r>
                <w:rPr>
                  <w:rFonts w:ascii="Times New Roman" w:cs="Times New Roman" w:eastAsia="Times New Roman" w:hAnsi="Times New Roman"/>
                  <w:sz w:val="16"/>
                  <w:szCs w:val="16"/>
                  <w:color w:val="auto"/>
                </w:rPr>
                <w:t>27</w:t>
              </w:r>
            </w:hyperlink>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4.</w:t>
            </w:r>
          </w:p>
        </w:tc>
        <w:tc>
          <w:tcPr>
            <w:tcW w:w="8720" w:type="dxa"/>
            <w:vAlign w:val="bottom"/>
            <w:gridSpan w:val="14"/>
          </w:tcPr>
          <w:p>
            <w:pPr>
              <w:spacing w:after="0"/>
              <w:rPr>
                <w:rFonts w:ascii="Times New Roman" w:cs="Times New Roman" w:eastAsia="Times New Roman" w:hAnsi="Times New Roman"/>
                <w:sz w:val="16"/>
                <w:szCs w:val="16"/>
                <w:color w:val="0000EE"/>
              </w:rPr>
            </w:pPr>
            <w:hyperlink w:anchor="page29">
              <w:r>
                <w:rPr>
                  <w:rFonts w:ascii="Times New Roman" w:cs="Times New Roman" w:eastAsia="Times New Roman" w:hAnsi="Times New Roman"/>
                  <w:sz w:val="16"/>
                  <w:szCs w:val="16"/>
                  <w:color w:val="0000EE"/>
                </w:rPr>
                <w:t>Controls and Procedures</w:t>
              </w:r>
            </w:hyperlink>
          </w:p>
        </w:tc>
        <w:tc>
          <w:tcPr>
            <w:tcW w:w="1600" w:type="dxa"/>
            <w:vAlign w:val="bottom"/>
          </w:tcPr>
          <w:p>
            <w:pPr>
              <w:jc w:val="right"/>
              <w:spacing w:after="0"/>
              <w:rPr>
                <w:rFonts w:ascii="Times New Roman" w:cs="Times New Roman" w:eastAsia="Times New Roman" w:hAnsi="Times New Roman"/>
                <w:sz w:val="16"/>
                <w:szCs w:val="16"/>
                <w:color w:val="auto"/>
              </w:rPr>
            </w:pPr>
            <w:hyperlink w:anchor="page29">
              <w:r>
                <w:rPr>
                  <w:rFonts w:ascii="Times New Roman" w:cs="Times New Roman" w:eastAsia="Times New Roman" w:hAnsi="Times New Roman"/>
                  <w:sz w:val="16"/>
                  <w:szCs w:val="16"/>
                  <w:color w:val="auto"/>
                </w:rPr>
                <w:t>27</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PART II</w:t>
            </w:r>
          </w:p>
        </w:tc>
        <w:tc>
          <w:tcPr>
            <w:tcW w:w="1700" w:type="dxa"/>
            <w:vAlign w:val="bottom"/>
            <w:tcBorders>
              <w:bottom w:val="single" w:sz="8" w:color="0000EE"/>
            </w:tcBorders>
            <w:gridSpan w:val="5"/>
          </w:tcPr>
          <w:p>
            <w:pPr>
              <w:spacing w:after="0"/>
              <w:rPr>
                <w:rFonts w:ascii="Times New Roman" w:cs="Times New Roman" w:eastAsia="Times New Roman" w:hAnsi="Times New Roman"/>
                <w:sz w:val="16"/>
                <w:szCs w:val="16"/>
                <w:color w:val="0000EE"/>
                <w:w w:val="99"/>
              </w:rPr>
            </w:pPr>
            <w:hyperlink w:anchor="page30">
              <w:r>
                <w:rPr>
                  <w:rFonts w:ascii="Times New Roman" w:cs="Times New Roman" w:eastAsia="Times New Roman" w:hAnsi="Times New Roman"/>
                  <w:sz w:val="16"/>
                  <w:szCs w:val="16"/>
                  <w:color w:val="0000EE"/>
                  <w:w w:val="99"/>
                </w:rPr>
                <w:t>OTHER INFORMATION</w:t>
              </w:r>
            </w:hyperlink>
          </w:p>
        </w:tc>
        <w:tc>
          <w:tcPr>
            <w:tcW w:w="7020" w:type="dxa"/>
            <w:vAlign w:val="bottom"/>
            <w:gridSpan w:val="9"/>
          </w:tcPr>
          <w:p>
            <w:pPr>
              <w:spacing w:after="0"/>
              <w:rPr>
                <w:sz w:val="24"/>
                <w:szCs w:val="24"/>
                <w:color w:val="auto"/>
              </w:rPr>
            </w:pPr>
          </w:p>
        </w:tc>
        <w:tc>
          <w:tcPr>
            <w:tcW w:w="1600" w:type="dxa"/>
            <w:vAlign w:val="bottom"/>
          </w:tcPr>
          <w:p>
            <w:pPr>
              <w:jc w:val="right"/>
              <w:spacing w:after="0"/>
              <w:rPr>
                <w:rFonts w:ascii="Times New Roman" w:cs="Times New Roman" w:eastAsia="Times New Roman" w:hAnsi="Times New Roman"/>
                <w:sz w:val="16"/>
                <w:szCs w:val="16"/>
                <w:color w:val="auto"/>
              </w:rPr>
            </w:pPr>
            <w:hyperlink w:anchor="page30">
              <w:r>
                <w:rPr>
                  <w:rFonts w:ascii="Times New Roman" w:cs="Times New Roman" w:eastAsia="Times New Roman" w:hAnsi="Times New Roman"/>
                  <w:sz w:val="16"/>
                  <w:szCs w:val="16"/>
                  <w:color w:val="auto"/>
                </w:rPr>
                <w:t>28</w:t>
              </w:r>
            </w:hyperlink>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w:t>
            </w:r>
          </w:p>
        </w:tc>
        <w:tc>
          <w:tcPr>
            <w:tcW w:w="1200" w:type="dxa"/>
            <w:vAlign w:val="bottom"/>
            <w:tcBorders>
              <w:bottom w:val="single" w:sz="8" w:color="0000EE"/>
            </w:tcBorders>
            <w:gridSpan w:val="3"/>
          </w:tcPr>
          <w:p>
            <w:pPr>
              <w:spacing w:after="0"/>
              <w:rPr>
                <w:rFonts w:ascii="Times New Roman" w:cs="Times New Roman" w:eastAsia="Times New Roman" w:hAnsi="Times New Roman"/>
                <w:sz w:val="16"/>
                <w:szCs w:val="16"/>
                <w:color w:val="0000EE"/>
                <w:w w:val="99"/>
              </w:rPr>
            </w:pPr>
            <w:hyperlink w:anchor="page30">
              <w:r>
                <w:rPr>
                  <w:rFonts w:ascii="Times New Roman" w:cs="Times New Roman" w:eastAsia="Times New Roman" w:hAnsi="Times New Roman"/>
                  <w:sz w:val="16"/>
                  <w:szCs w:val="16"/>
                  <w:color w:val="0000EE"/>
                  <w:w w:val="99"/>
                </w:rPr>
                <w:t>Legal Proceedings</w:t>
              </w:r>
            </w:hyperlink>
          </w:p>
        </w:tc>
        <w:tc>
          <w:tcPr>
            <w:tcW w:w="7520" w:type="dxa"/>
            <w:vAlign w:val="bottom"/>
            <w:gridSpan w:val="11"/>
          </w:tcPr>
          <w:p>
            <w:pPr>
              <w:spacing w:after="0"/>
              <w:rPr>
                <w:sz w:val="24"/>
                <w:szCs w:val="24"/>
                <w:color w:val="auto"/>
              </w:rPr>
            </w:pPr>
          </w:p>
        </w:tc>
        <w:tc>
          <w:tcPr>
            <w:tcW w:w="1600" w:type="dxa"/>
            <w:vAlign w:val="bottom"/>
          </w:tcPr>
          <w:p>
            <w:pPr>
              <w:jc w:val="right"/>
              <w:spacing w:after="0"/>
              <w:rPr>
                <w:rFonts w:ascii="Times New Roman" w:cs="Times New Roman" w:eastAsia="Times New Roman" w:hAnsi="Times New Roman"/>
                <w:sz w:val="16"/>
                <w:szCs w:val="16"/>
                <w:color w:val="auto"/>
              </w:rPr>
            </w:pPr>
            <w:hyperlink w:anchor="page30">
              <w:r>
                <w:rPr>
                  <w:rFonts w:ascii="Times New Roman" w:cs="Times New Roman" w:eastAsia="Times New Roman" w:hAnsi="Times New Roman"/>
                  <w:sz w:val="16"/>
                  <w:szCs w:val="16"/>
                  <w:color w:val="auto"/>
                </w:rPr>
                <w:t>28</w:t>
              </w:r>
            </w:hyperlink>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1A.</w:t>
            </w:r>
          </w:p>
        </w:tc>
        <w:tc>
          <w:tcPr>
            <w:tcW w:w="8720" w:type="dxa"/>
            <w:vAlign w:val="bottom"/>
            <w:gridSpan w:val="14"/>
          </w:tcPr>
          <w:p>
            <w:pPr>
              <w:spacing w:after="0"/>
              <w:rPr>
                <w:rFonts w:ascii="Times New Roman" w:cs="Times New Roman" w:eastAsia="Times New Roman" w:hAnsi="Times New Roman"/>
                <w:sz w:val="16"/>
                <w:szCs w:val="16"/>
                <w:color w:val="0000EE"/>
              </w:rPr>
            </w:pPr>
            <w:hyperlink w:anchor="page30">
              <w:r>
                <w:rPr>
                  <w:rFonts w:ascii="Times New Roman" w:cs="Times New Roman" w:eastAsia="Times New Roman" w:hAnsi="Times New Roman"/>
                  <w:sz w:val="16"/>
                  <w:szCs w:val="16"/>
                  <w:color w:val="0000EE"/>
                </w:rPr>
                <w:t>Risk Factors</w:t>
              </w:r>
            </w:hyperlink>
          </w:p>
        </w:tc>
        <w:tc>
          <w:tcPr>
            <w:tcW w:w="1600" w:type="dxa"/>
            <w:vAlign w:val="bottom"/>
          </w:tcPr>
          <w:p>
            <w:pPr>
              <w:jc w:val="right"/>
              <w:spacing w:after="0"/>
              <w:rPr>
                <w:rFonts w:ascii="Times New Roman" w:cs="Times New Roman" w:eastAsia="Times New Roman" w:hAnsi="Times New Roman"/>
                <w:sz w:val="16"/>
                <w:szCs w:val="16"/>
                <w:color w:val="auto"/>
              </w:rPr>
            </w:pPr>
            <w:hyperlink w:anchor="page30">
              <w:r>
                <w:rPr>
                  <w:rFonts w:ascii="Times New Roman" w:cs="Times New Roman" w:eastAsia="Times New Roman" w:hAnsi="Times New Roman"/>
                  <w:sz w:val="16"/>
                  <w:szCs w:val="16"/>
                  <w:color w:val="auto"/>
                </w:rPr>
                <w:t>28</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2.</w:t>
            </w:r>
          </w:p>
        </w:tc>
        <w:tc>
          <w:tcPr>
            <w:tcW w:w="3920" w:type="dxa"/>
            <w:vAlign w:val="bottom"/>
            <w:tcBorders>
              <w:bottom w:val="single" w:sz="8" w:color="0000EE"/>
            </w:tcBorders>
            <w:gridSpan w:val="7"/>
          </w:tcPr>
          <w:p>
            <w:pPr>
              <w:spacing w:after="0"/>
              <w:rPr>
                <w:rFonts w:ascii="Times New Roman" w:cs="Times New Roman" w:eastAsia="Times New Roman" w:hAnsi="Times New Roman"/>
                <w:sz w:val="16"/>
                <w:szCs w:val="16"/>
                <w:color w:val="0000EE"/>
              </w:rPr>
            </w:pPr>
            <w:hyperlink w:anchor="page30">
              <w:r>
                <w:rPr>
                  <w:rFonts w:ascii="Times New Roman" w:cs="Times New Roman" w:eastAsia="Times New Roman" w:hAnsi="Times New Roman"/>
                  <w:sz w:val="16"/>
                  <w:szCs w:val="16"/>
                  <w:color w:val="0000EE"/>
                </w:rPr>
                <w:t>Unregistered Sales of Equity Securities and Use of Proceeds</w:t>
              </w:r>
            </w:hyperlink>
          </w:p>
        </w:tc>
        <w:tc>
          <w:tcPr>
            <w:tcW w:w="4800" w:type="dxa"/>
            <w:vAlign w:val="bottom"/>
            <w:gridSpan w:val="7"/>
          </w:tcPr>
          <w:p>
            <w:pPr>
              <w:spacing w:after="0"/>
              <w:rPr>
                <w:sz w:val="24"/>
                <w:szCs w:val="24"/>
                <w:color w:val="auto"/>
              </w:rPr>
            </w:pPr>
          </w:p>
        </w:tc>
        <w:tc>
          <w:tcPr>
            <w:tcW w:w="1600" w:type="dxa"/>
            <w:vAlign w:val="bottom"/>
          </w:tcPr>
          <w:p>
            <w:pPr>
              <w:jc w:val="right"/>
              <w:spacing w:after="0"/>
              <w:rPr>
                <w:rFonts w:ascii="Times New Roman" w:cs="Times New Roman" w:eastAsia="Times New Roman" w:hAnsi="Times New Roman"/>
                <w:sz w:val="16"/>
                <w:szCs w:val="16"/>
                <w:color w:val="auto"/>
              </w:rPr>
            </w:pPr>
            <w:hyperlink w:anchor="page30">
              <w:r>
                <w:rPr>
                  <w:rFonts w:ascii="Times New Roman" w:cs="Times New Roman" w:eastAsia="Times New Roman" w:hAnsi="Times New Roman"/>
                  <w:sz w:val="16"/>
                  <w:szCs w:val="16"/>
                  <w:color w:val="auto"/>
                </w:rPr>
                <w:t>28</w:t>
              </w:r>
            </w:hyperlink>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6.</w:t>
            </w:r>
          </w:p>
        </w:tc>
        <w:tc>
          <w:tcPr>
            <w:tcW w:w="8720" w:type="dxa"/>
            <w:vAlign w:val="bottom"/>
            <w:gridSpan w:val="14"/>
          </w:tcPr>
          <w:p>
            <w:pPr>
              <w:spacing w:after="0"/>
              <w:rPr>
                <w:rFonts w:ascii="Times New Roman" w:cs="Times New Roman" w:eastAsia="Times New Roman" w:hAnsi="Times New Roman"/>
                <w:sz w:val="16"/>
                <w:szCs w:val="16"/>
                <w:color w:val="0000EE"/>
              </w:rPr>
            </w:pPr>
            <w:hyperlink w:anchor="page31">
              <w:r>
                <w:rPr>
                  <w:rFonts w:ascii="Times New Roman" w:cs="Times New Roman" w:eastAsia="Times New Roman" w:hAnsi="Times New Roman"/>
                  <w:sz w:val="16"/>
                  <w:szCs w:val="16"/>
                  <w:color w:val="0000EE"/>
                </w:rPr>
                <w:t>Exhibits</w:t>
              </w:r>
            </w:hyperlink>
          </w:p>
        </w:tc>
        <w:tc>
          <w:tcPr>
            <w:tcW w:w="1600" w:type="dxa"/>
            <w:vAlign w:val="bottom"/>
          </w:tcPr>
          <w:p>
            <w:pPr>
              <w:jc w:val="right"/>
              <w:spacing w:after="0"/>
              <w:rPr>
                <w:rFonts w:ascii="Times New Roman" w:cs="Times New Roman" w:eastAsia="Times New Roman" w:hAnsi="Times New Roman"/>
                <w:sz w:val="16"/>
                <w:szCs w:val="16"/>
                <w:color w:val="auto"/>
              </w:rPr>
            </w:pPr>
            <w:hyperlink w:anchor="page31">
              <w:r>
                <w:rPr>
                  <w:rFonts w:ascii="Times New Roman" w:cs="Times New Roman" w:eastAsia="Times New Roman" w:hAnsi="Times New Roman"/>
                  <w:sz w:val="16"/>
                  <w:szCs w:val="16"/>
                  <w:color w:val="auto"/>
                </w:rPr>
                <w:t>29</w:t>
              </w:r>
            </w:hyperlink>
          </w:p>
        </w:tc>
      </w:tr>
      <w:tr>
        <w:trPr>
          <w:trHeight w:val="358"/>
        </w:trPr>
        <w:tc>
          <w:tcPr>
            <w:tcW w:w="680" w:type="dxa"/>
            <w:vAlign w:val="bottom"/>
            <w:tcBorders>
              <w:bottom w:val="single" w:sz="8" w:color="0000EE"/>
            </w:tcBorders>
          </w:tcPr>
          <w:p>
            <w:pPr>
              <w:spacing w:after="0"/>
              <w:rPr>
                <w:rFonts w:ascii="Times New Roman" w:cs="Times New Roman" w:eastAsia="Times New Roman" w:hAnsi="Times New Roman"/>
                <w:sz w:val="16"/>
                <w:szCs w:val="16"/>
                <w:color w:val="0000EE"/>
                <w:w w:val="97"/>
              </w:rPr>
            </w:pPr>
            <w:hyperlink w:anchor="page32">
              <w:r>
                <w:rPr>
                  <w:rFonts w:ascii="Times New Roman" w:cs="Times New Roman" w:eastAsia="Times New Roman" w:hAnsi="Times New Roman"/>
                  <w:sz w:val="16"/>
                  <w:szCs w:val="16"/>
                  <w:color w:val="0000EE"/>
                  <w:w w:val="97"/>
                </w:rPr>
                <w:t>Signatures</w:t>
              </w:r>
            </w:hyperlink>
          </w:p>
        </w:tc>
        <w:tc>
          <w:tcPr>
            <w:tcW w:w="36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0" w:type="dxa"/>
            <w:vAlign w:val="bottom"/>
          </w:tcPr>
          <w:p>
            <w:pPr>
              <w:jc w:val="right"/>
              <w:spacing w:after="0"/>
              <w:rPr>
                <w:rFonts w:ascii="Times New Roman" w:cs="Times New Roman" w:eastAsia="Times New Roman" w:hAnsi="Times New Roman"/>
                <w:sz w:val="16"/>
                <w:szCs w:val="16"/>
                <w:color w:val="auto"/>
              </w:rPr>
            </w:pPr>
            <w:hyperlink w:anchor="page32">
              <w:r>
                <w:rPr>
                  <w:rFonts w:ascii="Times New Roman" w:cs="Times New Roman" w:eastAsia="Times New Roman" w:hAnsi="Times New Roman"/>
                  <w:sz w:val="16"/>
                  <w:szCs w:val="16"/>
                  <w:color w:val="auto"/>
                </w:rPr>
                <w:t>30</w:t>
              </w:r>
            </w:hyperlink>
          </w:p>
        </w:tc>
      </w:tr>
    </w:tbl>
    <w:p>
      <w:pPr>
        <w:sectPr>
          <w:pgSz w:w="11900" w:h="16838" w:orient="portrait"/>
          <w:cols w:equalWidth="0" w:num="1">
            <w:col w:w="11400"/>
          </w:cols>
          <w:pgMar w:left="240" w:top="360" w:right="25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0" w:type="dxa"/>
            <w:vAlign w:val="bottom"/>
          </w:tcPr>
          <w:p>
            <w:pPr>
              <w:spacing w:after="0"/>
              <w:rPr>
                <w:sz w:val="1"/>
                <w:szCs w:val="1"/>
                <w:color w:val="auto"/>
              </w:rPr>
            </w:pPr>
          </w:p>
        </w:tc>
      </w:tr>
      <w:tr>
        <w:trPr>
          <w:trHeight w:val="33"/>
        </w:trPr>
        <w:tc>
          <w:tcPr>
            <w:tcW w:w="8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00" w:type="dxa"/>
            <w:vAlign w:val="bottom"/>
            <w:tcBorders>
              <w:bottom w:val="single" w:sz="8" w:color="CCEEFF"/>
            </w:tcBorders>
            <w:shd w:val="clear" w:color="auto" w:fill="CCEEFF"/>
          </w:tcPr>
          <w:p>
            <w:pPr>
              <w:ind w:left="37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52,421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52,449</w:t>
            </w:r>
          </w:p>
        </w:tc>
        <w:tc>
          <w:tcPr>
            <w:tcW w:w="0" w:type="dxa"/>
            <w:vAlign w:val="bottom"/>
          </w:tcPr>
          <w:p>
            <w:pPr>
              <w:spacing w:after="0"/>
              <w:rPr>
                <w:sz w:val="1"/>
                <w:szCs w:val="1"/>
                <w:color w:val="auto"/>
              </w:rPr>
            </w:pPr>
          </w:p>
        </w:tc>
      </w:tr>
      <w:tr>
        <w:trPr>
          <w:trHeight w:val="243"/>
        </w:trPr>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15,563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18,429</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49,601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65,781</w:t>
            </w:r>
          </w:p>
        </w:tc>
        <w:tc>
          <w:tcPr>
            <w:tcW w:w="0" w:type="dxa"/>
            <w:vAlign w:val="bottom"/>
          </w:tcPr>
          <w:p>
            <w:pPr>
              <w:spacing w:after="0"/>
              <w:rPr>
                <w:sz w:val="1"/>
                <w:szCs w:val="1"/>
                <w:color w:val="auto"/>
              </w:rPr>
            </w:pPr>
          </w:p>
        </w:tc>
      </w:tr>
      <w:tr>
        <w:trPr>
          <w:trHeight w:val="243"/>
        </w:trPr>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Prepaid income taxes</w:t>
            </w: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2,731</w:t>
            </w:r>
          </w:p>
        </w:tc>
        <w:tc>
          <w:tcPr>
            <w:tcW w:w="0" w:type="dxa"/>
            <w:vAlign w:val="bottom"/>
          </w:tcPr>
          <w:p>
            <w:pPr>
              <w:spacing w:after="0"/>
              <w:rPr>
                <w:sz w:val="1"/>
                <w:szCs w:val="1"/>
                <w:color w:val="auto"/>
              </w:rPr>
            </w:pPr>
          </w:p>
        </w:tc>
      </w:tr>
      <w:tr>
        <w:trPr>
          <w:trHeight w:val="237"/>
        </w:trPr>
        <w:tc>
          <w:tcPr>
            <w:tcW w:w="83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122,071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139,739</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(including investments at fair value of $250 and $0)</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5,425</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19,804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19,804</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5,102</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8,698</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15,549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15,961</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$6,689 and $6,462</w:t>
            </w: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4,740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4,454</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181,149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199,183</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1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tcPr>
          <w:p>
            <w:pPr>
              <w:spacing w:after="0"/>
              <w:rPr>
                <w:sz w:val="21"/>
                <w:szCs w:val="21"/>
                <w:color w:val="auto"/>
              </w:rPr>
            </w:pP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2,518</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Dividends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7,710</w:t>
            </w:r>
          </w:p>
        </w:tc>
        <w:tc>
          <w:tcPr>
            <w:tcW w:w="0" w:type="dxa"/>
            <w:vAlign w:val="bottom"/>
          </w:tcPr>
          <w:p>
            <w:pPr>
              <w:spacing w:after="0"/>
              <w:rPr>
                <w:sz w:val="1"/>
                <w:szCs w:val="1"/>
                <w:color w:val="auto"/>
              </w:rPr>
            </w:pPr>
          </w:p>
        </w:tc>
      </w:tr>
      <w:tr>
        <w:trPr>
          <w:trHeight w:val="243"/>
        </w:trPr>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Compensation and benefits payable</w:t>
            </w: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15,102</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43"/>
        </w:trPr>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15,342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27,127</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dividends</w:t>
            </w: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1,576</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8,949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9,331</w:t>
            </w:r>
          </w:p>
        </w:tc>
        <w:tc>
          <w:tcPr>
            <w:tcW w:w="0" w:type="dxa"/>
            <w:vAlign w:val="bottom"/>
          </w:tcPr>
          <w:p>
            <w:pPr>
              <w:spacing w:after="0"/>
              <w:rPr>
                <w:sz w:val="1"/>
                <w:szCs w:val="1"/>
                <w:color w:val="auto"/>
              </w:rPr>
            </w:pPr>
          </w:p>
        </w:tc>
      </w:tr>
      <w:tr>
        <w:trPr>
          <w:trHeight w:val="237"/>
        </w:trPr>
        <w:tc>
          <w:tcPr>
            <w:tcW w:w="83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25,039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38,034</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3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Common stock, $0.01 par value, authorized 25,000,000 shares, issued 10,340,629 and outstanding</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8,975,865 shares at March 31, 2019; issued 10,182,583 and outstanding 8,904,902 shares at December</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3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31, 2018</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43"/>
        </w:trPr>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197,598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194,116</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Treasury stock, at cost - 1,364,764 shares at March 31, 2019; 1,277,681 shares at December 31, 2018</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(62,077)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(58,711)</w:t>
            </w:r>
          </w:p>
        </w:tc>
        <w:tc>
          <w:tcPr>
            <w:tcW w:w="0" w:type="dxa"/>
            <w:vAlign w:val="bottom"/>
          </w:tcPr>
          <w:p>
            <w:pPr>
              <w:spacing w:after="0"/>
              <w:rPr>
                <w:sz w:val="1"/>
                <w:szCs w:val="1"/>
                <w:color w:val="auto"/>
              </w:rPr>
            </w:pPr>
          </w:p>
        </w:tc>
      </w:tr>
      <w:tr>
        <w:trPr>
          <w:trHeight w:val="243"/>
        </w:trPr>
        <w:tc>
          <w:tcPr>
            <w:tcW w:w="8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24,537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30,525</w:t>
            </w:r>
          </w:p>
        </w:tc>
        <w:tc>
          <w:tcPr>
            <w:tcW w:w="0" w:type="dxa"/>
            <w:vAlign w:val="bottom"/>
          </w:tcPr>
          <w:p>
            <w:pPr>
              <w:spacing w:after="0"/>
              <w:rPr>
                <w:sz w:val="1"/>
                <w:szCs w:val="1"/>
                <w:color w:val="auto"/>
              </w:rPr>
            </w:pPr>
          </w:p>
        </w:tc>
      </w:tr>
      <w:tr>
        <w:trPr>
          <w:trHeight w:val="237"/>
        </w:trPr>
        <w:tc>
          <w:tcPr>
            <w:tcW w:w="83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156,110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161,149</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181,149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199,183</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60"/>
          </w:cols>
          <w:pgMar w:left="280" w:top="482" w:right="259" w:bottom="1440" w:gutter="0" w:footer="0" w:header="0"/>
        </w:sectPr>
      </w:pPr>
    </w:p>
    <w:bookmarkStart w:id="3" w:name="page4"/>
    <w:bookmarkEnd w:id="3"/>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CONDENSED CONSOLIDATED STATEMENTS OF COMPREHENSIVE INCOME (In thousands, except per share data and share amounts)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40" w:type="dxa"/>
            <w:vAlign w:val="bottom"/>
          </w:tcPr>
          <w:p>
            <w:pPr>
              <w:spacing w:after="0"/>
              <w:rPr>
                <w:sz w:val="18"/>
                <w:szCs w:val="18"/>
                <w:color w:val="auto"/>
              </w:rPr>
            </w:pPr>
          </w:p>
        </w:tc>
        <w:tc>
          <w:tcPr>
            <w:tcW w:w="23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47"/>
        </w:trPr>
        <w:tc>
          <w:tcPr>
            <w:tcW w:w="90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9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9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Advisory fees: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Asset-based</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24,483</w:t>
            </w:r>
          </w:p>
        </w:tc>
        <w:tc>
          <w:tcPr>
            <w:tcW w:w="0" w:type="dxa"/>
            <w:vAlign w:val="bottom"/>
          </w:tcPr>
          <w:p>
            <w:pPr>
              <w:spacing w:after="0"/>
              <w:rPr>
                <w:sz w:val="1"/>
                <w:szCs w:val="1"/>
                <w:color w:val="auto"/>
              </w:rPr>
            </w:pPr>
          </w:p>
        </w:tc>
      </w:tr>
      <w:tr>
        <w:trPr>
          <w:trHeight w:val="243"/>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Performance-based</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1,335</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Trust fees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7,609</w:t>
            </w:r>
          </w:p>
        </w:tc>
        <w:tc>
          <w:tcPr>
            <w:tcW w:w="0" w:type="dxa"/>
            <w:vAlign w:val="bottom"/>
          </w:tcPr>
          <w:p>
            <w:pPr>
              <w:spacing w:after="0"/>
              <w:rPr>
                <w:sz w:val="1"/>
                <w:szCs w:val="1"/>
                <w:color w:val="auto"/>
              </w:rPr>
            </w:pPr>
          </w:p>
        </w:tc>
      </w:tr>
      <w:tr>
        <w:trPr>
          <w:trHeight w:val="243"/>
        </w:trPr>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0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33,567</w:t>
            </w:r>
          </w:p>
        </w:tc>
        <w:tc>
          <w:tcPr>
            <w:tcW w:w="0" w:type="dxa"/>
            <w:vAlign w:val="bottom"/>
          </w:tcPr>
          <w:p>
            <w:pPr>
              <w:spacing w:after="0"/>
              <w:rPr>
                <w:sz w:val="1"/>
                <w:szCs w:val="1"/>
                <w:color w:val="auto"/>
              </w:rPr>
            </w:pPr>
          </w:p>
        </w:tc>
      </w:tr>
      <w:tr>
        <w:trPr>
          <w:trHeight w:val="223"/>
        </w:trPr>
        <w:tc>
          <w:tcPr>
            <w:tcW w:w="9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9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17,759</w:t>
            </w:r>
          </w:p>
        </w:tc>
        <w:tc>
          <w:tcPr>
            <w:tcW w:w="0" w:type="dxa"/>
            <w:vAlign w:val="bottom"/>
          </w:tcPr>
          <w:p>
            <w:pPr>
              <w:spacing w:after="0"/>
              <w:rPr>
                <w:sz w:val="1"/>
                <w:szCs w:val="1"/>
                <w:color w:val="auto"/>
              </w:rPr>
            </w:pPr>
          </w:p>
        </w:tc>
      </w:tr>
      <w:tr>
        <w:trPr>
          <w:trHeight w:val="243"/>
        </w:trPr>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Westwood mutual funds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43"/>
        </w:trPr>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Information technology</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2,038</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Professional services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43"/>
        </w:trPr>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2,414</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 loss on foreign currency transactions</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37"/>
        </w:trPr>
        <w:tc>
          <w:tcPr>
            <w:tcW w:w="90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22,366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23,604</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9,963</w:t>
            </w:r>
          </w:p>
        </w:tc>
        <w:tc>
          <w:tcPr>
            <w:tcW w:w="0" w:type="dxa"/>
            <w:vAlign w:val="bottom"/>
          </w:tcPr>
          <w:p>
            <w:pPr>
              <w:spacing w:after="0"/>
              <w:rPr>
                <w:sz w:val="1"/>
                <w:szCs w:val="1"/>
                <w:color w:val="auto"/>
              </w:rPr>
            </w:pPr>
          </w:p>
        </w:tc>
      </w:tr>
      <w:tr>
        <w:trPr>
          <w:trHeight w:val="243"/>
        </w:trPr>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sale of operations</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10,487</w:t>
            </w:r>
          </w:p>
        </w:tc>
        <w:tc>
          <w:tcPr>
            <w:tcW w:w="0" w:type="dxa"/>
            <w:vAlign w:val="bottom"/>
          </w:tcPr>
          <w:p>
            <w:pPr>
              <w:spacing w:after="0"/>
              <w:rPr>
                <w:sz w:val="1"/>
                <w:szCs w:val="1"/>
                <w:color w:val="auto"/>
              </w:rPr>
            </w:pPr>
          </w:p>
        </w:tc>
      </w:tr>
      <w:tr>
        <w:trPr>
          <w:trHeight w:val="243"/>
        </w:trPr>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2,509</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7,978</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9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9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37"/>
        </w:trPr>
        <w:tc>
          <w:tcPr>
            <w:tcW w:w="9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6,779</w:t>
            </w:r>
          </w:p>
        </w:tc>
        <w:tc>
          <w:tcPr>
            <w:tcW w:w="0" w:type="dxa"/>
            <w:vAlign w:val="bottom"/>
          </w:tcPr>
          <w:p>
            <w:pPr>
              <w:spacing w:after="0"/>
              <w:rPr>
                <w:sz w:val="1"/>
                <w:szCs w:val="1"/>
                <w:color w:val="auto"/>
              </w:rPr>
            </w:pPr>
          </w:p>
        </w:tc>
      </w:tr>
      <w:tr>
        <w:trPr>
          <w:trHeight w:val="67"/>
        </w:trPr>
        <w:tc>
          <w:tcPr>
            <w:tcW w:w="90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9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0.96</w:t>
            </w:r>
          </w:p>
        </w:tc>
        <w:tc>
          <w:tcPr>
            <w:tcW w:w="0" w:type="dxa"/>
            <w:vAlign w:val="bottom"/>
          </w:tcPr>
          <w:p>
            <w:pPr>
              <w:spacing w:after="0"/>
              <w:rPr>
                <w:sz w:val="1"/>
                <w:szCs w:val="1"/>
                <w:color w:val="auto"/>
              </w:rPr>
            </w:pPr>
          </w:p>
        </w:tc>
      </w:tr>
      <w:tr>
        <w:trPr>
          <w:trHeight w:val="243"/>
        </w:trPr>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8,363,109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8,270,793</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8,455,386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8,539,545</w:t>
            </w:r>
          </w:p>
        </w:tc>
        <w:tc>
          <w:tcPr>
            <w:tcW w:w="0" w:type="dxa"/>
            <w:vAlign w:val="bottom"/>
          </w:tcPr>
          <w:p>
            <w:pPr>
              <w:spacing w:after="0"/>
              <w:rPr>
                <w:sz w:val="1"/>
                <w:szCs w:val="1"/>
                <w:color w:val="auto"/>
              </w:rPr>
            </w:pPr>
          </w:p>
        </w:tc>
      </w:tr>
      <w:tr>
        <w:trPr>
          <w:trHeight w:val="27"/>
        </w:trPr>
        <w:tc>
          <w:tcPr>
            <w:tcW w:w="9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0"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2019 and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60" w:type="dxa"/>
            <w:vAlign w:val="bottom"/>
          </w:tcPr>
          <w:p>
            <w:pPr>
              <w:spacing w:after="0"/>
              <w:rPr>
                <w:sz w:val="15"/>
                <w:szCs w:val="15"/>
                <w:color w:val="auto"/>
              </w:rPr>
            </w:pPr>
          </w:p>
        </w:tc>
        <w:tc>
          <w:tcPr>
            <w:tcW w:w="2200" w:type="dxa"/>
            <w:vAlign w:val="bottom"/>
            <w:gridSpan w:val="5"/>
            <w:vMerge w:val="restart"/>
          </w:tcPr>
          <w:p>
            <w:pPr>
              <w:ind w:left="400"/>
              <w:spacing w:after="0"/>
              <w:rPr>
                <w:sz w:val="20"/>
                <w:szCs w:val="20"/>
                <w:color w:val="auto"/>
              </w:rPr>
            </w:pPr>
            <w:r>
              <w:rPr>
                <w:rFonts w:ascii="Times New Roman" w:cs="Times New Roman" w:eastAsia="Times New Roman" w:hAnsi="Times New Roman"/>
                <w:sz w:val="15"/>
                <w:szCs w:val="15"/>
                <w:b w:val="1"/>
                <w:bCs w:val="1"/>
                <w:color w:val="auto"/>
              </w:rPr>
              <w:t>Common Stock, Par</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460" w:type="dxa"/>
            <w:vAlign w:val="bottom"/>
          </w:tcPr>
          <w:p>
            <w:pPr>
              <w:spacing w:after="0"/>
              <w:rPr>
                <w:sz w:val="14"/>
                <w:szCs w:val="14"/>
                <w:color w:val="auto"/>
              </w:rPr>
            </w:pPr>
          </w:p>
        </w:tc>
        <w:tc>
          <w:tcPr>
            <w:tcW w:w="220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60"/>
              <w:spacing w:after="0" w:line="170" w:lineRule="exact"/>
              <w:rPr>
                <w:sz w:val="20"/>
                <w:szCs w:val="20"/>
                <w:color w:val="auto"/>
              </w:rPr>
            </w:pPr>
            <w:r>
              <w:rPr>
                <w:rFonts w:ascii="Times New Roman" w:cs="Times New Roman" w:eastAsia="Times New Roman" w:hAnsi="Times New Roman"/>
                <w:sz w:val="15"/>
                <w:szCs w:val="15"/>
                <w:b w:val="1"/>
                <w:bCs w:val="1"/>
                <w:color w:val="auto"/>
                <w:w w:val="99"/>
              </w:rPr>
              <w:t>Additional</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40"/>
              <w:spacing w:after="0" w:line="170" w:lineRule="exact"/>
              <w:rPr>
                <w:sz w:val="20"/>
                <w:szCs w:val="20"/>
                <w:color w:val="auto"/>
              </w:rPr>
            </w:pPr>
            <w:r>
              <w:rPr>
                <w:rFonts w:ascii="Times New Roman" w:cs="Times New Roman" w:eastAsia="Times New Roman" w:hAnsi="Times New Roman"/>
                <w:sz w:val="15"/>
                <w:szCs w:val="15"/>
                <w:b w:val="1"/>
                <w:bCs w:val="1"/>
                <w:color w:val="auto"/>
              </w:rPr>
              <w:t>Other</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4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5"/>
                <w:szCs w:val="15"/>
                <w:b w:val="1"/>
                <w:bCs w:val="1"/>
                <w:color w:val="auto"/>
                <w:w w:val="99"/>
              </w:rPr>
              <w:t>Paid-In</w:t>
            </w: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5"/>
                <w:szCs w:val="15"/>
                <w:b w:val="1"/>
                <w:bCs w:val="1"/>
                <w:color w:val="auto"/>
                <w:w w:val="97"/>
              </w:rPr>
              <w:t>Treasury</w:t>
            </w: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60" w:type="dxa"/>
            <w:vAlign w:val="bottom"/>
          </w:tcPr>
          <w:p>
            <w:pPr>
              <w:spacing w:after="0"/>
              <w:rPr>
                <w:sz w:val="11"/>
                <w:szCs w:val="11"/>
                <w:color w:val="auto"/>
              </w:rPr>
            </w:pPr>
          </w:p>
        </w:tc>
        <w:tc>
          <w:tcPr>
            <w:tcW w:w="960" w:type="dxa"/>
            <w:vAlign w:val="bottom"/>
            <w:gridSpan w:val="2"/>
          </w:tcPr>
          <w:p>
            <w:pPr>
              <w:ind w:left="60"/>
              <w:spacing w:after="0" w:line="134"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460" w:type="dxa"/>
            <w:vAlign w:val="bottom"/>
          </w:tcPr>
          <w:p>
            <w:pPr>
              <w:spacing w:after="0"/>
              <w:rPr>
                <w:sz w:val="17"/>
                <w:szCs w:val="17"/>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Gain (Loss)</w:t>
            </w:r>
          </w:p>
        </w:tc>
        <w:tc>
          <w:tcPr>
            <w:tcW w:w="1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0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34"/>
        </w:trPr>
        <w:tc>
          <w:tcPr>
            <w:tcW w:w="3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December 31, 2018</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8,904,902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194,116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30,525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161,149</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gain</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831</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restricted stock, net of forfeitures</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158,046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Dividends declared ($0.72 per share)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(6,380)</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based compensation expense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3,252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3,252</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Reclassification of compensation liability to be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paid in shares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Restricted stock returned for payment of taxes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w:t>
            </w:r>
          </w:p>
        </w:tc>
        <w:tc>
          <w:tcPr>
            <w:tcW w:w="0" w:type="dxa"/>
            <w:vAlign w:val="bottom"/>
          </w:tcPr>
          <w:p>
            <w:pPr>
              <w:spacing w:after="0"/>
              <w:rPr>
                <w:sz w:val="1"/>
                <w:szCs w:val="1"/>
                <w:color w:val="auto"/>
              </w:rPr>
            </w:pPr>
          </w:p>
        </w:tc>
      </w:tr>
      <w:tr>
        <w:trPr>
          <w:trHeight w:val="244"/>
        </w:trPr>
        <w:tc>
          <w:tcPr>
            <w:tcW w:w="34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March 31, 2019</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8,975,865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197,598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(62,077)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24,537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156,110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3460" w:type="dxa"/>
            <w:vAlign w:val="bottom"/>
          </w:tcPr>
          <w:p>
            <w:pPr>
              <w:spacing w:after="0"/>
              <w:rPr>
                <w:sz w:val="24"/>
                <w:szCs w:val="24"/>
                <w:color w:val="auto"/>
              </w:rPr>
            </w:pPr>
          </w:p>
        </w:tc>
        <w:tc>
          <w:tcPr>
            <w:tcW w:w="2200" w:type="dxa"/>
            <w:vAlign w:val="bottom"/>
            <w:gridSpan w:val="5"/>
            <w:vMerge w:val="restart"/>
          </w:tcPr>
          <w:p>
            <w:pPr>
              <w:ind w:left="400"/>
              <w:spacing w:after="0"/>
              <w:rPr>
                <w:sz w:val="20"/>
                <w:szCs w:val="20"/>
                <w:color w:val="auto"/>
              </w:rPr>
            </w:pPr>
            <w:r>
              <w:rPr>
                <w:rFonts w:ascii="Times New Roman" w:cs="Times New Roman" w:eastAsia="Times New Roman" w:hAnsi="Times New Roman"/>
                <w:sz w:val="15"/>
                <w:szCs w:val="15"/>
                <w:b w:val="1"/>
                <w:bCs w:val="1"/>
                <w:color w:val="auto"/>
              </w:rPr>
              <w:t>Common Stock, Par</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460" w:type="dxa"/>
            <w:vAlign w:val="bottom"/>
          </w:tcPr>
          <w:p>
            <w:pPr>
              <w:spacing w:after="0"/>
              <w:rPr>
                <w:sz w:val="14"/>
                <w:szCs w:val="14"/>
                <w:color w:val="auto"/>
              </w:rPr>
            </w:pPr>
          </w:p>
        </w:tc>
        <w:tc>
          <w:tcPr>
            <w:tcW w:w="220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60"/>
              <w:spacing w:after="0" w:line="170" w:lineRule="exact"/>
              <w:rPr>
                <w:sz w:val="20"/>
                <w:szCs w:val="20"/>
                <w:color w:val="auto"/>
              </w:rPr>
            </w:pPr>
            <w:r>
              <w:rPr>
                <w:rFonts w:ascii="Times New Roman" w:cs="Times New Roman" w:eastAsia="Times New Roman" w:hAnsi="Times New Roman"/>
                <w:sz w:val="15"/>
                <w:szCs w:val="15"/>
                <w:b w:val="1"/>
                <w:bCs w:val="1"/>
                <w:color w:val="auto"/>
                <w:w w:val="99"/>
              </w:rPr>
              <w:t>Additional</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40"/>
              <w:spacing w:after="0" w:line="170" w:lineRule="exact"/>
              <w:rPr>
                <w:sz w:val="20"/>
                <w:szCs w:val="20"/>
                <w:color w:val="auto"/>
              </w:rPr>
            </w:pPr>
            <w:r>
              <w:rPr>
                <w:rFonts w:ascii="Times New Roman" w:cs="Times New Roman" w:eastAsia="Times New Roman" w:hAnsi="Times New Roman"/>
                <w:sz w:val="15"/>
                <w:szCs w:val="15"/>
                <w:b w:val="1"/>
                <w:bCs w:val="1"/>
                <w:color w:val="auto"/>
              </w:rPr>
              <w:t>Other</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46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5"/>
                <w:szCs w:val="15"/>
                <w:b w:val="1"/>
                <w:bCs w:val="1"/>
                <w:color w:val="auto"/>
                <w:w w:val="99"/>
              </w:rPr>
              <w:t>Paid-In</w:t>
            </w: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5"/>
                <w:szCs w:val="15"/>
                <w:b w:val="1"/>
                <w:bCs w:val="1"/>
                <w:color w:val="auto"/>
                <w:w w:val="97"/>
              </w:rPr>
              <w:t>Treasury</w:t>
            </w: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160" w:type="dxa"/>
            <w:vAlign w:val="bottom"/>
          </w:tcPr>
          <w:p>
            <w:pPr>
              <w:spacing w:after="0"/>
              <w:rPr>
                <w:sz w:val="11"/>
                <w:szCs w:val="11"/>
                <w:color w:val="auto"/>
              </w:rPr>
            </w:pPr>
          </w:p>
        </w:tc>
        <w:tc>
          <w:tcPr>
            <w:tcW w:w="960" w:type="dxa"/>
            <w:vAlign w:val="bottom"/>
            <w:gridSpan w:val="2"/>
          </w:tcPr>
          <w:p>
            <w:pPr>
              <w:ind w:left="60"/>
              <w:spacing w:after="0" w:line="134"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460" w:type="dxa"/>
            <w:vAlign w:val="bottom"/>
          </w:tcPr>
          <w:p>
            <w:pPr>
              <w:spacing w:after="0"/>
              <w:rPr>
                <w:sz w:val="17"/>
                <w:szCs w:val="17"/>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Loss</w:t>
            </w:r>
          </w:p>
        </w:tc>
        <w:tc>
          <w:tcPr>
            <w:tcW w:w="16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0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34"/>
        </w:trPr>
        <w:tc>
          <w:tcPr>
            <w:tcW w:w="3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December 31, 2017</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8,899,587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179,241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28,607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156,396</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7,978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7,978</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restricted stock, net of forfeitures</w:t>
            </w:r>
          </w:p>
        </w:tc>
        <w:tc>
          <w:tcPr>
            <w:tcW w:w="10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214,389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Dividends declared ($0.68 per share)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(6,094)</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based compensation expense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4,187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4,187</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Reclassification of compensation liability to be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paid in shares</w:t>
            </w: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Restricted stock returned for payment of taxes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(83,671)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w:t>
            </w:r>
          </w:p>
        </w:tc>
        <w:tc>
          <w:tcPr>
            <w:tcW w:w="0" w:type="dxa"/>
            <w:vAlign w:val="bottom"/>
          </w:tcPr>
          <w:p>
            <w:pPr>
              <w:spacing w:after="0"/>
              <w:rPr>
                <w:sz w:val="1"/>
                <w:szCs w:val="1"/>
                <w:color w:val="auto"/>
              </w:rPr>
            </w:pPr>
          </w:p>
        </w:tc>
      </w:tr>
      <w:tr>
        <w:trPr>
          <w:trHeight w:val="244"/>
        </w:trPr>
        <w:tc>
          <w:tcPr>
            <w:tcW w:w="34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March 31, 2018</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9,017,274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183,591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(55,201)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30,491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156,020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0"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47"/>
        </w:trPr>
        <w:tc>
          <w:tcPr>
            <w:tcW w:w="8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31"/>
        </w:trPr>
        <w:tc>
          <w:tcPr>
            <w:tcW w:w="8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7,978</w:t>
            </w:r>
          </w:p>
        </w:tc>
      </w:tr>
      <w:tr>
        <w:trPr>
          <w:trHeight w:val="33"/>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213</w:t>
            </w:r>
          </w:p>
        </w:tc>
      </w:tr>
      <w:tr>
        <w:trPr>
          <w:trHeight w:val="33"/>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418</w:t>
            </w:r>
          </w:p>
        </w:tc>
      </w:tr>
      <w:tr>
        <w:trPr>
          <w:trHeight w:val="237"/>
        </w:trPr>
        <w:tc>
          <w:tcPr>
            <w:tcW w:w="83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Unrealized (gains) losses on trading investments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232</w:t>
            </w:r>
          </w:p>
        </w:tc>
      </w:tr>
      <w:tr>
        <w:trPr>
          <w:trHeight w:val="33"/>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Stock 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4,187</w:t>
            </w:r>
          </w:p>
        </w:tc>
      </w:tr>
      <w:tr>
        <w:trPr>
          <w:trHeight w:val="237"/>
        </w:trPr>
        <w:tc>
          <w:tcPr>
            <w:tcW w:w="83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w:t>
            </w:r>
          </w:p>
        </w:tc>
      </w:tr>
      <w:tr>
        <w:trPr>
          <w:trHeight w:val="33"/>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Non-cash lease expense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270</w:t>
            </w:r>
          </w:p>
        </w:tc>
      </w:tr>
      <w:tr>
        <w:trPr>
          <w:trHeight w:val="237"/>
        </w:trPr>
        <w:tc>
          <w:tcPr>
            <w:tcW w:w="83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Gain on sale of operations</w:t>
            </w:r>
          </w:p>
        </w:tc>
        <w:tc>
          <w:tcPr>
            <w:tcW w:w="2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r>
      <w:tr>
        <w:trPr>
          <w:trHeight w:val="33"/>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sales of investments - trading securities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16,554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2,175</w:t>
            </w:r>
          </w:p>
        </w:tc>
      </w:tr>
      <w:tr>
        <w:trPr>
          <w:trHeight w:val="33"/>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w:t>
            </w:r>
          </w:p>
        </w:tc>
      </w:tr>
      <w:tr>
        <w:trPr>
          <w:trHeight w:val="237"/>
        </w:trPr>
        <w:tc>
          <w:tcPr>
            <w:tcW w:w="83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3,027</w:t>
            </w:r>
          </w:p>
        </w:tc>
      </w:tr>
      <w:tr>
        <w:trPr>
          <w:trHeight w:val="33"/>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37"/>
        </w:trPr>
        <w:tc>
          <w:tcPr>
            <w:tcW w:w="83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Compensation and benefits payable</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(13,712)</w:t>
            </w:r>
          </w:p>
        </w:tc>
      </w:tr>
      <w:tr>
        <w:trPr>
          <w:trHeight w:val="33"/>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Income taxes payable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871</w:t>
            </w:r>
          </w:p>
        </w:tc>
      </w:tr>
      <w:tr>
        <w:trPr>
          <w:trHeight w:val="237"/>
        </w:trPr>
        <w:tc>
          <w:tcPr>
            <w:tcW w:w="83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r>
      <w:tr>
        <w:trPr>
          <w:trHeight w:val="33"/>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1,352</w:t>
            </w:r>
          </w:p>
        </w:tc>
      </w:tr>
      <w:tr>
        <w:trPr>
          <w:trHeight w:val="217"/>
        </w:trPr>
        <w:tc>
          <w:tcPr>
            <w:tcW w:w="83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47"/>
        </w:trPr>
        <w:tc>
          <w:tcPr>
            <w:tcW w:w="8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r>
      <w:tr>
        <w:trPr>
          <w:trHeight w:val="237"/>
        </w:trPr>
        <w:tc>
          <w:tcPr>
            <w:tcW w:w="8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Omaha divestiture</w:t>
            </w:r>
          </w:p>
        </w:tc>
        <w:tc>
          <w:tcPr>
            <w:tcW w:w="2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10,013</w:t>
            </w:r>
          </w:p>
        </w:tc>
      </w:tr>
      <w:tr>
        <w:trPr>
          <w:trHeight w:val="33"/>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Purchase of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83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9,714</w:t>
            </w:r>
          </w:p>
        </w:tc>
      </w:tr>
      <w:tr>
        <w:trPr>
          <w:trHeight w:val="33"/>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 of treasury stock under employee stock plans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r>
      <w:tr>
        <w:trPr>
          <w:trHeight w:val="33"/>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Restricted stock returned for payment of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w:t>
            </w:r>
          </w:p>
        </w:tc>
      </w:tr>
      <w:tr>
        <w:trPr>
          <w:trHeight w:val="237"/>
        </w:trPr>
        <w:tc>
          <w:tcPr>
            <w:tcW w:w="8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dividends paid</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(7,332)</w:t>
            </w:r>
          </w:p>
        </w:tc>
      </w:tr>
      <w:tr>
        <w:trPr>
          <w:trHeight w:val="33"/>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(12,745)</w:t>
            </w:r>
          </w:p>
        </w:tc>
      </w:tr>
      <w:tr>
        <w:trPr>
          <w:trHeight w:val="217"/>
        </w:trPr>
        <w:tc>
          <w:tcPr>
            <w:tcW w:w="8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currency rate changes on cash</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780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w:t>
            </w:r>
          </w:p>
        </w:tc>
      </w:tr>
      <w:tr>
        <w:trPr>
          <w:trHeight w:val="33"/>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w:t>
            </w:r>
          </w:p>
        </w:tc>
      </w:tr>
      <w:tr>
        <w:trPr>
          <w:trHeight w:val="217"/>
        </w:trPr>
        <w:tc>
          <w:tcPr>
            <w:tcW w:w="8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52,449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54,249</w:t>
            </w:r>
          </w:p>
        </w:tc>
      </w:tr>
      <w:tr>
        <w:trPr>
          <w:trHeight w:val="33"/>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52,421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51,550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paid during the period for income taxes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dividends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7,836</w:t>
            </w:r>
          </w:p>
        </w:tc>
      </w:tr>
      <w:tr>
        <w:trPr>
          <w:trHeight w:val="237"/>
        </w:trPr>
        <w:tc>
          <w:tcPr>
            <w:tcW w:w="8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purchase of property and equipment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r>
    </w:tbl>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0" w:right="239" w:bottom="1440" w:gutter="0" w:footer="0" w:header="0"/>
        </w:sectPr>
      </w:pPr>
    </w:p>
    <w:bookmarkStart w:id="6" w:name="page7"/>
    <w:bookmarkEnd w:id="6"/>
    <w:p>
      <w:pPr>
        <w:jc w:val="center"/>
        <w:ind w:left="280" w:right="2720"/>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(Unaudited)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75" w:lineRule="exact"/>
        <w:rPr>
          <w:sz w:val="20"/>
          <w:szCs w:val="20"/>
          <w:color w:val="auto"/>
        </w:rPr>
      </w:pPr>
    </w:p>
    <w:p>
      <w:pPr>
        <w:ind w:right="340" w:firstLine="500"/>
        <w:spacing w:after="0" w:line="258" w:lineRule="auto"/>
        <w:rPr>
          <w:sz w:val="20"/>
          <w:szCs w:val="20"/>
          <w:color w:val="auto"/>
        </w:rPr>
      </w:pPr>
      <w:r>
        <w:rPr>
          <w:rFonts w:ascii="Times New Roman" w:cs="Times New Roman" w:eastAsia="Times New Roman" w:hAnsi="Times New Roman"/>
          <w:sz w:val="18"/>
          <w:szCs w:val="18"/>
          <w:color w:val="auto"/>
        </w:rPr>
        <w:t>Westwood Holdings Group, Inc. (“Westwood”, the “Company”, “we”, “us” or “our”) was incorporated under the laws of the State of Delaware on December 12, 2001. Westwood provides investment management services to institutional investors, private wealth clients and financial intermediaries through its subsidiaries, Westwood Management Corp. and Westwood Advisors, L.L.C. (together “Westwood Management”), Westwood Trust, and Westwood International Advisors Inc. (“Westwood International”). Revenue is largely dependent on the total value and composition of assets under management (“AUM”). Accordingly, fluctuations in financial markets and in the composition of AUM impact revenues and results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 of our Omaha Operations</w:t>
      </w:r>
    </w:p>
    <w:p>
      <w:pPr>
        <w:spacing w:after="0" w:line="175" w:lineRule="exact"/>
        <w:rPr>
          <w:sz w:val="20"/>
          <w:szCs w:val="20"/>
          <w:color w:val="auto"/>
        </w:rPr>
      </w:pPr>
    </w:p>
    <w:p>
      <w:pPr>
        <w:ind w:right="20" w:firstLine="500"/>
        <w:spacing w:after="0" w:line="258" w:lineRule="auto"/>
        <w:rPr>
          <w:sz w:val="20"/>
          <w:szCs w:val="20"/>
          <w:color w:val="auto"/>
        </w:rPr>
      </w:pPr>
      <w:r>
        <w:rPr>
          <w:rFonts w:ascii="Times New Roman" w:cs="Times New Roman" w:eastAsia="Times New Roman" w:hAnsi="Times New Roman"/>
          <w:sz w:val="18"/>
          <w:szCs w:val="18"/>
          <w:color w:val="auto"/>
        </w:rPr>
        <w:t>On September 6, 2017, we entered into an agreement to sell the Omaha-based component of our Wealth Management business. The sale closed on January 12, 2018. We received proceeds of $10.0 million, net of working capital requirements, and recorded a $524,000 gain on the sale, which is included as “Gain on sale of operations” on our Condensed Consolidated Statements of Comprehensive Income. The sale reduced goodwill and intangible assets but did not have a material impact on our Condensed Consolidated Balance Sheet. The following table presents cash proceeds received and net assets sold (in thousands):</w:t>
      </w:r>
    </w:p>
    <w:p>
      <w:pPr>
        <w:spacing w:after="0" w:line="283" w:lineRule="exact"/>
        <w:rPr>
          <w:sz w:val="20"/>
          <w:szCs w:val="20"/>
          <w:color w:val="auto"/>
        </w:rPr>
      </w:pPr>
    </w:p>
    <w:tbl>
      <w:tblPr>
        <w:tblLayout w:type="fixed"/>
        <w:tblInd w:w="2620" w:type="dxa"/>
        <w:tblCellMar>
          <w:top w:w="0" w:type="dxa"/>
          <w:left w:w="0" w:type="dxa"/>
          <w:bottom w:w="0" w:type="dxa"/>
          <w:right w:w="0" w:type="dxa"/>
        </w:tblCellMar>
      </w:tblPr>
      <w:tr>
        <w:trPr>
          <w:trHeight w:val="27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Proceeds</w:t>
            </w: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10,013</w:t>
            </w: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sold:</w:t>
            </w:r>
          </w:p>
        </w:tc>
        <w:tc>
          <w:tcPr>
            <w:tcW w:w="8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8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8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r>
      <w:tr>
        <w:trPr>
          <w:trHeight w:val="27"/>
        </w:trPr>
        <w:tc>
          <w:tcPr>
            <w:tcW w:w="4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8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7,340</w:t>
            </w: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8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2,170</w:t>
            </w:r>
          </w:p>
        </w:tc>
      </w:tr>
      <w:tr>
        <w:trPr>
          <w:trHeight w:val="27"/>
        </w:trPr>
        <w:tc>
          <w:tcPr>
            <w:tcW w:w="4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7"/>
        </w:trPr>
        <w:tc>
          <w:tcPr>
            <w:tcW w:w="4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8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57"/>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operations</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524</w:t>
            </w:r>
          </w:p>
        </w:tc>
      </w:tr>
      <w:tr>
        <w:trPr>
          <w:trHeight w:val="20"/>
        </w:trPr>
        <w:tc>
          <w:tcPr>
            <w:tcW w:w="4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00" w:firstLine="500"/>
        <w:spacing w:after="0" w:line="282" w:lineRule="auto"/>
        <w:rPr>
          <w:sz w:val="20"/>
          <w:szCs w:val="20"/>
          <w:color w:val="auto"/>
        </w:rPr>
      </w:pPr>
      <w:r>
        <w:rPr>
          <w:rFonts w:ascii="Times New Roman" w:cs="Times New Roman" w:eastAsia="Times New Roman" w:hAnsi="Times New Roman"/>
          <w:sz w:val="18"/>
          <w:szCs w:val="18"/>
          <w:color w:val="auto"/>
        </w:rPr>
        <w:t>The component is reported within both our Advisory and Trust segments. The sale did not represent a major strategic shift in our business and did not qualify for discontinued operations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firstLine="500"/>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unaudited and are presented in accordance with the requirements for quarterly reports on Form 10-Q and consequently do not include all of the information and footnote disclosures required by accounting principles generally accepted in the United States of America (“GAAP”). The Company’s Condensed Consolidated Financial Statements reflect all adjustments (consisting only of normal recurring adjustments) necessary in the opinion of management to present fairly our interim financial position and results of operations and cash flows for the periods presented. The accompanying Condensed Consolidated Financial Statements are presented in accordance with GAAP and the rules and regulations of the Securities and Exchange Commission (“SEC”).</w:t>
      </w: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360" w:right="279" w:bottom="1440" w:gutter="0" w:footer="0" w:header="0"/>
        </w:sectPr>
      </w:pPr>
    </w:p>
    <w:bookmarkStart w:id="7" w:name="page8"/>
    <w:bookmarkEnd w:id="7"/>
    <w:p>
      <w:pPr>
        <w:jc w:val="center"/>
        <w:ind w:left="280" w:right="2120"/>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10" w:lineRule="exact"/>
        <w:rPr>
          <w:sz w:val="20"/>
          <w:szCs w:val="20"/>
          <w:color w:val="auto"/>
        </w:rPr>
      </w:pPr>
    </w:p>
    <w:p>
      <w:pPr>
        <w:ind w:right="60" w:firstLine="50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our Consolidated Financial Statements, and notes thereto, included in our Annual Report on Form 10-K for the year ended December 31, 2018, filed with the SEC. Operating results for the periods in these Condensed Consolidated Financial Statements are not necessarily indicative of results for any future period. The accompanying Condensed Consolidated Financial Statements include the accounts of Westwood and its subsidiaries. All intercompany accounts and transactions have been eliminated upon consolidation. In the current year, we created a new expense item on the Condensed Consolidated Statements of Comprehensive Income for “(Gain) loss on foreign currency transactions,” which was previously included in “General and Administrative” expense, and a new cash flow item on the Condensed Consolidated Statements of Cash Flows for Non-cash lease expense, which was previously included in the changes in operating assets and liabilities within “Other liabilities.” Prior year financial statements were reclassified to conform to this presentation. These reclassifications had no impact on net income, stockholders’ equity or cash flows as previously reported.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w:t>
      </w:r>
    </w:p>
    <w:p>
      <w:pPr>
        <w:spacing w:after="0" w:line="11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ASU 2016-02 requires lessees to recognize a lease liability and a right-of-use asset for all leases at the commencement date, excluding short-term leases. Leases will be classified as either financing or operating, with classification impacting the pattern of expense recognition in the income statement. The amendment is effective for fiscal years beginning after December 15, 2018, including interim periods within those fiscal years. We adopted the standard as of January 1, 2019 under the modified retrospective approach, which provides a method for recording existing leases at adoption and in comparative periods that approximates the results of a full retrospective approach. We elected the package of practical expedients permitted under the transition guidance, which, among other things, allows us to carry forward the historical lease classification and elect hindsight to determine certain lease terms for existing leases. See further discussion in Note 13 “Leases.”</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impacts of the adoption of ASU 2016-02 to our previously reported results (in thousands):</w:t>
      </w:r>
    </w:p>
    <w:p>
      <w:pPr>
        <w:spacing w:after="0" w:line="174" w:lineRule="exact"/>
        <w:rPr>
          <w:sz w:val="20"/>
          <w:szCs w:val="20"/>
          <w:color w:val="auto"/>
        </w:rPr>
      </w:pPr>
    </w:p>
    <w:tbl>
      <w:tblPr>
        <w:tblLayout w:type="fixed"/>
        <w:tblInd w:w="16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New Lease</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7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As Previously</w:t>
            </w: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Standard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2"/>
        </w:trPr>
        <w:tc>
          <w:tcPr>
            <w:tcW w:w="7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as of December 31, 2018:</w:t>
            </w:r>
          </w:p>
        </w:tc>
        <w:tc>
          <w:tcPr>
            <w:tcW w:w="140" w:type="dxa"/>
            <w:vAlign w:val="bottom"/>
          </w:tcPr>
          <w:p>
            <w:pPr>
              <w:spacing w:after="0"/>
              <w:rPr>
                <w:sz w:val="18"/>
                <w:szCs w:val="18"/>
                <w:color w:val="auto"/>
              </w:rPr>
            </w:pPr>
          </w:p>
        </w:tc>
        <w:tc>
          <w:tcPr>
            <w:tcW w:w="136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Adjustment</w:t>
            </w:r>
          </w:p>
        </w:tc>
        <w:tc>
          <w:tcPr>
            <w:tcW w:w="16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As Restated</w:t>
            </w:r>
          </w:p>
        </w:tc>
      </w:tr>
      <w:tr>
        <w:trPr>
          <w:trHeight w:val="33"/>
        </w:trPr>
        <w:tc>
          <w:tcPr>
            <w:tcW w:w="7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8,698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8,698</w:t>
            </w: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21"/>
                <w:szCs w:val="21"/>
                <w:color w:val="auto"/>
              </w:rPr>
            </w:pPr>
          </w:p>
        </w:tc>
        <w:tc>
          <w:tcPr>
            <w:tcW w:w="13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1,432</w:t>
            </w:r>
          </w:p>
        </w:tc>
      </w:tr>
      <w:tr>
        <w:trPr>
          <w:trHeight w:val="27"/>
        </w:trPr>
        <w:tc>
          <w:tcPr>
            <w:tcW w:w="7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9,331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9,331</w:t>
            </w: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rent</w:t>
            </w:r>
          </w:p>
        </w:tc>
        <w:tc>
          <w:tcPr>
            <w:tcW w:w="1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bl>
    <w:p>
      <w:pPr>
        <w:spacing w:after="0" w:line="223"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June 2018, the FASB issued ASU 2018-07, </w:t>
      </w:r>
      <w:r>
        <w:rPr>
          <w:rFonts w:ascii="Times New Roman" w:cs="Times New Roman" w:eastAsia="Times New Roman" w:hAnsi="Times New Roman"/>
          <w:sz w:val="18"/>
          <w:szCs w:val="18"/>
          <w:i w:val="1"/>
          <w:iCs w:val="1"/>
          <w:color w:val="auto"/>
        </w:rPr>
        <w:t>Compensation - Stock Compensation (Topic 718): Improvements to Nonemployee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The purpose of this amendment is to simplify the accounting for share-based payments granted to nonemployees for goods and services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aligning it with the accounting used for arrangements with employees. We adopted the standard as of January 1, 2019 and it did not have a material impact on our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17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 (Topic 820): Disclosure Framework- 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for Fair Value Measurement</w:t>
      </w:r>
      <w:r>
        <w:rPr>
          <w:rFonts w:ascii="Times New Roman" w:cs="Times New Roman" w:eastAsia="Times New Roman" w:hAnsi="Times New Roman"/>
          <w:sz w:val="18"/>
          <w:szCs w:val="18"/>
          <w:color w:val="auto"/>
        </w:rPr>
        <w:t>. The purpose of this amendment is to modify, remove and add certain disclosure requirements for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measurements. Under ASU 2018-13, entities are required to disclose the amount of total gains or losses recognized in other comprehensive income attributable to assets and liabilities categorized within Level 3 of the fair value hierarchy. The ASU also adds an incremental requirement about significant unobservable inputs for Level 3 fair value measurements. The requirement to disclose reasons for transfers between Level 1 and Level 2 was removed. Various requirements for Level 3 disclosure were also modified. The amendments in this ASU are effective for all entities for fiscal years and interim periods beginning after December 15, 2019. We do not expect the amendment to have a material impact on our Consolidated Financial Statements, and we plan to adopt this amendment within the required time frame.</w:t>
      </w: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117" w:right="279" w:bottom="1440" w:gutter="0" w:footer="0" w:header="0"/>
        </w:sectPr>
      </w:pPr>
    </w:p>
    <w:bookmarkStart w:id="8" w:name="page9"/>
    <w:bookmarkEnd w:id="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08" w:lineRule="exact"/>
        <w:rPr>
          <w:sz w:val="20"/>
          <w:szCs w:val="20"/>
          <w:color w:val="auto"/>
        </w:rPr>
      </w:pPr>
    </w:p>
    <w:p>
      <w:pPr>
        <w:ind w:right="120" w:firstLine="486"/>
        <w:spacing w:after="0" w:line="257" w:lineRule="auto"/>
        <w:rPr>
          <w:sz w:val="20"/>
          <w:szCs w:val="20"/>
          <w:color w:val="auto"/>
        </w:rPr>
      </w:pPr>
      <w:r>
        <w:rPr>
          <w:rFonts w:ascii="Times New Roman" w:cs="Times New Roman" w:eastAsia="Times New Roman" w:hAnsi="Times New Roman"/>
          <w:sz w:val="18"/>
          <w:szCs w:val="18"/>
          <w:color w:val="auto"/>
        </w:rPr>
        <w:t xml:space="preserve">In August 2018, the FASB issued ASU 2018-15, </w:t>
      </w:r>
      <w:r>
        <w:rPr>
          <w:rFonts w:ascii="Times New Roman" w:cs="Times New Roman" w:eastAsia="Times New Roman" w:hAnsi="Times New Roman"/>
          <w:sz w:val="18"/>
          <w:szCs w:val="18"/>
          <w:i w:val="1"/>
          <w:iCs w:val="1"/>
          <w:color w:val="auto"/>
        </w:rPr>
        <w:t>Intangibles - Goodwill and Other - Internal-Use Software (Topic 350): Customer's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Implementation Costs Incurred in a Cloud Computing Arrangement That Is a Service Contract. </w:t>
      </w:r>
      <w:r>
        <w:rPr>
          <w:rFonts w:ascii="Times New Roman" w:cs="Times New Roman" w:eastAsia="Times New Roman" w:hAnsi="Times New Roman"/>
          <w:sz w:val="18"/>
          <w:szCs w:val="18"/>
          <w:color w:val="auto"/>
        </w:rPr>
        <w:t>The purpose of this amendment is to align the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amendments in this update are effective for public companies for fiscal years beginning after December 15, 2019, including interim periods within that fiscal year. We do not expect the amendment to have a material impact on our Consolidated Financial Statements, and we plan to adopt the standard within the required time frame.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w:t>
      </w:r>
    </w:p>
    <w:p>
      <w:pPr>
        <w:spacing w:after="0" w:line="175" w:lineRule="exact"/>
        <w:rPr>
          <w:sz w:val="20"/>
          <w:szCs w:val="20"/>
          <w:color w:val="auto"/>
        </w:rPr>
      </w:pPr>
    </w:p>
    <w:p>
      <w:pPr>
        <w:ind w:right="80" w:firstLine="500"/>
        <w:spacing w:after="0" w:line="261"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available to common stockholders by the weighted average number of shares outstanding for the applicable period. Diluted earnings per share is computed based on the weighted average number of shares outstanding plus the effect of any dilutive shares of restricted stock granted to employees and non-employee directors. There were approximately 51,000 and 10,000 anti-dilutive restricted shares outstanding for the three months ended March 31, 2019 and 2018, respectively.</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and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33"/>
        </w:trPr>
        <w:tc>
          <w:tcPr>
            <w:tcW w:w="8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7,978</w:t>
            </w:r>
          </w:p>
        </w:tc>
      </w:tr>
      <w:tr>
        <w:trPr>
          <w:trHeight w:val="297"/>
        </w:trPr>
        <w:tc>
          <w:tcPr>
            <w:tcW w:w="8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8,363,109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8,270,793</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Dilutive potential shares from unvested restricted shares</w:t>
            </w: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92,277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268,752</w:t>
            </w:r>
          </w:p>
        </w:tc>
      </w:tr>
      <w:tr>
        <w:trPr>
          <w:trHeight w:val="27"/>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diluted</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8,455,386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8,539,545</w:t>
            </w:r>
          </w:p>
        </w:tc>
      </w:tr>
      <w:tr>
        <w:trPr>
          <w:trHeight w:val="297"/>
        </w:trPr>
        <w:tc>
          <w:tcPr>
            <w:tcW w:w="8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0.96</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0.93</w:t>
            </w:r>
          </w:p>
        </w:tc>
      </w:tr>
      <w:tr>
        <w:trPr>
          <w:trHeight w:val="27"/>
        </w:trPr>
        <w:tc>
          <w:tcPr>
            <w:tcW w:w="8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175" w:lineRule="exact"/>
        <w:rPr>
          <w:sz w:val="20"/>
          <w:szCs w:val="20"/>
          <w:color w:val="auto"/>
        </w:rPr>
      </w:pPr>
    </w:p>
    <w:p>
      <w:pPr>
        <w:jc w:val="both"/>
        <w:ind w:right="60" w:firstLine="486"/>
        <w:spacing w:after="0" w:line="261" w:lineRule="auto"/>
        <w:rPr>
          <w:sz w:val="20"/>
          <w:szCs w:val="20"/>
          <w:color w:val="auto"/>
        </w:rPr>
      </w:pPr>
      <w:r>
        <w:rPr>
          <w:rFonts w:ascii="Times New Roman" w:cs="Times New Roman" w:eastAsia="Times New Roman" w:hAnsi="Times New Roman"/>
          <w:sz w:val="18"/>
          <w:szCs w:val="18"/>
          <w:color w:val="auto"/>
        </w:rPr>
        <w:t>During 2018, we entered into a $5.4 million strategic investment in an equity position of a private company, which is included in “Investments” on our Condensed Consolidated Balance Sheets. This investment represents a private company without a readily-determinable fair value. The Company has elected to apply the measurement alternative of cost minus impairment, if any, plus or minus changes resulting from observable price changes. As of March 31, 2019 and December 31, 2018, there were no observable price changes or indicators of impairment for this investment.</w:t>
      </w:r>
    </w:p>
    <w:p>
      <w:pPr>
        <w:spacing w:after="0" w:line="126" w:lineRule="exact"/>
        <w:rPr>
          <w:sz w:val="20"/>
          <w:szCs w:val="20"/>
          <w:color w:val="auto"/>
        </w:rPr>
      </w:pPr>
    </w:p>
    <w:p>
      <w:pPr>
        <w:jc w:val="both"/>
        <w:ind w:right="340" w:firstLine="486"/>
        <w:spacing w:after="0" w:line="266" w:lineRule="auto"/>
        <w:rPr>
          <w:sz w:val="20"/>
          <w:szCs w:val="20"/>
          <w:color w:val="auto"/>
        </w:rPr>
      </w:pPr>
      <w:r>
        <w:rPr>
          <w:rFonts w:ascii="Times New Roman" w:cs="Times New Roman" w:eastAsia="Times New Roman" w:hAnsi="Times New Roman"/>
          <w:sz w:val="18"/>
          <w:szCs w:val="18"/>
          <w:color w:val="auto"/>
        </w:rPr>
        <w:t>In February 2019, we made a $250,000 investment in Westwood Hospitality Fund I, LLC, a private investment fund. Our investment is included in “Investments” on our Condensed Consolidated Balance Sheets and will be measured at fair value on a recurring basis using net asset value (“NAV”) as a practical expedient.</w:t>
      </w:r>
    </w:p>
    <w:p>
      <w:pPr>
        <w:spacing w:after="0" w:line="68"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All other investments are accounted for as trading securities, are carried at fair value on a recurring basis and are included in “Investments, at fair value” on our Condensed Consolidated Balance Sheets.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7" w:right="239" w:bottom="1440" w:gutter="0" w:footer="0" w:header="0"/>
        </w:sectPr>
      </w:pPr>
    </w:p>
    <w:bookmarkStart w:id="9" w:name="page10"/>
    <w:bookmarkEnd w:id="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Investments carried at fair value are presented in the table below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7"/>
                <w:szCs w:val="17"/>
                <w:color w:val="auto"/>
              </w:rPr>
            </w:pPr>
          </w:p>
        </w:tc>
        <w:tc>
          <w:tcPr>
            <w:tcW w:w="96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03"/>
        </w:trPr>
        <w:tc>
          <w:tcPr>
            <w:tcW w:w="6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80" w:type="dxa"/>
            <w:vAlign w:val="bottom"/>
          </w:tcPr>
          <w:p>
            <w:pPr>
              <w:spacing w:after="0"/>
              <w:rPr>
                <w:sz w:val="17"/>
                <w:szCs w:val="17"/>
                <w:color w:val="auto"/>
              </w:rPr>
            </w:pPr>
          </w:p>
        </w:tc>
        <w:tc>
          <w:tcPr>
            <w:tcW w:w="96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Market</w:t>
            </w:r>
          </w:p>
        </w:tc>
      </w:tr>
      <w:tr>
        <w:trPr>
          <w:trHeight w:val="212"/>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80" w:type="dxa"/>
            <w:vAlign w:val="bottom"/>
          </w:tcPr>
          <w:p>
            <w:pPr>
              <w:spacing w:after="0"/>
              <w:rPr>
                <w:sz w:val="18"/>
                <w:szCs w:val="18"/>
                <w:color w:val="auto"/>
              </w:rPr>
            </w:pPr>
          </w:p>
        </w:tc>
        <w:tc>
          <w:tcPr>
            <w:tcW w:w="96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33"/>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32,386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32,620</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10,511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10,511</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funds</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6,424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6,470</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trading securities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49,321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49,601</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Private investment fund</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250</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investments carried at fair value</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49,571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49,851</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48,177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48,409</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10,354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10,354</w:t>
            </w: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funds</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7,344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7,018</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trading securities</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65,875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65,781</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right="720" w:firstLine="486"/>
        <w:spacing w:after="0" w:line="282" w:lineRule="auto"/>
        <w:rPr>
          <w:sz w:val="20"/>
          <w:szCs w:val="20"/>
          <w:color w:val="auto"/>
        </w:rPr>
      </w:pPr>
      <w:r>
        <w:rPr>
          <w:rFonts w:ascii="Times New Roman" w:cs="Times New Roman" w:eastAsia="Times New Roman" w:hAnsi="Times New Roman"/>
          <w:sz w:val="18"/>
          <w:szCs w:val="18"/>
          <w:color w:val="auto"/>
        </w:rPr>
        <w:t>As of March 31, 2019 and December 31, 2018, approximately $6.4 million and $6.1 million, respectively, in corporate funds were invested in Westwood Funds®. See Note 8 “Variable Interest Entities.”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75" w:lineRule="exact"/>
        <w:rPr>
          <w:sz w:val="20"/>
          <w:szCs w:val="20"/>
          <w:color w:val="auto"/>
        </w:rPr>
      </w:pPr>
    </w:p>
    <w:p>
      <w:pPr>
        <w:ind w:right="40" w:firstLine="500"/>
        <w:spacing w:after="0" w:line="254" w:lineRule="auto"/>
        <w:rPr>
          <w:sz w:val="20"/>
          <w:szCs w:val="20"/>
          <w:color w:val="auto"/>
        </w:rPr>
      </w:pPr>
      <w:r>
        <w:rPr>
          <w:rFonts w:ascii="Times New Roman" w:cs="Times New Roman" w:eastAsia="Times New Roman" w:hAnsi="Times New Roman"/>
          <w:sz w:val="18"/>
          <w:szCs w:val="18"/>
          <w:color w:val="auto"/>
        </w:rPr>
        <w:t>We determine estimated fair values for our financial instruments using available information. The fair value amounts discussed in our Condensed Consolidated Financial Statements are not necessarily indicative of either amounts realizable upon disposition of these instruments or our intent or ability to dispose of these assets. The estimated fair value of cash and cash equivalents, accounts receivable, prepaid income taxes, other current assets, accounts payable and accrued liabilities, dividends payable, compensation and benefits payable and income taxes payable approximates their carrying value due to their short-term maturities. The carrying amount of investments designated as trading securities, primarily U.S. Government and Government agency obligations, money market funds, Westwood Funds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mutual funds, Westwood Investment Funds Plc (the “UCITS Fund”) and Westwood Trust common trust fund shares, equals their fair value based on prices quoted in active markets and, with respect to common trust funds, the net asset value of the shares held as reported by each fund. Market values of our money market holdings generally do not fluctuate. Our strategic investment in a private company discussed in Note 4 “Investments” is excluded from the recurring fair value table shown below, as we have elected to apply the measurement alternative for this investment.</w:t>
      </w:r>
    </w:p>
    <w:p>
      <w:pPr>
        <w:spacing w:after="0" w:line="132" w:lineRule="exact"/>
        <w:rPr>
          <w:sz w:val="20"/>
          <w:szCs w:val="20"/>
          <w:color w:val="auto"/>
        </w:rPr>
      </w:pPr>
    </w:p>
    <w:p>
      <w:pPr>
        <w:ind w:right="40" w:firstLine="500"/>
        <w:spacing w:after="0" w:line="261" w:lineRule="auto"/>
        <w:rPr>
          <w:sz w:val="20"/>
          <w:szCs w:val="20"/>
          <w:color w:val="auto"/>
        </w:rPr>
      </w:pPr>
      <w:r>
        <w:rPr>
          <w:rFonts w:ascii="Times New Roman" w:cs="Times New Roman" w:eastAsia="Times New Roman" w:hAnsi="Times New Roman"/>
          <w:sz w:val="18"/>
          <w:szCs w:val="18"/>
          <w:color w:val="auto"/>
        </w:rPr>
        <w:t>ASC 820, Fair Value Measurements, defines fair value, establishes a framework for measuring fair value and requires disclosures regarding certain fair value measurements. ASC 820 establishes a three-tier hierarchy for measuring fair value, as follows:</w:t>
      </w:r>
    </w:p>
    <w:p>
      <w:pPr>
        <w:ind w:left="1800" w:hanging="576"/>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market prices in active markets for identical assets</w:t>
      </w:r>
    </w:p>
    <w:p>
      <w:pPr>
        <w:spacing w:after="0" w:line="98"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that are directly or indirectly observable</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significant unobservable inputs where there is little or no market activity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7" w:right="239" w:bottom="1440" w:gutter="0" w:footer="0" w:header="0"/>
        </w:sectPr>
      </w:pPr>
    </w:p>
    <w:bookmarkStart w:id="10" w:name="page11"/>
    <w:bookmarkEnd w:id="10"/>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64" w:lineRule="exact"/>
        <w:rPr>
          <w:sz w:val="20"/>
          <w:szCs w:val="20"/>
          <w:color w:val="auto"/>
        </w:rPr>
      </w:pPr>
    </w:p>
    <w:p>
      <w:pPr>
        <w:ind w:right="40" w:firstLine="5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values of our investments measured at fair value on a recurring basis within the fair value hierarchy as of the dates indicated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Measured at</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45"/>
        </w:trPr>
        <w:tc>
          <w:tcPr>
            <w:tcW w:w="5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80" w:type="dxa"/>
            <w:vAlign w:val="bottom"/>
          </w:tcPr>
          <w:p>
            <w:pPr>
              <w:spacing w:after="0"/>
              <w:rPr>
                <w:sz w:val="21"/>
                <w:szCs w:val="21"/>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00" w:type="dxa"/>
            <w:vAlign w:val="bottom"/>
          </w:tcPr>
          <w:p>
            <w:pPr>
              <w:spacing w:after="0"/>
              <w:rPr>
                <w:sz w:val="21"/>
                <w:szCs w:val="21"/>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40" w:type="dxa"/>
            <w:vAlign w:val="bottom"/>
          </w:tcPr>
          <w:p>
            <w:pPr>
              <w:spacing w:after="0"/>
              <w:rPr>
                <w:sz w:val="21"/>
                <w:szCs w:val="21"/>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0"/>
              </w:rPr>
              <w:t xml:space="preserve">NAV </w:t>
            </w:r>
            <w:r>
              <w:rPr>
                <w:rFonts w:ascii="Times New Roman" w:cs="Times New Roman" w:eastAsia="Times New Roman" w:hAnsi="Times New Roman"/>
                <w:sz w:val="21"/>
                <w:szCs w:val="21"/>
                <w:color w:val="auto"/>
                <w:w w:val="90"/>
                <w:vertAlign w:val="superscript"/>
              </w:rPr>
              <w:t>(1)</w:t>
            </w:r>
          </w:p>
        </w:tc>
        <w:tc>
          <w:tcPr>
            <w:tcW w:w="220" w:type="dxa"/>
            <w:vAlign w:val="bottom"/>
          </w:tcPr>
          <w:p>
            <w:pPr>
              <w:spacing w:after="0"/>
              <w:rPr>
                <w:sz w:val="21"/>
                <w:szCs w:val="21"/>
                <w:color w:val="auto"/>
              </w:rPr>
            </w:pPr>
          </w:p>
        </w:tc>
        <w:tc>
          <w:tcPr>
            <w:tcW w:w="74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4"/>
        </w:trPr>
        <w:tc>
          <w:tcPr>
            <w:tcW w:w="5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 of March 31, 2019:</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 in trading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49,601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49,601</w:t>
            </w:r>
          </w:p>
        </w:tc>
      </w:tr>
      <w:tr>
        <w:trPr>
          <w:trHeight w:val="27"/>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Private investment fund</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r>
      <w:tr>
        <w:trPr>
          <w:trHeight w:val="223"/>
        </w:trPr>
        <w:tc>
          <w:tcPr>
            <w:tcW w:w="5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investments carried at fair value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49,601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49,851</w:t>
            </w:r>
          </w:p>
        </w:tc>
      </w:tr>
      <w:tr>
        <w:trPr>
          <w:trHeight w:val="67"/>
        </w:trPr>
        <w:tc>
          <w:tcPr>
            <w:tcW w:w="52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r>
        <w:trPr>
          <w:trHeight w:val="278"/>
        </w:trPr>
        <w:tc>
          <w:tcPr>
            <w:tcW w:w="5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37"/>
        </w:trPr>
        <w:tc>
          <w:tcPr>
            <w:tcW w:w="52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2018:</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 in trading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65,781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65,781</w:t>
            </w:r>
          </w:p>
        </w:tc>
      </w:tr>
      <w:tr>
        <w:trPr>
          <w:trHeight w:val="223"/>
        </w:trPr>
        <w:tc>
          <w:tcPr>
            <w:tcW w:w="5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investments carried at fair value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65,781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65,781</w:t>
            </w:r>
          </w:p>
        </w:tc>
      </w:tr>
      <w:tr>
        <w:trPr>
          <w:trHeight w:val="27"/>
        </w:trPr>
        <w:tc>
          <w:tcPr>
            <w:tcW w:w="5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68433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3395" cy="8890"/>
                    </a:xfrm>
                    <a:prstGeom prst="rect">
                      <a:avLst/>
                    </a:prstGeom>
                    <a:noFill/>
                  </pic:spPr>
                </pic:pic>
              </a:graphicData>
            </a:graphic>
          </wp:anchor>
        </w:drawing>
      </w:r>
    </w:p>
    <w:p>
      <w:pPr>
        <w:spacing w:after="0" w:line="268" w:lineRule="exact"/>
        <w:rPr>
          <w:sz w:val="20"/>
          <w:szCs w:val="20"/>
          <w:color w:val="auto"/>
        </w:rPr>
      </w:pPr>
    </w:p>
    <w:p>
      <w:pPr>
        <w:ind w:left="40" w:right="680" w:hanging="5"/>
        <w:spacing w:after="0" w:line="262" w:lineRule="auto"/>
        <w:tabs>
          <w:tab w:leader="none" w:pos="244"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of certain investments measured at fair value using NAV as a practical expedient. The fair value amounts presented in this table are intended to permit reconciliation of the fair value hierarchy to the amounts presented on our Condensed Consolidated Balance Sheets.</w:t>
      </w:r>
    </w:p>
    <w:p>
      <w:pPr>
        <w:spacing w:after="0" w:line="243" w:lineRule="exact"/>
        <w:rPr>
          <w:rFonts w:ascii="Times New Roman" w:cs="Times New Roman" w:eastAsia="Times New Roman" w:hAnsi="Times New Roman"/>
          <w:sz w:val="14"/>
          <w:szCs w:val="14"/>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jc w:val="both"/>
        <w:ind w:firstLine="50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cost of acquired assets over the fair value of the underlying identifiable assets at the date of acquisition. Goodwill is not amortized but is tested for impairment at least annually. We completed our annual goodwill impairment assessment during the third quarter of 2018 and determined that no impairment loss was required. No impairments on goodwill were recorded during the three months ended March 31, 2019 or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21" w:lineRule="exact"/>
        <w:rPr>
          <w:sz w:val="20"/>
          <w:szCs w:val="20"/>
          <w:color w:val="auto"/>
        </w:rPr>
      </w:pPr>
    </w:p>
    <w:p>
      <w:pPr>
        <w:ind w:right="120" w:firstLine="500"/>
        <w:spacing w:after="0" w:line="261" w:lineRule="auto"/>
        <w:rPr>
          <w:sz w:val="20"/>
          <w:szCs w:val="20"/>
          <w:color w:val="auto"/>
        </w:rPr>
      </w:pPr>
      <w:r>
        <w:rPr>
          <w:rFonts w:ascii="Times New Roman" w:cs="Times New Roman" w:eastAsia="Times New Roman" w:hAnsi="Times New Roman"/>
          <w:sz w:val="18"/>
          <w:szCs w:val="18"/>
          <w:color w:val="auto"/>
        </w:rPr>
        <w:t>Our intangible assets represent the acquisition date fair value of acquired client relationships, trade names, non-compete agreements and internally developed software and are reflected net of amortization. In valuing these assets, we made significant estimates regarding their useful lives, growth rates and potential attrition. We periodically review intangible assets for events or circumstances that would indicate impairment. No impairments on intangible assets were recorded during the three months ended March 31, 2019 or 2018.</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were as follows (in thousands):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7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As of March 31, 2019</w:t>
            </w:r>
          </w:p>
        </w:tc>
        <w:tc>
          <w:tcPr>
            <w:tcW w:w="100" w:type="dxa"/>
            <w:vAlign w:val="bottom"/>
          </w:tcPr>
          <w:p>
            <w:pPr>
              <w:spacing w:after="0"/>
              <w:rPr>
                <w:sz w:val="17"/>
                <w:szCs w:val="17"/>
                <w:color w:val="auto"/>
              </w:rPr>
            </w:pPr>
          </w:p>
        </w:tc>
        <w:tc>
          <w:tcPr>
            <w:tcW w:w="1480" w:type="dxa"/>
            <w:vAlign w:val="bottom"/>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104"/>
        </w:trPr>
        <w:tc>
          <w:tcPr>
            <w:tcW w:w="426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7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vMerge w:val="restart"/>
          </w:tcPr>
          <w:p>
            <w:pPr>
              <w:jc w:val="right"/>
              <w:ind w:right="557"/>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108"/>
        </w:trPr>
        <w:tc>
          <w:tcPr>
            <w:tcW w:w="4260" w:type="dxa"/>
            <w:vAlign w:val="bottom"/>
          </w:tcPr>
          <w:p>
            <w:pPr>
              <w:spacing w:after="0"/>
              <w:rPr>
                <w:sz w:val="9"/>
                <w:szCs w:val="9"/>
                <w:color w:val="auto"/>
              </w:rPr>
            </w:pPr>
          </w:p>
        </w:tc>
        <w:tc>
          <w:tcPr>
            <w:tcW w:w="3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26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(4,883)</w:t>
            </w: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20" w:type="dxa"/>
            <w:vAlign w:val="bottom"/>
          </w:tcPr>
          <w:p>
            <w:pPr>
              <w:spacing w:after="0"/>
              <w:rPr>
                <w:sz w:val="19"/>
                <w:szCs w:val="19"/>
                <w:color w:val="auto"/>
              </w:rPr>
            </w:pPr>
          </w:p>
        </w:tc>
        <w:tc>
          <w:tcPr>
            <w:tcW w:w="560" w:type="dxa"/>
            <w:vAlign w:val="bottom"/>
            <w:tcBorders>
              <w:top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(4,052)</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(4,883)</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3820" w:type="dxa"/>
            <w:vAlign w:val="bottom"/>
            <w:vMerge w:val="restart"/>
          </w:tcPr>
          <w:p>
            <w:pPr>
              <w:jc w:val="right"/>
              <w:ind w:right="2270"/>
              <w:spacing w:after="0"/>
              <w:rPr>
                <w:sz w:val="20"/>
                <w:szCs w:val="20"/>
                <w:color w:val="auto"/>
              </w:rPr>
            </w:pPr>
            <w:r>
              <w:rPr>
                <w:rFonts w:ascii="Times New Roman" w:cs="Times New Roman" w:eastAsia="Times New Roman" w:hAnsi="Times New Roman"/>
                <w:sz w:val="18"/>
                <w:szCs w:val="18"/>
                <w:color w:val="auto"/>
              </w:rPr>
              <w:t>9</w:t>
            </w: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820" w:type="dxa"/>
            <w:vAlign w:val="bottom"/>
            <w:vMerge w:val="continue"/>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6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1" w:name="page12"/>
    <w:bookmarkEnd w:id="1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VARIABLE INTEREST ENTITIES</w:t>
      </w:r>
    </w:p>
    <w:p>
      <w:pPr>
        <w:spacing w:after="0" w:line="229" w:lineRule="exact"/>
        <w:rPr>
          <w:sz w:val="20"/>
          <w:szCs w:val="20"/>
          <w:color w:val="auto"/>
        </w:rPr>
      </w:pPr>
    </w:p>
    <w:p>
      <w:pPr>
        <w:ind w:right="60" w:firstLine="486"/>
        <w:spacing w:after="0" w:line="269" w:lineRule="auto"/>
        <w:rPr>
          <w:sz w:val="20"/>
          <w:szCs w:val="20"/>
          <w:color w:val="auto"/>
        </w:rPr>
      </w:pPr>
      <w:r>
        <w:rPr>
          <w:rFonts w:ascii="Times New Roman" w:cs="Times New Roman" w:eastAsia="Times New Roman" w:hAnsi="Times New Roman"/>
          <w:sz w:val="17"/>
          <w:szCs w:val="17"/>
          <w:color w:val="auto"/>
        </w:rPr>
        <w:t xml:space="preserve">We have evaluated (i) our advisory relationships with the UCITS Fund and the Westwood Funds®, (ii) our relationship as sponsor of the Common Trust Funds (“CTFs”) and managing member of the private investment funds Westwood Hospitality Fund I, LLC and Westwood Technology Opportunities Fund I, LP (collectively, the “Private Funds”) and (iii) the private company discussed in Note 4 </w:t>
      </w:r>
      <w:r>
        <w:rPr>
          <w:rFonts w:ascii="Times New Roman" w:cs="Times New Roman" w:eastAsia="Times New Roman" w:hAnsi="Times New Roman"/>
          <w:sz w:val="17"/>
          <w:szCs w:val="17"/>
          <w:color w:val="222222"/>
        </w:rPr>
        <w:t>“Investments”</w:t>
      </w:r>
      <w:r>
        <w:rPr>
          <w:rFonts w:ascii="Times New Roman" w:cs="Times New Roman" w:eastAsia="Times New Roman" w:hAnsi="Times New Roman"/>
          <w:sz w:val="17"/>
          <w:szCs w:val="17"/>
          <w:color w:val="auto"/>
        </w:rPr>
        <w:t xml:space="preserve"> (“Private Equity”) to determine whether each of these entities is a variable interest entity (“VIE”) or voting ownership entity (“VOE”). Based on our analysis, we determined that the CTFs and Private Funds were VIEs, as the at-risk equity holders do not have the ability to direct the activities that most significantly impact the entity’s economic performance, and the Company and its representatives have a majority control of the entities' respective boards of directors and can influence the respective entities' management and affairs. Although we have related parties on the UCITS Fund board of directors, the shareholders have rights to remove the current directors by a simple majority vote and so we determined that the UCITS Fund is not a VIE. As the Company and its representatives do not have representation on the Westwood Funds® or the Private Equity independent boards of directors, which direct the activities that most significantly impact the entities' economic performance, we determined that the Westwood Funds® and the Private Equity were not VIEs. Therefore, the UCITS Fund, Westwood Funds® and Private Equity should be analyzed under the VOE consolidation method. Based on our analysis of our investments in these entities for the periods ending March 31, 2019 and December 31, 2018, we have not consolidated the CTFs, Private Funds or LLCs under the VIE method or the UCITS Fund, Westwood Funds® or Private Equity under the VOE method, and therefore the financial results of these entities are not included in the Company’s consolidated financial results.</w:t>
      </w:r>
    </w:p>
    <w:p>
      <w:pPr>
        <w:spacing w:after="0" w:line="69" w:lineRule="exact"/>
        <w:rPr>
          <w:sz w:val="20"/>
          <w:szCs w:val="20"/>
          <w:color w:val="auto"/>
        </w:rPr>
      </w:pPr>
    </w:p>
    <w:p>
      <w:pPr>
        <w:ind w:right="40" w:firstLine="500"/>
        <w:spacing w:after="0" w:line="266" w:lineRule="auto"/>
        <w:rPr>
          <w:sz w:val="20"/>
          <w:szCs w:val="20"/>
          <w:color w:val="auto"/>
        </w:rPr>
      </w:pPr>
      <w:r>
        <w:rPr>
          <w:rFonts w:ascii="Times New Roman" w:cs="Times New Roman" w:eastAsia="Times New Roman" w:hAnsi="Times New Roman"/>
          <w:sz w:val="18"/>
          <w:szCs w:val="18"/>
          <w:color w:val="auto"/>
        </w:rPr>
        <w:t>As of March 31, 2019 and December 31, 2018, our seed investments aggregated approximately $6.4 million and $6.1 million, respectively, in the Westwood Funds. The seed investments were provided for the sole purpose of showing the economic substance needed to establish the funds. The Company's seed investments in these funds are included in “Investments, at fair value” on our Condensed Consolidated Balance Sheets.</w:t>
      </w:r>
    </w:p>
    <w:p>
      <w:pPr>
        <w:spacing w:after="0" w:line="68" w:lineRule="exact"/>
        <w:rPr>
          <w:sz w:val="20"/>
          <w:szCs w:val="20"/>
          <w:color w:val="auto"/>
        </w:rPr>
      </w:pPr>
    </w:p>
    <w:p>
      <w:pPr>
        <w:ind w:right="80" w:firstLine="500"/>
        <w:spacing w:after="0" w:line="258" w:lineRule="auto"/>
        <w:rPr>
          <w:sz w:val="20"/>
          <w:szCs w:val="20"/>
          <w:color w:val="auto"/>
        </w:rPr>
      </w:pPr>
      <w:r>
        <w:rPr>
          <w:rFonts w:ascii="Times New Roman" w:cs="Times New Roman" w:eastAsia="Times New Roman" w:hAnsi="Times New Roman"/>
          <w:sz w:val="18"/>
          <w:szCs w:val="18"/>
          <w:color w:val="auto"/>
        </w:rPr>
        <w:t>We have not otherwise provided any financial support not previously contractually obligated to provide, and there are no arrangements that would require us to provide additional financial support to any of these entities. Our seed investments in the above-mentioned Westwood Funds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UCITS Fund and the CTFs are accounted for as investments in accordance with our other investments described in Note 4 “Investments.” We recognized fee revenue from the Westwood VIEs and Westwood VOEs of approximately $8.7 million and $12.6 million for the three months ended March 31, 2019 and 2018, respectively.</w:t>
      </w:r>
    </w:p>
    <w:p>
      <w:pPr>
        <w:spacing w:after="0" w:line="130" w:lineRule="exact"/>
        <w:rPr>
          <w:sz w:val="20"/>
          <w:szCs w:val="20"/>
          <w:color w:val="auto"/>
        </w:rPr>
      </w:pPr>
    </w:p>
    <w:p>
      <w:pPr>
        <w:ind w:right="20" w:firstLine="500"/>
        <w:spacing w:after="0" w:line="282" w:lineRule="auto"/>
        <w:rPr>
          <w:sz w:val="20"/>
          <w:szCs w:val="20"/>
          <w:color w:val="auto"/>
        </w:rPr>
      </w:pPr>
      <w:r>
        <w:rPr>
          <w:rFonts w:ascii="Times New Roman" w:cs="Times New Roman" w:eastAsia="Times New Roman" w:hAnsi="Times New Roman"/>
          <w:sz w:val="18"/>
          <w:szCs w:val="18"/>
          <w:color w:val="auto"/>
        </w:rPr>
        <w:t>The following table displays the assets under management, the amounts of our seed investments included in “Investments” on our consolidated balance sheets, and the risk of loss in each vehicle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 of March 31, 2019</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0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Under</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60" w:type="dxa"/>
            <w:vAlign w:val="bottom"/>
          </w:tcPr>
          <w:p>
            <w:pPr>
              <w:spacing w:after="0"/>
              <w:rPr>
                <w:sz w:val="18"/>
                <w:szCs w:val="18"/>
                <w:color w:val="auto"/>
              </w:rPr>
            </w:pPr>
          </w:p>
        </w:tc>
        <w:tc>
          <w:tcPr>
            <w:tcW w:w="132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Amount at Risk</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VIEs/VOEs:</w:t>
            </w:r>
          </w:p>
        </w:tc>
        <w:tc>
          <w:tcPr>
            <w:tcW w:w="2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Westwood Funds®</w:t>
            </w:r>
          </w:p>
        </w:tc>
        <w:tc>
          <w:tcPr>
            <w:tcW w:w="2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3,168</w:t>
            </w: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Common Trust Funds</w:t>
            </w:r>
          </w:p>
        </w:tc>
        <w:tc>
          <w:tcPr>
            <w:tcW w:w="2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UCITS Fund</w:t>
            </w:r>
          </w:p>
        </w:tc>
        <w:tc>
          <w:tcPr>
            <w:tcW w:w="2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Private Funds</w:t>
            </w:r>
          </w:p>
        </w:tc>
        <w:tc>
          <w:tcPr>
            <w:tcW w:w="2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4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Private Equity</w:t>
            </w:r>
          </w:p>
        </w:tc>
        <w:tc>
          <w:tcPr>
            <w:tcW w:w="2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 other assets:</w:t>
            </w:r>
          </w:p>
        </w:tc>
        <w:tc>
          <w:tcPr>
            <w:tcW w:w="2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Wealth Management</w:t>
            </w:r>
          </w:p>
        </w:tc>
        <w:tc>
          <w:tcPr>
            <w:tcW w:w="2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Institutional</w:t>
            </w:r>
          </w:p>
        </w:tc>
        <w:tc>
          <w:tcPr>
            <w:tcW w:w="27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 Under Management</w:t>
            </w:r>
          </w:p>
        </w:tc>
        <w:tc>
          <w:tcPr>
            <w:tcW w:w="27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16,771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740" w:type="dxa"/>
            <w:vAlign w:val="bottom"/>
            <w:vMerge w:val="restart"/>
          </w:tcPr>
          <w:p>
            <w:pPr>
              <w:jc w:val="right"/>
              <w:ind w:right="87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74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2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2" w:name="page13"/>
    <w:bookmarkEnd w:id="1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75"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We derive our revenues from investment advisory fees, trust fees and other sources of revenues. Advisory and Trust fees are calculated based on a percentage of assets under management and the performance obligation is realized over the current calendar quarter. Once clients receive our investment advisory services we have an enforceable right to payment.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Fee Revenues</w:t>
      </w:r>
    </w:p>
    <w:p>
      <w:pPr>
        <w:spacing w:after="0" w:line="175"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Our advisory fees are generated by Westwood Management and Westwood International, which manage client accounts under investment advisory and sub-advisory agreements. Advisory fees are typically calculated based on a percentage of assets under management and are paid in accordance with the terms of the agreements. Advisory fees are paid quarterly in advance based on assets under management on the last day of the preceding quarter, quarterly in arrears based on assets under management on the last day of the quarter just ended or are based on a daily or monthly analysis of assets under management for the stated period. We recognize advisory fee revenues as services are rendered. Since our advance paying clients' billing periods coincide with the calendar quarter to which such payments relate, revenue is recognized within the quarter and our condensed consolidated financial statements contain no deferred advisory fee revenues. Advisory clients typically consist of institutional and mutual fund accounts.</w:t>
      </w:r>
    </w:p>
    <w:p>
      <w:pPr>
        <w:spacing w:after="0" w:line="13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Institutional investors include separate accounts of (i) corporate pension and profit sharing plans, public employee retirement funds, Taft Hartley plans, endowments, foundations and individuals; (ii) subadvisory relationships where Westwood provides investment management services for funds offered by other financial institutions; (iii) pooled investment vehicles, including the UCITS Fund and collective investment trusts; and (iv) managed account relationships with brokerage firms and other registered investment advisors that offer Westwood products to their customers.</w:t>
      </w:r>
    </w:p>
    <w:p>
      <w:pPr>
        <w:spacing w:after="0" w:line="126"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Mutual funds include the Westwood Funds®, a family of mutual funds for which Westwood Management serves as advisor. These funds are available to individual investors, as well as offered as part of our investment strategies for institutional investors and private wealth accounts.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with Performance Based Obligations</w:t>
      </w:r>
    </w:p>
    <w:p>
      <w:pPr>
        <w:spacing w:after="0" w:line="175"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A limited number of our advisory clients have a contractual performance-based fee component in their contracts, which generates additional revenues if we outperform a specified index over a specific period of time. The revenue is based on future market performance and is susceptible to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 Fee Revenues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trust fees are generated by Westwood Trust pursuant to trust or custodial agreements. Trust fees are separately negotiated with each client and are generally based on a percentage of assets under management. Westwood Trust also provides trust services to a small number of clients on a fixed fee basis. The fees for most of our trust clients are calculated quarterly in arrears, based on a daily average of assets under management for the quarter. Since billing periods for most of Westwood Trust’s clients coincide with the calendar quarter, revenue is fully recognized within the quarter and our Condensed Consolidated Financial Statements do not contain a significant amount of deferred trust fee revenues.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7" w:right="239" w:bottom="1440" w:gutter="0" w:footer="0" w:header="0"/>
        </w:sectPr>
      </w:pPr>
    </w:p>
    <w:bookmarkStart w:id="13" w:name="page14"/>
    <w:bookmarkEnd w:id="1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Disaggregated</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Sales taxes are excluded from revenues. The following table presents our revenue disaggregated by account type (in thousands):</w:t>
      </w:r>
    </w:p>
    <w:p>
      <w:pPr>
        <w:spacing w:after="0" w:line="241"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8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4"/>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33"/>
        </w:trPr>
        <w:tc>
          <w:tcPr>
            <w:tcW w:w="8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Advisory Fees: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Institutional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10,439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16,705</w:t>
            </w: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Mutual Funds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7,750</w:t>
            </w:r>
          </w:p>
        </w:tc>
      </w:tr>
      <w:tr>
        <w:trPr>
          <w:trHeight w:val="24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Wealth Management</w:t>
            </w: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Performance-based</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1,335</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Fees</w:t>
            </w: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7,609</w:t>
            </w:r>
          </w:p>
        </w:tc>
      </w:tr>
      <w:tr>
        <w:trPr>
          <w:trHeight w:val="27"/>
        </w:trPr>
        <w:tc>
          <w:tcPr>
            <w:tcW w:w="8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w:t>
            </w:r>
          </w:p>
        </w:tc>
      </w:tr>
      <w:tr>
        <w:trPr>
          <w:trHeight w:val="257"/>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23,862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33,567</w:t>
            </w: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have clients in various locations around the world. The following table presents our revenue disaggregated by our clients' geographical locations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2"/>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March 31, 2019</w:t>
            </w:r>
          </w:p>
        </w:tc>
        <w:tc>
          <w:tcPr>
            <w:tcW w:w="26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300" w:type="dxa"/>
            <w:vAlign w:val="bottom"/>
          </w:tcPr>
          <w:p>
            <w:pPr>
              <w:spacing w:after="0"/>
              <w:rPr>
                <w:sz w:val="18"/>
                <w:szCs w:val="18"/>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based</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406</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Australia</w:t>
            </w: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591</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864</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1,157</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13,608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20,844</w:t>
            </w:r>
          </w:p>
        </w:tc>
      </w:tr>
      <w:tr>
        <w:trPr>
          <w:trHeight w:val="25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16,406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6,539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23,862</w:t>
            </w: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44"/>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2"/>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March 31, 2018</w:t>
            </w:r>
          </w:p>
        </w:tc>
        <w:tc>
          <w:tcPr>
            <w:tcW w:w="26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300" w:type="dxa"/>
            <w:vAlign w:val="bottom"/>
          </w:tcPr>
          <w:p>
            <w:pPr>
              <w:spacing w:after="0"/>
              <w:rPr>
                <w:sz w:val="18"/>
                <w:szCs w:val="18"/>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based</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1,431</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Australia</w:t>
            </w: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1,022</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1,879</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1,243</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18,957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27,992</w:t>
            </w:r>
          </w:p>
        </w:tc>
      </w:tr>
      <w:tr>
        <w:trPr>
          <w:trHeight w:val="25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24,483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7,609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33,567</w:t>
            </w: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INCENTIVE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175" w:lineRule="exact"/>
        <w:rPr>
          <w:sz w:val="20"/>
          <w:szCs w:val="20"/>
          <w:color w:val="auto"/>
        </w:rPr>
      </w:pPr>
    </w:p>
    <w:p>
      <w:pPr>
        <w:ind w:firstLine="500"/>
        <w:spacing w:after="0" w:line="261" w:lineRule="auto"/>
        <w:rPr>
          <w:sz w:val="20"/>
          <w:szCs w:val="20"/>
          <w:color w:val="auto"/>
        </w:rPr>
      </w:pPr>
      <w:r>
        <w:rPr>
          <w:rFonts w:ascii="Times New Roman" w:cs="Times New Roman" w:eastAsia="Times New Roman" w:hAnsi="Times New Roman"/>
          <w:sz w:val="18"/>
          <w:szCs w:val="18"/>
          <w:color w:val="auto"/>
        </w:rPr>
        <w:t>We have issued restricted shares to our employees and non-employee directors. The Fifth Amended and Restated Westwood Holdings Group, Inc. Stock Incentive Plan (the “Plan”) reserves shares of Westwood common stock for issuance to eligible employees, directors and consultants of Westwood or its subsidiaries in the form of restricted stock. The total number of shares issuable under the Plan (including predecessor plans to the Plan) may not exceed 4,848,100 shares. At March 31, 2019, approximately 280,000 shares remain available for issuance under the Plan.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7" w:right="239" w:bottom="1440" w:gutter="0" w:footer="0" w:header="0"/>
        </w:sectPr>
      </w:pPr>
    </w:p>
    <w:bookmarkStart w:id="14" w:name="page15"/>
    <w:bookmarkEnd w:id="1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18" w:lineRule="exact"/>
        <w:rPr>
          <w:sz w:val="20"/>
          <w:szCs w:val="20"/>
          <w:color w:val="auto"/>
        </w:rPr>
      </w:pPr>
    </w:p>
    <w:p>
      <w:pPr>
        <w:ind w:right="680" w:firstLine="5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total stock-based compensation expense recorded for stock-based compensation arrangements for the periods indicated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60" w:type="dxa"/>
            <w:vAlign w:val="bottom"/>
          </w:tcPr>
          <w:p>
            <w:pPr>
              <w:spacing w:after="0"/>
              <w:rPr>
                <w:sz w:val="18"/>
                <w:szCs w:val="18"/>
                <w:color w:val="auto"/>
              </w:rPr>
            </w:pPr>
          </w:p>
        </w:tc>
        <w:tc>
          <w:tcPr>
            <w:tcW w:w="3060" w:type="dxa"/>
            <w:vAlign w:val="bottom"/>
            <w:gridSpan w:val="5"/>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33"/>
        </w:trPr>
        <w:tc>
          <w:tcPr>
            <w:tcW w:w="8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3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condition stock-based compensation expense</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2,790</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Performance condition stock-based compensation expense</w:t>
            </w: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r>
      <w:tr>
        <w:trPr>
          <w:trHeight w:val="27"/>
        </w:trPr>
        <w:tc>
          <w:tcPr>
            <w:tcW w:w="83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Stock-based compensation expense under the Plan</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Canadian Plan stock-based compensation expense</w:t>
            </w: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w:t>
            </w:r>
          </w:p>
        </w:tc>
      </w:tr>
      <w:tr>
        <w:trPr>
          <w:trHeight w:val="27"/>
        </w:trPr>
        <w:tc>
          <w:tcPr>
            <w:tcW w:w="83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4,187</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175"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Under the Plan, we have granted to employees and non-employee directors restricted stock subject to service conditions and to certain key employees restricted stock subject to both service and performance conditions.</w:t>
      </w:r>
    </w:p>
    <w:p>
      <w:pPr>
        <w:spacing w:after="0" w:line="54"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As of March 31, 2019, there was approximately $22.0 million of unrecognized compensation cost for restricted stock grants under the Plan, which we expect to recognize over a weighted-average period of 2.8 years. Our two types of restricted stock grants under the Plan are discussed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Subject Only to a Service Condition</w:t>
      </w:r>
    </w:p>
    <w:p>
      <w:pPr>
        <w:spacing w:after="0" w:line="175" w:lineRule="exact"/>
        <w:rPr>
          <w:sz w:val="20"/>
          <w:szCs w:val="20"/>
          <w:color w:val="auto"/>
        </w:rPr>
      </w:pPr>
    </w:p>
    <w:p>
      <w:pPr>
        <w:ind w:right="120" w:firstLine="500"/>
        <w:spacing w:after="0" w:line="266" w:lineRule="auto"/>
        <w:rPr>
          <w:sz w:val="20"/>
          <w:szCs w:val="20"/>
          <w:color w:val="auto"/>
        </w:rPr>
      </w:pPr>
      <w:r>
        <w:rPr>
          <w:rFonts w:ascii="Times New Roman" w:cs="Times New Roman" w:eastAsia="Times New Roman" w:hAnsi="Times New Roman"/>
          <w:sz w:val="18"/>
          <w:szCs w:val="18"/>
          <w:color w:val="auto"/>
        </w:rPr>
        <w:t>We calculate compensation cost for restricted stock grants by using the fair market value of our common stock at the date of grant, the number of shares issued and an adjustment for restrictions on dividends. This compensation cost is amortized on a straight-line basis over the applicable vesting period, with adjustments for forfeitures recorded as they occur.</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details the status and changes in our restricted stock grants subject only to a service condition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2019:</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40" w:type="dxa"/>
            <w:vAlign w:val="bottom"/>
          </w:tcPr>
          <w:p>
            <w:pPr>
              <w:spacing w:after="0"/>
              <w:rPr>
                <w:sz w:val="15"/>
                <w:szCs w:val="15"/>
                <w:color w:val="auto"/>
              </w:rPr>
            </w:pPr>
          </w:p>
        </w:tc>
        <w:tc>
          <w:tcPr>
            <w:tcW w:w="1380" w:type="dxa"/>
            <w:vAlign w:val="bottom"/>
            <w:vMerge w:val="restart"/>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ind w:right="157"/>
              <w:spacing w:after="0"/>
              <w:rPr>
                <w:sz w:val="20"/>
                <w:szCs w:val="20"/>
                <w:color w:val="auto"/>
              </w:rPr>
            </w:pPr>
            <w:r>
              <w:rPr>
                <w:rFonts w:ascii="Times New Roman" w:cs="Times New Roman" w:eastAsia="Times New Roman" w:hAnsi="Times New Roman"/>
                <w:sz w:val="15"/>
                <w:szCs w:val="15"/>
                <w:b w:val="1"/>
                <w:bCs w:val="1"/>
                <w:color w:val="auto"/>
              </w:rPr>
              <w:t>Weighted Average</w:t>
            </w:r>
          </w:p>
        </w:tc>
        <w:tc>
          <w:tcPr>
            <w:tcW w:w="0" w:type="dxa"/>
            <w:vAlign w:val="bottom"/>
          </w:tcPr>
          <w:p>
            <w:pPr>
              <w:spacing w:after="0"/>
              <w:rPr>
                <w:sz w:val="1"/>
                <w:szCs w:val="1"/>
                <w:color w:val="auto"/>
              </w:rPr>
            </w:pPr>
          </w:p>
        </w:tc>
      </w:tr>
      <w:tr>
        <w:trPr>
          <w:trHeight w:val="206"/>
        </w:trPr>
        <w:tc>
          <w:tcPr>
            <w:tcW w:w="824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5"/>
                <w:szCs w:val="15"/>
                <w:b w:val="1"/>
                <w:bCs w:val="1"/>
                <w:color w:val="auto"/>
              </w:rPr>
              <w:t>Grant Date Fair Value</w:t>
            </w:r>
          </w:p>
        </w:tc>
        <w:tc>
          <w:tcPr>
            <w:tcW w:w="0" w:type="dxa"/>
            <w:vAlign w:val="bottom"/>
          </w:tcPr>
          <w:p>
            <w:pPr>
              <w:spacing w:after="0"/>
              <w:rPr>
                <w:sz w:val="1"/>
                <w:szCs w:val="1"/>
                <w:color w:val="auto"/>
              </w:rPr>
            </w:pPr>
          </w:p>
        </w:tc>
      </w:tr>
      <w:tr>
        <w:trPr>
          <w:trHeight w:val="234"/>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January 1, 2019</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440,073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56.40</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177,416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38.77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57.03</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50.32</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March 31, 2019</w:t>
            </w:r>
          </w:p>
        </w:tc>
        <w:tc>
          <w:tcPr>
            <w:tcW w:w="13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445,839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49.46</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Subject to Service and Performance Conditions</w:t>
      </w:r>
    </w:p>
    <w:p>
      <w:pPr>
        <w:spacing w:after="0" w:line="175"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Under the Plan, certain key employees were provided agreements for grants of restricted shares that vest over multiple year periods subject to achieving annual performance goals established by the Compensation Committee of Westwood’s Board of Directors. Each year the Compensation Committee establishes specific goals for that year’s vesting of the restricted shares. The date that the Compensation Committee establishes annual goals is considered to be the grant date and the fair value measurement date to determine expense on the shares that are likely to vest. The vesting period ends when the Compensation Committee formally approves the performance-based restricted stock vesting based on the specific performance goals from the Company’s audited consolidated financial statements. If a portion of the performance-based restricted shares does not vest, no compensation expense is recognized for that portion and any previously recognized compensation expense related to shares that do not vest is reversed.</w:t>
      </w:r>
    </w:p>
    <w:p>
      <w:pPr>
        <w:spacing w:after="0" w:line="135"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In March 2019, the Compensation Committee established fiscal 2019 goals based on various departmental and company-wide performance goals. During the first three months of 2019, we recorded expense related to the applicable percentage of the performance-based restricted shares expected to meet or exceed the performance goals needed to earn the shares.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7" w:right="239" w:bottom="1440" w:gutter="0" w:footer="0" w:header="0"/>
        </w:sectPr>
      </w:pPr>
    </w:p>
    <w:bookmarkStart w:id="15" w:name="page16"/>
    <w:bookmarkEnd w:id="1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64"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details the status and changes in our restricted stock grants subject to service and performance conditions for the three months ended March 31, 2019:</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40" w:type="dxa"/>
            <w:vAlign w:val="bottom"/>
          </w:tcPr>
          <w:p>
            <w:pPr>
              <w:spacing w:after="0"/>
              <w:rPr>
                <w:sz w:val="15"/>
                <w:szCs w:val="15"/>
                <w:color w:val="auto"/>
              </w:rPr>
            </w:pPr>
          </w:p>
        </w:tc>
        <w:tc>
          <w:tcPr>
            <w:tcW w:w="1380" w:type="dxa"/>
            <w:vAlign w:val="bottom"/>
            <w:vMerge w:val="restart"/>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ind w:right="157"/>
              <w:spacing w:after="0"/>
              <w:rPr>
                <w:sz w:val="20"/>
                <w:szCs w:val="20"/>
                <w:color w:val="auto"/>
              </w:rPr>
            </w:pPr>
            <w:r>
              <w:rPr>
                <w:rFonts w:ascii="Times New Roman" w:cs="Times New Roman" w:eastAsia="Times New Roman" w:hAnsi="Times New Roman"/>
                <w:sz w:val="15"/>
                <w:szCs w:val="15"/>
                <w:b w:val="1"/>
                <w:bCs w:val="1"/>
                <w:color w:val="auto"/>
              </w:rPr>
              <w:t>Weighted Average</w:t>
            </w:r>
          </w:p>
        </w:tc>
        <w:tc>
          <w:tcPr>
            <w:tcW w:w="0" w:type="dxa"/>
            <w:vAlign w:val="bottom"/>
          </w:tcPr>
          <w:p>
            <w:pPr>
              <w:spacing w:after="0"/>
              <w:rPr>
                <w:sz w:val="1"/>
                <w:szCs w:val="1"/>
                <w:color w:val="auto"/>
              </w:rPr>
            </w:pPr>
          </w:p>
        </w:tc>
      </w:tr>
      <w:tr>
        <w:trPr>
          <w:trHeight w:val="206"/>
        </w:trPr>
        <w:tc>
          <w:tcPr>
            <w:tcW w:w="824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5"/>
                <w:szCs w:val="15"/>
                <w:b w:val="1"/>
                <w:bCs w:val="1"/>
                <w:color w:val="auto"/>
              </w:rPr>
              <w:t>Grant Date Fair Value</w:t>
            </w:r>
          </w:p>
        </w:tc>
        <w:tc>
          <w:tcPr>
            <w:tcW w:w="0" w:type="dxa"/>
            <w:vAlign w:val="bottom"/>
          </w:tcPr>
          <w:p>
            <w:pPr>
              <w:spacing w:after="0"/>
              <w:rPr>
                <w:sz w:val="1"/>
                <w:szCs w:val="1"/>
                <w:color w:val="auto"/>
              </w:rPr>
            </w:pPr>
          </w:p>
        </w:tc>
      </w:tr>
      <w:tr>
        <w:trPr>
          <w:trHeight w:val="234"/>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January 1, 2019</w:t>
            </w:r>
          </w:p>
        </w:tc>
        <w:tc>
          <w:tcPr>
            <w:tcW w:w="13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156,293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55.66</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21,186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37.97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56.09</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55.18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March 31, 2019</w:t>
            </w:r>
          </w:p>
        </w:tc>
        <w:tc>
          <w:tcPr>
            <w:tcW w:w="13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77,491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50.29</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Canadian Plan</w:t>
      </w:r>
    </w:p>
    <w:p>
      <w:pPr>
        <w:spacing w:after="0" w:line="17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Share Award Plan of Westwood Holdings Group, Inc. for Service Provided in Canada to its Subsidiaries (the “Canadian Plan”) provides compensation in the form of common stock for services performed by employees of Westwood International. Under the Canadian Plan, no more than $10 million CDN ($7.5 million in U.S. Dollars using the exchange rate on March 31, 2019) may be funded to the plan trustee for purchases of common stock with respect to awards granted under the Canadian Plan. At March 31, 2019, approximately $2.3 million CDN ($1.7 million in U.S. Dollars using the exchange rate on March 31, 2019) remains available for issuance under the Canadian Plan, or approximately 48,000 shares based on the closing share price of our stock of $35.27 as of March 31, 2019. During the first three months of 2019, the trust formed pursuant to the Canadian Plan purchased in the open market 25,047 Westwood common shares for approximately $980,000. As of March 31, 2019, the trust holds 61,078 shares of Westwood common stock. As of March 31, 2019, unrecognized compensation cost related to restricted stock grants under the Canadian Plan totaled $1.3 million, which we expect to recognize over a weighted-average period of 2.2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Mutual Fund Share Incentive Awards</w:t>
      </w:r>
    </w:p>
    <w:p>
      <w:pPr>
        <w:spacing w:after="0" w:line="175" w:lineRule="exact"/>
        <w:rPr>
          <w:sz w:val="20"/>
          <w:szCs w:val="20"/>
          <w:color w:val="auto"/>
        </w:rPr>
      </w:pPr>
    </w:p>
    <w:p>
      <w:pPr>
        <w:ind w:right="20" w:firstLine="500"/>
        <w:spacing w:after="0" w:line="256" w:lineRule="auto"/>
        <w:rPr>
          <w:sz w:val="20"/>
          <w:szCs w:val="20"/>
          <w:color w:val="auto"/>
        </w:rPr>
      </w:pPr>
      <w:r>
        <w:rPr>
          <w:rFonts w:ascii="Times New Roman" w:cs="Times New Roman" w:eastAsia="Times New Roman" w:hAnsi="Times New Roman"/>
          <w:sz w:val="18"/>
          <w:szCs w:val="18"/>
          <w:color w:val="auto"/>
        </w:rPr>
        <w:t xml:space="preserve">We grant annually to certain employees mutual fund incentive awards, which are bonus awards based on our mutual funds achieving specific performance goals. Awards granted are notionally credited to a participant account maintained by us that contains a number of mutual fund shares equal to the award amount divided by the net closing value of a fund share on the date the amount is credited to the account. We maintain the award in a corporate investment account until vesting. </w:t>
      </w:r>
      <w:r>
        <w:rPr>
          <w:rFonts w:ascii="Times New Roman" w:cs="Times New Roman" w:eastAsia="Times New Roman" w:hAnsi="Times New Roman"/>
          <w:sz w:val="18"/>
          <w:szCs w:val="18"/>
          <w:color w:val="222222"/>
        </w:rPr>
        <w:t>The investment may increase or decrease based on changes in the value of the mutual fund shares awarded, 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reinvested income from the mutual funds during the vesting period. </w:t>
      </w:r>
      <w:r>
        <w:rPr>
          <w:rFonts w:ascii="Times New Roman" w:cs="Times New Roman" w:eastAsia="Times New Roman" w:hAnsi="Times New Roman"/>
          <w:sz w:val="18"/>
          <w:szCs w:val="18"/>
          <w:color w:val="000000"/>
        </w:rPr>
        <w:t>Unvested mutual fund awards are included under</w:t>
      </w:r>
      <w:r>
        <w:rPr>
          <w:rFonts w:ascii="Times New Roman" w:cs="Times New Roman" w:eastAsia="Times New Roman" w:hAnsi="Times New Roman"/>
          <w:sz w:val="18"/>
          <w:szCs w:val="18"/>
          <w:color w:val="222222"/>
        </w:rPr>
        <w:t xml:space="preserve"> “Investments, at fair value” on our Condensed Consolidated Balance Sheets.</w:t>
      </w:r>
    </w:p>
    <w:p>
      <w:pPr>
        <w:spacing w:after="0" w:line="80" w:lineRule="exact"/>
        <w:rPr>
          <w:sz w:val="20"/>
          <w:szCs w:val="20"/>
          <w:color w:val="auto"/>
        </w:rPr>
      </w:pPr>
    </w:p>
    <w:p>
      <w:pPr>
        <w:ind w:right="20" w:firstLine="500"/>
        <w:spacing w:after="0" w:line="254" w:lineRule="auto"/>
        <w:rPr>
          <w:sz w:val="20"/>
          <w:szCs w:val="20"/>
          <w:color w:val="auto"/>
        </w:rPr>
      </w:pPr>
      <w:r>
        <w:rPr>
          <w:rFonts w:ascii="Times New Roman" w:cs="Times New Roman" w:eastAsia="Times New Roman" w:hAnsi="Times New Roman"/>
          <w:sz w:val="18"/>
          <w:szCs w:val="18"/>
          <w:color w:val="auto"/>
        </w:rPr>
        <w:t>Awards vest over approximately two years of service following the year in which the participant earned the award. We begin accruing a liability for mutual fund incentive awards when we believe it is probable that the award will be earned and record expense for these awards over the service period of the award, which is three years. During the year in which the amount of the award is determined, we record expense based on the expected value of the award. After the award is earned, we record expense based on the value of the shares awarded and the percentage of the vesting period that has elapsed. Our liability under these awards may increase or decrease based on changes in the value of the mutual fund shares awarded, including reinvested income from the mutual funds during the vesting period. Upon vesting, participants receive the value of the mutual fund share awards adjusted for earnings or losses attributable to the underlying mutual funds. For the three months ended March 31, 2019 and 2018, we recorded expense of approximately $8,000 and $174,000, respectively, related to mutual fund share incentive awards. During the first quarter of 2019, we also recorded a $134,000 credit to mutual fund expense related to the forfeiture of a mutual fund award. As of March 31, 2019 and December 31, 2018, we had an accrued liability of approximately $42,000 and $635,000, respectively, related to mutual fund share incentive awards.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7" w:right="239" w:bottom="1440" w:gutter="0" w:footer="0" w:header="0"/>
        </w:sectPr>
      </w:pPr>
    </w:p>
    <w:bookmarkStart w:id="16" w:name="page17"/>
    <w:bookmarkEnd w:id="16"/>
    <w:p>
      <w:pPr>
        <w:jc w:val="center"/>
        <w:ind w:left="340" w:right="2060"/>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2222"/>
        </w:rPr>
        <w:t>11. INCOME TAXES</w:t>
      </w:r>
    </w:p>
    <w:p>
      <w:pPr>
        <w:spacing w:after="0" w:line="22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Our effective income tax rate was 73.8% for the first quarter of 2019, compared with 23.9% for the first quarter of 2018. The current quarter rate was negatively impacted by a $638,000 discrete tax expense related to a permanent difference between book and tax restricted stock expense based on a decrease in our stock price between the grant and vesting 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Audit</w:t>
      </w:r>
    </w:p>
    <w:p>
      <w:pPr>
        <w:spacing w:after="0" w:line="121"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state and foreign jurisdictions. Our 2015, 2016 and 2017 tax returns are currently under audit in a state jurisdiction in which we operate. It is reasonably possible that the audits may be completed during the next twelve months, and we do not expect the result of the audits to have a material impact on our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2222"/>
        </w:rPr>
        <w:t>12. RELATED PARTY TRANSACTIONS</w:t>
      </w:r>
    </w:p>
    <w:p>
      <w:pPr>
        <w:spacing w:after="0" w:line="175" w:lineRule="exact"/>
        <w:rPr>
          <w:sz w:val="20"/>
          <w:szCs w:val="20"/>
          <w:color w:val="auto"/>
        </w:rPr>
      </w:pPr>
    </w:p>
    <w:p>
      <w:pPr>
        <w:ind w:right="20" w:firstLine="500"/>
        <w:spacing w:after="0" w:line="266" w:lineRule="auto"/>
        <w:rPr>
          <w:sz w:val="20"/>
          <w:szCs w:val="20"/>
          <w:color w:val="auto"/>
        </w:rPr>
      </w:pPr>
      <w:r>
        <w:rPr>
          <w:rFonts w:ascii="Times New Roman" w:cs="Times New Roman" w:eastAsia="Times New Roman" w:hAnsi="Times New Roman"/>
          <w:sz w:val="18"/>
          <w:szCs w:val="18"/>
          <w:color w:val="auto"/>
        </w:rPr>
        <w:t>Some of our directors, executive officers and their affiliates invest personal funds directly in trust accounts that we manage. For the three months ended March 31, 2019 and 2018, we recorded trust fees from these accounts of $78,000 and $95,000, respectively. There was $78,000 and $84,000 due from these accounts as of March 31, 2019 and December 31, 2018, respectively.</w:t>
      </w:r>
    </w:p>
    <w:p>
      <w:pPr>
        <w:spacing w:after="0" w:line="68" w:lineRule="exact"/>
        <w:rPr>
          <w:sz w:val="20"/>
          <w:szCs w:val="20"/>
          <w:color w:val="auto"/>
        </w:rPr>
      </w:pPr>
    </w:p>
    <w:p>
      <w:pPr>
        <w:ind w:firstLine="500"/>
        <w:spacing w:after="0" w:line="254" w:lineRule="auto"/>
        <w:rPr>
          <w:sz w:val="20"/>
          <w:szCs w:val="20"/>
          <w:color w:val="auto"/>
        </w:rPr>
      </w:pPr>
      <w:r>
        <w:rPr>
          <w:rFonts w:ascii="Times New Roman" w:cs="Times New Roman" w:eastAsia="Times New Roman" w:hAnsi="Times New Roman"/>
          <w:sz w:val="18"/>
          <w:szCs w:val="18"/>
          <w:color w:val="222222"/>
        </w:rPr>
        <w:t xml:space="preserve">The Company engages in transactions with its affiliates in the ordinary course of business. Westwood International and </w:t>
      </w:r>
      <w:r>
        <w:rPr>
          <w:rFonts w:ascii="Times New Roman" w:cs="Times New Roman" w:eastAsia="Times New Roman" w:hAnsi="Times New Roman"/>
          <w:sz w:val="18"/>
          <w:szCs w:val="18"/>
          <w:color w:val="000000"/>
        </w:rPr>
        <w:t>Westwood Management</w:t>
      </w:r>
      <w:r>
        <w:rPr>
          <w:rFonts w:ascii="Times New Roman" w:cs="Times New Roman" w:eastAsia="Times New Roman" w:hAnsi="Times New Roman"/>
          <w:sz w:val="18"/>
          <w:szCs w:val="18"/>
          <w:color w:val="222222"/>
        </w:rPr>
        <w:t xml:space="preserve"> provide investment advisory services to the Westwood Funds®, and Westwood International provides investment advisory services to the UCITS Fund. Certain members of our management serve on the board of directors of the UCITS Fund, and we have capital invested in three of the Westwood Funds®. Under the terms of the investment advisory agreements, the Company earns quarterly fees paid by clients of the fund or by the funds directly. The fees are based on negotiated fee schedules applied to assets under management. These fees are commensurate with market rates. For the three months ended March 31, 2019 and 2018, the Company earned approximately $820,000 and $1.2 million, respectively, in fees from the affiliated funds. These fees do not include fees paid directly to Westwood International by certain clients invested in the UCITS Fund that have an investment management agreement with Westwood International. As of March 31, 2019 and December 31, 2018, $311,000 and $295,000, respectively, of these fees were outstanding and included in “Accounts receivable” on our Condensed Consolidated Balance Sheets.</w:t>
      </w:r>
    </w:p>
    <w:p>
      <w:pPr>
        <w:spacing w:after="0" w:line="81" w:lineRule="exact"/>
        <w:rPr>
          <w:sz w:val="20"/>
          <w:szCs w:val="20"/>
          <w:color w:val="auto"/>
        </w:rPr>
      </w:pPr>
    </w:p>
    <w:p>
      <w:pPr>
        <w:ind w:right="260" w:firstLine="500"/>
        <w:spacing w:after="0" w:line="261" w:lineRule="auto"/>
        <w:rPr>
          <w:sz w:val="20"/>
          <w:szCs w:val="20"/>
          <w:color w:val="auto"/>
        </w:rPr>
      </w:pPr>
      <w:r>
        <w:rPr>
          <w:rFonts w:ascii="Times New Roman" w:cs="Times New Roman" w:eastAsia="Times New Roman" w:hAnsi="Times New Roman"/>
          <w:sz w:val="18"/>
          <w:szCs w:val="18"/>
          <w:color w:val="222222"/>
        </w:rPr>
        <w:t xml:space="preserve">As discussed in Note 4 “Investments,” the Company made a strategic investment in </w:t>
      </w:r>
      <w:r>
        <w:rPr>
          <w:rFonts w:ascii="Times New Roman" w:cs="Times New Roman" w:eastAsia="Times New Roman" w:hAnsi="Times New Roman"/>
          <w:sz w:val="18"/>
          <w:szCs w:val="18"/>
          <w:color w:val="000000"/>
        </w:rPr>
        <w:t>an equity position of a private company during 2018</w:t>
      </w:r>
      <w:r>
        <w:rPr>
          <w:rFonts w:ascii="Times New Roman" w:cs="Times New Roman" w:eastAsia="Times New Roman" w:hAnsi="Times New Roman"/>
          <w:sz w:val="18"/>
          <w:szCs w:val="18"/>
          <w:color w:val="222222"/>
        </w:rPr>
        <w:t>. We previously entered into a separate agreement with this private company to implement portfolio management and digital solutions products. For the three months ended March 31, 2019 and 2018, we incurred approximately $132,000 and $75,000, respectively, in expenses payable to this company, which are included in “Information technology expenses” on our Condensed Consolidated Statements of Comprehensive Income.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22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have operating leases for corporate offices and for certain office equipment. The lease terms for our corporate offices vary and have remaining lease terms ranging from 1 to 7 years. The corporate office lease payments are fixed and are based upon contractual monthly rates. The majority of our corporate office leases do not include options to extend or terminate the leases, and each lease is re-negotiated before its leasing period ends. We lease office equipment for a period of 2 years.</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20"/>
          </w:cols>
          <w:pgMar w:left="240" w:top="117" w:right="339" w:bottom="1440" w:gutter="0" w:footer="0" w:header="0"/>
        </w:sectPr>
      </w:pPr>
    </w:p>
    <w:bookmarkStart w:id="17" w:name="page18"/>
    <w:bookmarkEnd w:id="1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1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components of lease costs, as well as supplemental cash flow information, related to our leases (in thousands):</w:t>
      </w:r>
    </w:p>
    <w:p>
      <w:pPr>
        <w:spacing w:after="0" w:line="187"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38735</wp:posOffset>
            </wp:positionV>
            <wp:extent cx="19469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cost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436</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474</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254</w:t>
            </w:r>
          </w:p>
        </w:tc>
      </w:tr>
      <w:tr>
        <w:trPr>
          <w:trHeight w:val="27"/>
        </w:trPr>
        <w:tc>
          <w:tcPr>
            <w:tcW w:w="83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Operating lease cost is included in “General and administrative” expense on our Condensed Consolidated Statements of Comprehensive Income.</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information regarding our operating leases (in thousands, except years and rates):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2019</w:t>
            </w:r>
          </w:p>
        </w:tc>
        <w:tc>
          <w:tcPr>
            <w:tcW w:w="120" w:type="dxa"/>
            <w:vAlign w:val="bottom"/>
          </w:tcPr>
          <w:p>
            <w:pPr>
              <w:spacing w:after="0"/>
              <w:rPr>
                <w:sz w:val="18"/>
                <w:szCs w:val="18"/>
                <w:color w:val="auto"/>
              </w:rPr>
            </w:pPr>
          </w:p>
        </w:tc>
        <w:tc>
          <w:tcPr>
            <w:tcW w:w="1440" w:type="dxa"/>
            <w:vAlign w:val="bottom"/>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8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8,472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8,698</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1,432</w:t>
            </w: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8,949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9,331</w:t>
            </w:r>
          </w:p>
        </w:tc>
      </w:tr>
      <w:tr>
        <w:trPr>
          <w:trHeight w:val="237"/>
        </w:trPr>
        <w:tc>
          <w:tcPr>
            <w:tcW w:w="8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lease liabilities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10,487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10,763</w:t>
            </w: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remaining lease term - (in years)</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6.6</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05"/>
        </w:trPr>
        <w:tc>
          <w:tcPr>
            <w:tcW w:w="8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maturities of lease liabilities are as follows (in thousands):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2"/>
        </w:trPr>
        <w:tc>
          <w:tcPr>
            <w:tcW w:w="82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33"/>
        </w:trPr>
        <w:tc>
          <w:tcPr>
            <w:tcW w:w="8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 (excluding the three months ended March 31, 2019)</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1,572</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2,119</w:t>
            </w: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2,083</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1,717</w:t>
            </w: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1,719</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1,550</w:t>
            </w: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1,852</w:t>
            </w:r>
          </w:p>
        </w:tc>
      </w:tr>
      <w:tr>
        <w:trPr>
          <w:trHeight w:val="237"/>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12,612</w:t>
            </w:r>
          </w:p>
        </w:tc>
      </w:tr>
      <w:tr>
        <w:trPr>
          <w:trHeight w:val="27"/>
        </w:trPr>
        <w:tc>
          <w:tcPr>
            <w:tcW w:w="8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discount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r>
      <w:tr>
        <w:trPr>
          <w:trHeight w:val="257"/>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10,487</w:t>
            </w:r>
          </w:p>
        </w:tc>
      </w:tr>
      <w:tr>
        <w:trPr>
          <w:trHeight w:val="20"/>
        </w:trPr>
        <w:tc>
          <w:tcPr>
            <w:tcW w:w="8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175" w:lineRule="exact"/>
        <w:rPr>
          <w:sz w:val="20"/>
          <w:szCs w:val="20"/>
          <w:color w:val="auto"/>
        </w:rPr>
      </w:pPr>
    </w:p>
    <w:p>
      <w:pPr>
        <w:ind w:firstLine="500"/>
        <w:spacing w:after="0" w:line="255" w:lineRule="auto"/>
        <w:rPr>
          <w:sz w:val="20"/>
          <w:szCs w:val="20"/>
          <w:color w:val="auto"/>
        </w:rPr>
      </w:pPr>
      <w:r>
        <w:rPr>
          <w:rFonts w:ascii="Times New Roman" w:cs="Times New Roman" w:eastAsia="Times New Roman" w:hAnsi="Times New Roman"/>
          <w:sz w:val="18"/>
          <w:szCs w:val="18"/>
          <w:color w:val="auto"/>
        </w:rPr>
        <w:t>We operate two segments: Advisory and Trust. These segments are managed separately based on the types of products and services offered and their related client bases. The Company’s segment information is prepared on the same basis that management reviews the financial information for operational decision-making purposes. The Company’s chief operating decision maker, our Chief Executive Officer, evaluates the performance of our segments based primarily on fee revenues and Economic Earnings. 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7" w:right="239" w:bottom="1440" w:gutter="0" w:footer="0" w:header="0"/>
        </w:sectPr>
      </w:pPr>
    </w:p>
    <w:bookmarkStart w:id="18" w:name="page19"/>
    <w:bookmarkEnd w:id="1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w:t>
      </w:r>
    </w:p>
    <w:p>
      <w:pPr>
        <w:spacing w:after="0" w:line="121" w:lineRule="exact"/>
        <w:rPr>
          <w:sz w:val="20"/>
          <w:szCs w:val="20"/>
          <w:color w:val="auto"/>
        </w:rPr>
      </w:pPr>
    </w:p>
    <w:p>
      <w:pPr>
        <w:ind w:right="440" w:firstLine="500"/>
        <w:spacing w:after="0" w:line="289" w:lineRule="auto"/>
        <w:rPr>
          <w:sz w:val="20"/>
          <w:szCs w:val="20"/>
          <w:color w:val="auto"/>
        </w:rPr>
      </w:pPr>
      <w:r>
        <w:rPr>
          <w:rFonts w:ascii="Times New Roman" w:cs="Times New Roman" w:eastAsia="Times New Roman" w:hAnsi="Times New Roman"/>
          <w:sz w:val="17"/>
          <w:szCs w:val="17"/>
          <w:color w:val="auto"/>
        </w:rPr>
        <w:t>Our Advisory segment provides investment advisory services to corporate retirement plans, public retirement plans, endowments, foundations, individuals, the Westwood Funds</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color w:val="auto"/>
        </w:rPr>
        <w:t>, and the UCITS Fund, as well as investment subadvisory services to mutual funds and our Trust segment. Westwood Management and Westwood International, which provide investment advisory services to similar clients, are included in our Advisory segment.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Trust provides trust and custodial services and participation in common trust funds that it sponsors to institutions and high net worth individuals.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Westwood Trust is included in our Trust segment.</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Westwood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820" w:type="dxa"/>
            <w:vAlign w:val="bottom"/>
          </w:tcPr>
          <w:p>
            <w:pPr>
              <w:ind w:left="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6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Holdings</w:t>
            </w:r>
          </w:p>
        </w:tc>
        <w:tc>
          <w:tcPr>
            <w:tcW w:w="16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33"/>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2019</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16,586</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6,539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23,125</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interest and dividend revenue</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426</w:t>
            </w:r>
          </w:p>
        </w:tc>
        <w:tc>
          <w:tcPr>
            <w:tcW w:w="0" w:type="dxa"/>
            <w:vAlign w:val="bottom"/>
          </w:tcPr>
          <w:p>
            <w:pPr>
              <w:spacing w:after="0"/>
              <w:rPr>
                <w:sz w:val="1"/>
                <w:szCs w:val="1"/>
                <w:color w:val="auto"/>
              </w:rPr>
            </w:pPr>
          </w:p>
        </w:tc>
      </w:tr>
      <w:tr>
        <w:trPr>
          <w:trHeight w:val="217"/>
        </w:trPr>
        <w:tc>
          <w:tcPr>
            <w:tcW w:w="4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18,259</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6,690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23,862</w:t>
            </w:r>
          </w:p>
        </w:tc>
        <w:tc>
          <w:tcPr>
            <w:tcW w:w="0" w:type="dxa"/>
            <w:vAlign w:val="bottom"/>
          </w:tcPr>
          <w:p>
            <w:pPr>
              <w:spacing w:after="0"/>
              <w:rPr>
                <w:sz w:val="1"/>
                <w:szCs w:val="1"/>
                <w:color w:val="auto"/>
              </w:rPr>
            </w:pPr>
          </w:p>
        </w:tc>
      </w:tr>
      <w:tr>
        <w:trPr>
          <w:trHeight w:val="73"/>
        </w:trPr>
        <w:tc>
          <w:tcPr>
            <w:tcW w:w="48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Economic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4,880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1,253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4,116</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Restricted stock expense</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3,252</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Intangible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237"/>
        </w:trPr>
        <w:tc>
          <w:tcPr>
            <w:tcW w:w="48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Deferred taxes on goodwill</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33"/>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Segment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226,362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62,696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19,746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181,149</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Segment goodwill</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3,403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16,401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19,804</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2018</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25,818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33,427</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2,037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interest and dividend revenue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net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33"/>
        </w:trPr>
        <w:tc>
          <w:tcPr>
            <w:tcW w:w="4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27,953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33,567</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Economic Earnings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20" w:type="dxa"/>
            <w:vAlign w:val="bottom"/>
            <w:vMerge w:val="continue"/>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13,800</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12,642</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Restricted stock expense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4,187</w:t>
            </w:r>
          </w:p>
        </w:tc>
        <w:tc>
          <w:tcPr>
            <w:tcW w:w="0" w:type="dxa"/>
            <w:vAlign w:val="bottom"/>
          </w:tcPr>
          <w:p>
            <w:pPr>
              <w:spacing w:after="0"/>
              <w:rPr>
                <w:sz w:val="1"/>
                <w:szCs w:val="1"/>
                <w:color w:val="auto"/>
              </w:rPr>
            </w:pPr>
          </w:p>
        </w:tc>
      </w:tr>
      <w:tr>
        <w:trPr>
          <w:trHeight w:val="237"/>
        </w:trPr>
        <w:tc>
          <w:tcPr>
            <w:tcW w:w="48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Intangible amortization</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Deferred taxes on goodwill</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7"/>
        </w:trPr>
        <w:tc>
          <w:tcPr>
            <w:tcW w:w="4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7,978</w:t>
            </w:r>
          </w:p>
        </w:tc>
        <w:tc>
          <w:tcPr>
            <w:tcW w:w="0" w:type="dxa"/>
            <w:vAlign w:val="bottom"/>
          </w:tcPr>
          <w:p>
            <w:pPr>
              <w:spacing w:after="0"/>
              <w:rPr>
                <w:sz w:val="1"/>
                <w:szCs w:val="1"/>
                <w:color w:val="auto"/>
              </w:rPr>
            </w:pPr>
          </w:p>
        </w:tc>
      </w:tr>
      <w:tr>
        <w:trPr>
          <w:trHeight w:val="73"/>
        </w:trPr>
        <w:tc>
          <w:tcPr>
            <w:tcW w:w="482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9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CCEEFF"/>
            </w:tcBorders>
          </w:tcPr>
          <w:p>
            <w:pPr>
              <w:spacing w:after="0"/>
              <w:rPr>
                <w:sz w:val="6"/>
                <w:szCs w:val="6"/>
                <w:color w:val="auto"/>
              </w:rPr>
            </w:pPr>
          </w:p>
        </w:tc>
        <w:tc>
          <w:tcPr>
            <w:tcW w:w="9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96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1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4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Segment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204,343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60,584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18,132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(107,943)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175,116</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Segment goodwill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3,403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16,401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19,804</w:t>
            </w:r>
          </w:p>
        </w:tc>
        <w:tc>
          <w:tcPr>
            <w:tcW w:w="0" w:type="dxa"/>
            <w:vAlign w:val="bottom"/>
          </w:tcPr>
          <w:p>
            <w:pPr>
              <w:spacing w:after="0"/>
              <w:rPr>
                <w:sz w:val="1"/>
                <w:szCs w:val="1"/>
                <w:color w:val="auto"/>
              </w:rPr>
            </w:pPr>
          </w:p>
        </w:tc>
      </w:tr>
      <w:tr>
        <w:trPr>
          <w:trHeight w:val="33"/>
        </w:trPr>
        <w:tc>
          <w:tcPr>
            <w:tcW w:w="4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80" w:firstLine="500"/>
        <w:spacing w:after="0" w:line="266" w:lineRule="auto"/>
        <w:rPr>
          <w:sz w:val="20"/>
          <w:szCs w:val="20"/>
          <w:color w:val="auto"/>
        </w:rPr>
      </w:pPr>
      <w:r>
        <w:rPr>
          <w:rFonts w:ascii="Times New Roman" w:cs="Times New Roman" w:eastAsia="Times New Roman" w:hAnsi="Times New Roman"/>
          <w:sz w:val="18"/>
          <w:szCs w:val="18"/>
          <w:color w:val="auto"/>
        </w:rPr>
        <w:t>We are providing a performance measure that we refer to as Economic Earnings. Our management and the Board of Directors review Economic Earnings to evaluate our ongoing performance, allocate resources and determine our dividend policy. We also believe that this performance measure is useful for management and investors when evaluating our underlying operating and financial performance and our available resources.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7" w:right="239" w:bottom="1440" w:gutter="0" w:footer="0" w:header="0"/>
        </w:sectPr>
      </w:pPr>
    </w:p>
    <w:bookmarkStart w:id="19" w:name="page20"/>
    <w:bookmarkEnd w:id="1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10" w:lineRule="exact"/>
        <w:rPr>
          <w:sz w:val="20"/>
          <w:szCs w:val="20"/>
          <w:color w:val="auto"/>
        </w:rPr>
      </w:pPr>
    </w:p>
    <w:p>
      <w:pPr>
        <w:ind w:right="80" w:firstLine="500"/>
        <w:spacing w:after="0" w:line="261" w:lineRule="auto"/>
        <w:rPr>
          <w:sz w:val="20"/>
          <w:szCs w:val="20"/>
          <w:color w:val="auto"/>
        </w:rPr>
      </w:pPr>
      <w:r>
        <w:rPr>
          <w:rFonts w:ascii="Times New Roman" w:cs="Times New Roman" w:eastAsia="Times New Roman" w:hAnsi="Times New Roman"/>
          <w:sz w:val="18"/>
          <w:szCs w:val="18"/>
          <w:color w:val="auto"/>
        </w:rPr>
        <w:t>In calculating Economic Earnings, we add to net income the non-cash expense associated with equity-based compensation awards of restricted stock, amortization of intangible assets and the deferred taxes related to the tax-basis amortization of goodwill. Although depreciation on property and equipment is a non-cash expense, we do not add it back when calculating Economic Earnings because depreciation charges represent a decline in the value of the related assets that will ultimately require replacement.</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provide a reconciliation of Net income to Economic Earnings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4"/>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47"/>
        </w:trPr>
        <w:tc>
          <w:tcPr>
            <w:tcW w:w="88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31"/>
        </w:trPr>
        <w:tc>
          <w:tcPr>
            <w:tcW w:w="8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7,978</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 Stock-based compensation expense</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4,187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 Intangible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418</w:t>
            </w: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 Tax benefit from goodwill amortization</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Economic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12,642</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Declared</w:t>
      </w:r>
    </w:p>
    <w:p>
      <w:pPr>
        <w:spacing w:after="0" w:line="175" w:lineRule="exact"/>
        <w:rPr>
          <w:sz w:val="20"/>
          <w:szCs w:val="20"/>
          <w:color w:val="auto"/>
        </w:rPr>
      </w:pPr>
    </w:p>
    <w:p>
      <w:pPr>
        <w:ind w:right="40" w:firstLine="500"/>
        <w:spacing w:after="0" w:line="282" w:lineRule="auto"/>
        <w:rPr>
          <w:sz w:val="20"/>
          <w:szCs w:val="20"/>
          <w:color w:val="auto"/>
        </w:rPr>
      </w:pPr>
      <w:r>
        <w:rPr>
          <w:rFonts w:ascii="Times New Roman" w:cs="Times New Roman" w:eastAsia="Times New Roman" w:hAnsi="Times New Roman"/>
          <w:sz w:val="18"/>
          <w:szCs w:val="18"/>
          <w:color w:val="auto"/>
        </w:rPr>
        <w:t>In April 2019, Westwood’s Board of Directors declared a quarterly cash dividend of $0.72 per common share, payable on July 1, 2019, to stockholders of record on June 7, 2019.</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7" w:right="239" w:bottom="1440" w:gutter="0" w:footer="0" w:header="0"/>
        </w:sectPr>
      </w:pPr>
    </w:p>
    <w:bookmarkStart w:id="20" w:name="page21"/>
    <w:bookmarkEnd w:id="20"/>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80" w:firstLine="500"/>
        <w:spacing w:after="0" w:line="255" w:lineRule="auto"/>
        <w:rPr>
          <w:sz w:val="20"/>
          <w:szCs w:val="20"/>
          <w:color w:val="auto"/>
        </w:rPr>
      </w:pPr>
      <w:r>
        <w:rPr>
          <w:rFonts w:ascii="Times New Roman" w:cs="Times New Roman" w:eastAsia="Times New Roman" w:hAnsi="Times New Roman"/>
          <w:sz w:val="18"/>
          <w:szCs w:val="18"/>
          <w:color w:val="auto"/>
        </w:rPr>
        <w:t>Statements in this report and the Annual Report to Stockholders that are not purely historical facts, including, without limitation, statements about our expected future financial position, results of operations or cash flows, as well as other statements including, without limitation, words such as “anticipate,” “believe,” “plan,” “estimate,” “expect,” “intend,” “should,” “could,” “goal,” “may,” “target,” “designed,” “on track,” “comfortable with,” “optimistic”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risks described under “Risk Factors” in our Annual Report on Form 10-K for the year ended December 31, 2018, filed with the SEC, and those risks set forth below:</w:t>
      </w:r>
    </w:p>
    <w:p>
      <w:pPr>
        <w:spacing w:after="0" w:line="81" w:lineRule="exact"/>
        <w:rPr>
          <w:sz w:val="20"/>
          <w:szCs w:val="20"/>
          <w:color w:val="auto"/>
        </w:rPr>
      </w:pPr>
    </w:p>
    <w:p>
      <w:pPr>
        <w:ind w:left="1800" w:hanging="576"/>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and market value of our assets under management;</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adversely affecting the financial services industry;</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investment management industry;</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assets under management includes investments in foreign companies;</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investment strategies successfully;</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our relationships with current and potential customers;</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cyber security;</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perform operational tasks;</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execute on our strategic initiatives;</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information systems;</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 and oversee third-party vendors;</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risks;</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address conflicts of interest;</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insurance coverage;</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fee structure in light of competitive fee pressures;</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investment consulting firms; and</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concentration of our revenues in a small number of customers.</w:t>
      </w:r>
    </w:p>
    <w:p>
      <w:pPr>
        <w:spacing w:after="0" w:line="17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You should not unduly rely on these forward-looking statements, which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360" w:right="2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40" w:firstLine="500"/>
        <w:spacing w:after="0" w:line="255" w:lineRule="auto"/>
        <w:rPr>
          <w:sz w:val="20"/>
          <w:szCs w:val="20"/>
          <w:color w:val="auto"/>
        </w:rPr>
      </w:pPr>
      <w:r>
        <w:rPr>
          <w:rFonts w:ascii="Times New Roman" w:cs="Times New Roman" w:eastAsia="Times New Roman" w:hAnsi="Times New Roman"/>
          <w:sz w:val="18"/>
          <w:szCs w:val="18"/>
          <w:color w:val="auto"/>
        </w:rPr>
        <w:t>We manage investment assets and provide services for our clients through our subsidiaries, Westwood Management Corp. and Westwood Advisors, L.L.C. (each of which is an SEC-registered investment advisor and referred to hereinafter together as “Westwood Management”), Westwood International Advisors Inc. (“Westwood International”) and Westwood Trust. Westwood Management provides investment advisory services to institutional investors, a family of mutual funds called the Westwood Funds®, other mutual funds, an Irish investment company authorized pursuant to the European Communities (Undertakings for Collective Investment in Transferable Securities) Regulation 2011 (as amended) (the “UCITS Fund”), individuals and clients of Westwood Trust. Westwood International provides investment advisory services to institutional clients, the Westwood Funds®, other mutual funds, the UCITS Fund and clients of Westwood Trust. Westwood Trust provides trust and custodial services and participation in common trust funds to institutions and high net worth individuals. Our revenues are generally derived from fees based on a percentage of assets under management.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Divestiture of our Omaha Operations</w:t>
      </w:r>
    </w:p>
    <w:p>
      <w:pPr>
        <w:spacing w:after="0" w:line="173" w:lineRule="exact"/>
        <w:rPr>
          <w:sz w:val="20"/>
          <w:szCs w:val="20"/>
          <w:color w:val="auto"/>
        </w:rPr>
      </w:pPr>
    </w:p>
    <w:p>
      <w:pPr>
        <w:ind w:right="40" w:firstLine="500"/>
        <w:spacing w:after="0" w:line="261" w:lineRule="auto"/>
        <w:rPr>
          <w:sz w:val="20"/>
          <w:szCs w:val="20"/>
          <w:color w:val="auto"/>
        </w:rPr>
      </w:pPr>
      <w:r>
        <w:rPr>
          <w:rFonts w:ascii="Times New Roman" w:cs="Times New Roman" w:eastAsia="Times New Roman" w:hAnsi="Times New Roman"/>
          <w:sz w:val="18"/>
          <w:szCs w:val="18"/>
          <w:color w:val="auto"/>
        </w:rPr>
        <w:t>On September 6, 2017, we entered into an agreement to sell the Omaha-based component of our Wealth Management business. The sale closed on January 12, 2018. We received proceeds of $10.0 million, net of working capital requirements, and recorded a gain on the sale of $524,000, which is included as “Gain on sale of operations” on our Consolidated Statement of Comprehensive Income. The component is reported within both our Advisory and Trust segments. The sale did not represent a major strategic shift in our business and did not qualify for discontinued operations reporting.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firstLine="500"/>
        <w:spacing w:after="0" w:line="254" w:lineRule="auto"/>
        <w:rPr>
          <w:sz w:val="20"/>
          <w:szCs w:val="20"/>
          <w:color w:val="auto"/>
        </w:rPr>
      </w:pPr>
      <w:r>
        <w:rPr>
          <w:rFonts w:ascii="Times New Roman" w:cs="Times New Roman" w:eastAsia="Times New Roman" w:hAnsi="Times New Roman"/>
          <w:sz w:val="18"/>
          <w:szCs w:val="18"/>
          <w:color w:val="auto"/>
        </w:rPr>
        <w:t>We derive our revenues from investment advisory fees, trust fees and other revenues. Our advisory fees are generated by Westwood Management and Westwood International, which manage client accounts under investment advisory and subadvisory agreements. Advisory fees are typically calculated based on a percentage of assets under management and are paid in accordance with the terms of the agreements. Advisory fees are paid quarterly in advance based on assets under management on the last day of the preceding quarter, quarterly in arrears based on assets under management on the last day of the quarter just ended or are based on a daily or monthly analysis of assets under management for the stated period. We recognize advisory fee revenues as services are rendered. A limited number of our clients have a contractual performance-based fee component in their contracts, which generates additional revenues if we outperform a specified index over a specific period of time. We record revenues from performance-based fees at the end of the measurement period. Since our advance paying clients' billing periods coincide with the calendar quarter to which such payments relate, revenue is recognized within the quarter, and our Condensed Consolidated Financial Statements contain no deferred advisory fee revenues.</w:t>
      </w:r>
    </w:p>
    <w:p>
      <w:pPr>
        <w:spacing w:after="0" w:line="81" w:lineRule="exact"/>
        <w:rPr>
          <w:sz w:val="20"/>
          <w:szCs w:val="20"/>
          <w:color w:val="auto"/>
        </w:rPr>
      </w:pPr>
    </w:p>
    <w:p>
      <w:pPr>
        <w:ind w:right="100" w:firstLine="500"/>
        <w:spacing w:after="0" w:line="256" w:lineRule="auto"/>
        <w:rPr>
          <w:sz w:val="20"/>
          <w:szCs w:val="20"/>
          <w:color w:val="auto"/>
        </w:rPr>
      </w:pPr>
      <w:r>
        <w:rPr>
          <w:rFonts w:ascii="Times New Roman" w:cs="Times New Roman" w:eastAsia="Times New Roman" w:hAnsi="Times New Roman"/>
          <w:sz w:val="18"/>
          <w:szCs w:val="18"/>
          <w:color w:val="auto"/>
        </w:rPr>
        <w:t>Our trust fees are generated by Westwood Trust pursuant to trust or custodial agreements. Trust fees are separately negotiated with each client and are generally based on a percentage of assets under management. Westwood Trust also provides trust services to a small number of clients on a fixed fee basis. Trust fees are primarily either calculated quarterly in arrears based on a daily average of assets under management for the quarter. Since billing periods for most of Westwood Trust’s clients coincide with the calendar quarter or monthly based on the month-end assets under management. Since billing periods for most of Westwood Trust's clients coincide with the calendar quarter, revenue is fully recognized within the quarter, and our Condensed Consolidated Financial Statements do not contain a significant amount of deferred trust fee revenues.</w:t>
      </w:r>
    </w:p>
    <w:p>
      <w:pPr>
        <w:spacing w:after="0" w:line="80" w:lineRule="exact"/>
        <w:rPr>
          <w:sz w:val="20"/>
          <w:szCs w:val="20"/>
          <w:color w:val="auto"/>
        </w:rPr>
      </w:pPr>
    </w:p>
    <w:p>
      <w:pPr>
        <w:ind w:right="60" w:firstLine="500"/>
        <w:spacing w:after="0" w:line="282" w:lineRule="auto"/>
        <w:rPr>
          <w:sz w:val="20"/>
          <w:szCs w:val="20"/>
          <w:color w:val="auto"/>
        </w:rPr>
      </w:pPr>
      <w:r>
        <w:rPr>
          <w:rFonts w:ascii="Times New Roman" w:cs="Times New Roman" w:eastAsia="Times New Roman" w:hAnsi="Times New Roman"/>
          <w:sz w:val="18"/>
          <w:szCs w:val="18"/>
          <w:color w:val="auto"/>
        </w:rPr>
        <w:t>Our other revenues generally consist of interest and investment income. Although we generally invest most of our cash in U.S. Treasury securities, we also invest in equity and fixed income instruments and money market funds, including seed money for new investment strategies.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Compensation and Benefits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Employee compensation and benefits expenses generally consist of salaries, incentive compensation, equity-based compensation and benefits.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Sales and marketing expenses relate to our marketing efforts, including travel and entertainment, direct marketing and advertising costs.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Westwood Mutual Funds</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Westwood Mutual Funds expenses relate to our marketing, distribution and administration of the Westwood Funds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684" w:right="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Information Technology</w:t>
      </w:r>
    </w:p>
    <w:p>
      <w:pPr>
        <w:spacing w:after="0" w:line="119" w:lineRule="exact"/>
        <w:rPr>
          <w:sz w:val="20"/>
          <w:szCs w:val="20"/>
          <w:color w:val="auto"/>
        </w:rPr>
      </w:pPr>
    </w:p>
    <w:p>
      <w:pPr>
        <w:ind w:right="60" w:firstLine="554"/>
        <w:spacing w:after="0" w:line="282" w:lineRule="auto"/>
        <w:rPr>
          <w:sz w:val="20"/>
          <w:szCs w:val="20"/>
          <w:color w:val="auto"/>
        </w:rPr>
      </w:pPr>
      <w:r>
        <w:rPr>
          <w:rFonts w:ascii="Times New Roman" w:cs="Times New Roman" w:eastAsia="Times New Roman" w:hAnsi="Times New Roman"/>
          <w:sz w:val="18"/>
          <w:szCs w:val="18"/>
          <w:color w:val="auto"/>
        </w:rPr>
        <w:t>Information technology expenses are generally costs associated with proprietary investment research tools, maintenance and support, computing hardware, software licenses, telecommunications and other related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Professional services expenses generally consist of costs associated with subadvisory fees, audit, tax, legal and other professional services.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firstLine="50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generally consist of costs associated with the lease of our office space, amortization, depreciation, insurance, custody expense, Board of Directors' fees, investor relations, licenses and fees, office supplies and other miscellaneous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on Foreign Currency Transactions</w:t>
      </w:r>
    </w:p>
    <w:p>
      <w:pPr>
        <w:spacing w:after="0" w:line="2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Gain (loss) on foreign currency transactions consists of foreign currency transactions primarily related to Westwood International Advisors.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 of Operations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Gain on sale of operations includes the gain on the sale of our Omaha-based component of our Wealth Management business.</w:t>
      </w:r>
    </w:p>
    <w:p>
      <w:pPr>
        <w:spacing w:after="0" w:line="25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240" w:top="578" w:right="6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Assets Under Management</w:t>
      </w:r>
    </w:p>
    <w:p>
      <w:pPr>
        <w:spacing w:after="0" w:line="121" w:lineRule="exact"/>
        <w:rPr>
          <w:sz w:val="20"/>
          <w:szCs w:val="20"/>
          <w:color w:val="auto"/>
        </w:rPr>
      </w:pPr>
    </w:p>
    <w:p>
      <w:pPr>
        <w:ind w:right="320" w:firstLine="500"/>
        <w:spacing w:after="0" w:line="261" w:lineRule="auto"/>
        <w:rPr>
          <w:sz w:val="20"/>
          <w:szCs w:val="20"/>
          <w:color w:val="auto"/>
        </w:rPr>
      </w:pPr>
      <w:r>
        <w:rPr>
          <w:rFonts w:ascii="Times New Roman" w:cs="Times New Roman" w:eastAsia="Times New Roman" w:hAnsi="Times New Roman"/>
          <w:sz w:val="18"/>
          <w:szCs w:val="18"/>
          <w:color w:val="auto"/>
        </w:rPr>
        <w:t>Assets under management (“AUM”) decreased $5.8 billion to $16.8 billion at March 31, 2019 compared with $22.6 billion at March 31, 2018. The average of beginning and ending assets under management for the first quarter of 2019 was $16.7 billion compared to $23.4 billion for the first quarter of 2018. These decreases are due to net outflows, including $629 million of outflows related to the sale of the Omaha-based component of our Wealth Management business, partially offset by market appreciation, over the last twelve months.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displays assets under management as of March 31, 2019 and 2018: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70"/>
        </w:trPr>
        <w:tc>
          <w:tcPr>
            <w:tcW w:w="7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275"/>
        </w:trPr>
        <w:tc>
          <w:tcPr>
            <w:tcW w:w="72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vs.</w:t>
            </w:r>
          </w:p>
        </w:tc>
        <w:tc>
          <w:tcPr>
            <w:tcW w:w="0" w:type="dxa"/>
            <w:vAlign w:val="bottom"/>
          </w:tcPr>
          <w:p>
            <w:pPr>
              <w:spacing w:after="0"/>
              <w:rPr>
                <w:sz w:val="1"/>
                <w:szCs w:val="1"/>
                <w:color w:val="auto"/>
              </w:rPr>
            </w:pPr>
          </w:p>
        </w:tc>
      </w:tr>
      <w:tr>
        <w:trPr>
          <w:trHeight w:val="264"/>
        </w:trPr>
        <w:tc>
          <w:tcPr>
            <w:tcW w:w="7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0" w:type="dxa"/>
            <w:vAlign w:val="bottom"/>
          </w:tcPr>
          <w:p>
            <w:pPr>
              <w:spacing w:after="0"/>
              <w:rPr>
                <w:sz w:val="1"/>
                <w:szCs w:val="1"/>
                <w:color w:val="auto"/>
              </w:rPr>
            </w:pPr>
          </w:p>
        </w:tc>
      </w:tr>
      <w:tr>
        <w:trPr>
          <w:trHeight w:val="222"/>
        </w:trPr>
        <w:tc>
          <w:tcPr>
            <w:tcW w:w="7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2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Institutional</w:t>
            </w:r>
            <w:r>
              <w:rPr>
                <w:rFonts w:ascii="Times New Roman" w:cs="Times New Roman" w:eastAsia="Times New Roman" w:hAnsi="Times New Roman"/>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9,235</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13,377</w:t>
            </w:r>
          </w:p>
        </w:tc>
        <w:tc>
          <w:tcPr>
            <w:tcW w:w="16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0"/>
        </w:trPr>
        <w:tc>
          <w:tcPr>
            <w:tcW w:w="720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Wealth Management</w:t>
            </w:r>
            <w:r>
              <w:rPr>
                <w:rFonts w:ascii="Times New Roman" w:cs="Times New Roman" w:eastAsia="Times New Roman" w:hAnsi="Times New Roman"/>
                <w:sz w:val="25"/>
                <w:szCs w:val="25"/>
                <w:color w:val="auto"/>
                <w:vertAlign w:val="superscript"/>
              </w:rPr>
              <w:t>(2)</w:t>
            </w:r>
          </w:p>
        </w:tc>
        <w:tc>
          <w:tcPr>
            <w:tcW w:w="30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4,368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5,001</w:t>
            </w:r>
          </w:p>
        </w:tc>
        <w:tc>
          <w:tcPr>
            <w:tcW w:w="16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0"/>
        </w:trPr>
        <w:tc>
          <w:tcPr>
            <w:tcW w:w="72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5"/>
                <w:szCs w:val="25"/>
                <w:color w:val="auto"/>
                <w:vertAlign w:val="superscript"/>
              </w:rPr>
              <w:t>(3)</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3,168</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4,244</w:t>
            </w:r>
          </w:p>
        </w:tc>
        <w:tc>
          <w:tcPr>
            <w:tcW w:w="16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64"/>
        </w:trPr>
        <w:tc>
          <w:tcPr>
            <w:tcW w:w="720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b w:val="1"/>
                <w:bCs w:val="1"/>
                <w:color w:val="auto"/>
              </w:rPr>
              <w:t>Total Assets Under Management</w:t>
            </w:r>
            <w:r>
              <w:rPr>
                <w:rFonts w:ascii="Times New Roman" w:cs="Times New Roman" w:eastAsia="Times New Roman" w:hAnsi="Times New Roman"/>
                <w:sz w:val="25"/>
                <w:szCs w:val="25"/>
                <w:b w:val="1"/>
                <w:bCs w:val="1"/>
                <w:color w:val="auto"/>
                <w:vertAlign w:val="superscript"/>
              </w:rPr>
              <w:t>(4)</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16,771</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22,622</w:t>
            </w:r>
          </w:p>
        </w:tc>
        <w:tc>
          <w:tcPr>
            <w:tcW w:w="16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2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jc w:val="both"/>
        <w:ind w:left="820" w:hanging="812"/>
        <w:spacing w:after="0" w:line="258" w:lineRule="auto"/>
        <w:tabs>
          <w:tab w:leader="none" w:pos="8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Institutional </w:t>
      </w:r>
      <w:r>
        <w:rPr>
          <w:rFonts w:ascii="Times New Roman" w:cs="Times New Roman" w:eastAsia="Times New Roman" w:hAnsi="Times New Roman"/>
          <w:sz w:val="16"/>
          <w:szCs w:val="16"/>
          <w:color w:val="auto"/>
        </w:rPr>
        <w:t>includes (i) separate accounts of corporate pension and profit sharing plans, public employee retirement funds, Taft-Hartley plans, endowments,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foundations and individuals; (ii) subadvisory relationships where Westwood provides investment management services for funds offered by other financial institutions; (iii) pooled investment vehicles, including the UCITS Fund and collective investment trusts; and (iv) managed account relationships with brokerage firms and other registered investment advisors that offer Westwood products to their customers.</w:t>
      </w:r>
    </w:p>
    <w:p>
      <w:pPr>
        <w:spacing w:after="0" w:line="19" w:lineRule="exact"/>
        <w:rPr>
          <w:rFonts w:ascii="Times New Roman" w:cs="Times New Roman" w:eastAsia="Times New Roman" w:hAnsi="Times New Roman"/>
          <w:sz w:val="16"/>
          <w:szCs w:val="16"/>
          <w:color w:val="auto"/>
        </w:rPr>
      </w:pPr>
    </w:p>
    <w:p>
      <w:pPr>
        <w:jc w:val="both"/>
        <w:ind w:left="820" w:hanging="812"/>
        <w:spacing w:after="0" w:line="253" w:lineRule="auto"/>
        <w:tabs>
          <w:tab w:leader="none" w:pos="8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Wealth Management </w:t>
      </w:r>
      <w:r>
        <w:rPr>
          <w:rFonts w:ascii="Times New Roman" w:cs="Times New Roman" w:eastAsia="Times New Roman" w:hAnsi="Times New Roman"/>
          <w:sz w:val="16"/>
          <w:szCs w:val="16"/>
          <w:color w:val="auto"/>
        </w:rPr>
        <w:t>includes assets for which Westwood Trust provides trust and custodial services and participation in common trust funds that it sponsors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institutions and high net worth individuals pursuant to trust or agency agreements and assets for which Westwood Advisors, L.L.C. provided advisory services to high net worth individuals. Investment subadvisory services are provided for the common trust funds by Westwood Management, Westwood International Advisors and external unaffiliated subadvisors. For certain assets in this category Westwood Trust currently provides limited custody services for a minimal or no fee, viewing these assets as potentially converting to fee-generating managed assets in the future. As an example, some assets in this category consist of low-basis stock currently held in custody for clients where we believe such assets may convert to fee-generating managed assets following an intergenerational transfer of wealth.</w:t>
      </w:r>
    </w:p>
    <w:p>
      <w:pPr>
        <w:spacing w:after="0" w:line="225" w:lineRule="exact"/>
        <w:rPr>
          <w:rFonts w:ascii="Times New Roman" w:cs="Times New Roman" w:eastAsia="Times New Roman" w:hAnsi="Times New Roman"/>
          <w:sz w:val="16"/>
          <w:szCs w:val="16"/>
          <w:color w:val="auto"/>
        </w:rPr>
      </w:pPr>
    </w:p>
    <w:p>
      <w:pPr>
        <w:ind w:left="820" w:hanging="812"/>
        <w:spacing w:after="0" w:line="289"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i w:val="1"/>
          <w:iCs w:val="1"/>
          <w:color w:val="auto"/>
        </w:rPr>
        <w:t xml:space="preserve">Mutual Funds </w:t>
      </w:r>
      <w:r>
        <w:rPr>
          <w:rFonts w:ascii="Times New Roman" w:cs="Times New Roman" w:eastAsia="Times New Roman" w:hAnsi="Times New Roman"/>
          <w:sz w:val="16"/>
          <w:szCs w:val="16"/>
          <w:color w:val="auto"/>
        </w:rPr>
        <w:t>include the Westwood Funds</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a family of mutual funds for which Westwood Management serves as advisor. These funds are available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individual investors, as well as offered as part of our investment strategies for institutional and private wealth accounts.</w:t>
      </w:r>
    </w:p>
    <w:p>
      <w:pPr>
        <w:spacing w:after="0" w:line="1" w:lineRule="exact"/>
        <w:rPr>
          <w:rFonts w:ascii="Times New Roman" w:cs="Times New Roman" w:eastAsia="Times New Roman" w:hAnsi="Times New Roman"/>
          <w:sz w:val="18"/>
          <w:szCs w:val="18"/>
          <w:color w:val="auto"/>
        </w:rPr>
      </w:pPr>
    </w:p>
    <w:p>
      <w:pPr>
        <w:ind w:left="820" w:hanging="812"/>
        <w:spacing w:after="0" w:line="309" w:lineRule="auto"/>
        <w:tabs>
          <w:tab w:leader="none" w:pos="8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AUM excludes $264 million and $250 million of assets under advisement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AUA</w:t>
      </w: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 as of March 31, 2019 and 2018, respectively, related to our model portfolios for which we provided consulting advice but for which we did not have direct discretionary investment authority.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684"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Roll-Forward of Assets Under Management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275"/>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0" w:type="dxa"/>
            <w:vAlign w:val="bottom"/>
          </w:tcPr>
          <w:p>
            <w:pPr>
              <w:spacing w:after="0"/>
              <w:rPr>
                <w:sz w:val="1"/>
                <w:szCs w:val="1"/>
                <w:color w:val="auto"/>
              </w:rPr>
            </w:pPr>
          </w:p>
        </w:tc>
      </w:tr>
      <w:tr>
        <w:trPr>
          <w:trHeight w:val="195"/>
        </w:trPr>
        <w:tc>
          <w:tcPr>
            <w:tcW w:w="8580" w:type="dxa"/>
            <w:vAlign w:val="bottom"/>
          </w:tcPr>
          <w:p>
            <w:pPr>
              <w:ind w:left="40"/>
              <w:spacing w:after="0"/>
              <w:rPr>
                <w:sz w:val="20"/>
                <w:szCs w:val="20"/>
                <w:color w:val="auto"/>
              </w:rPr>
            </w:pPr>
            <w:r>
              <w:rPr>
                <w:rFonts w:ascii="Times New Roman" w:cs="Times New Roman" w:eastAsia="Times New Roman" w:hAnsi="Times New Roman"/>
                <w:sz w:val="15"/>
                <w:szCs w:val="15"/>
                <w:i w:val="1"/>
                <w:iCs w:val="1"/>
                <w:color w:val="auto"/>
              </w:rPr>
              <w:t>(in millions)</w:t>
            </w:r>
          </w:p>
        </w:tc>
        <w:tc>
          <w:tcPr>
            <w:tcW w:w="260" w:type="dxa"/>
            <w:vAlign w:val="bottom"/>
          </w:tcPr>
          <w:p>
            <w:pPr>
              <w:spacing w:after="0"/>
              <w:rPr>
                <w:sz w:val="16"/>
                <w:szCs w:val="16"/>
                <w:color w:val="auto"/>
              </w:rPr>
            </w:pPr>
          </w:p>
        </w:tc>
        <w:tc>
          <w:tcPr>
            <w:tcW w:w="1100" w:type="dxa"/>
            <w:vAlign w:val="bottom"/>
            <w:vMerge w:val="restart"/>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2019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2018</w:t>
            </w:r>
          </w:p>
        </w:tc>
        <w:tc>
          <w:tcPr>
            <w:tcW w:w="0" w:type="dxa"/>
            <w:vAlign w:val="bottom"/>
          </w:tcPr>
          <w:p>
            <w:pPr>
              <w:spacing w:after="0"/>
              <w:rPr>
                <w:sz w:val="1"/>
                <w:szCs w:val="1"/>
                <w:color w:val="auto"/>
              </w:rPr>
            </w:pPr>
          </w:p>
        </w:tc>
      </w:tr>
      <w:tr>
        <w:trPr>
          <w:trHeight w:val="72"/>
        </w:trPr>
        <w:tc>
          <w:tcPr>
            <w:tcW w:w="85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Institutional</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85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Beginning of period assets</w:t>
            </w:r>
          </w:p>
        </w:tc>
        <w:tc>
          <w:tcPr>
            <w:tcW w:w="2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9,327</w:t>
            </w:r>
          </w:p>
        </w:tc>
        <w:tc>
          <w:tcPr>
            <w:tcW w:w="120" w:type="dxa"/>
            <w:vAlign w:val="bottom"/>
          </w:tcPr>
          <w:p>
            <w:pPr>
              <w:spacing w:after="0"/>
              <w:rPr>
                <w:sz w:val="20"/>
                <w:szCs w:val="20"/>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14,421</w:t>
            </w:r>
          </w:p>
        </w:tc>
        <w:tc>
          <w:tcPr>
            <w:tcW w:w="0" w:type="dxa"/>
            <w:vAlign w:val="bottom"/>
          </w:tcPr>
          <w:p>
            <w:pPr>
              <w:spacing w:after="0"/>
              <w:rPr>
                <w:sz w:val="1"/>
                <w:szCs w:val="1"/>
                <w:color w:val="auto"/>
              </w:rPr>
            </w:pPr>
          </w:p>
        </w:tc>
      </w:tr>
      <w:tr>
        <w:trPr>
          <w:trHeight w:val="29"/>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Inflows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393</w:t>
            </w:r>
          </w:p>
        </w:tc>
        <w:tc>
          <w:tcPr>
            <w:tcW w:w="0" w:type="dxa"/>
            <w:vAlign w:val="bottom"/>
          </w:tcPr>
          <w:p>
            <w:pPr>
              <w:spacing w:after="0"/>
              <w:rPr>
                <w:sz w:val="1"/>
                <w:szCs w:val="1"/>
                <w:color w:val="auto"/>
              </w:rPr>
            </w:pPr>
          </w:p>
        </w:tc>
      </w:tr>
      <w:tr>
        <w:trPr>
          <w:trHeight w:val="241"/>
        </w:trPr>
        <w:tc>
          <w:tcPr>
            <w:tcW w:w="85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Outflows</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(1,389)</w:t>
            </w:r>
          </w:p>
        </w:tc>
        <w:tc>
          <w:tcPr>
            <w:tcW w:w="0" w:type="dxa"/>
            <w:vAlign w:val="bottom"/>
          </w:tcPr>
          <w:p>
            <w:pPr>
              <w:spacing w:after="0"/>
              <w:rPr>
                <w:sz w:val="1"/>
                <w:szCs w:val="1"/>
                <w:color w:val="auto"/>
              </w:rPr>
            </w:pPr>
          </w:p>
        </w:tc>
      </w:tr>
      <w:tr>
        <w:trPr>
          <w:trHeight w:val="29"/>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Net flows</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w:t>
            </w:r>
          </w:p>
        </w:tc>
        <w:tc>
          <w:tcPr>
            <w:tcW w:w="0" w:type="dxa"/>
            <w:vAlign w:val="bottom"/>
          </w:tcPr>
          <w:p>
            <w:pPr>
              <w:spacing w:after="0"/>
              <w:rPr>
                <w:sz w:val="1"/>
                <w:szCs w:val="1"/>
                <w:color w:val="auto"/>
              </w:rPr>
            </w:pPr>
          </w:p>
        </w:tc>
      </w:tr>
      <w:tr>
        <w:trPr>
          <w:trHeight w:val="241"/>
        </w:trPr>
        <w:tc>
          <w:tcPr>
            <w:tcW w:w="85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Market appreciation (depreciation)</w:t>
            </w:r>
          </w:p>
        </w:tc>
        <w:tc>
          <w:tcPr>
            <w:tcW w:w="26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856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9"/>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change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w:t>
            </w:r>
          </w:p>
        </w:tc>
        <w:tc>
          <w:tcPr>
            <w:tcW w:w="0" w:type="dxa"/>
            <w:vAlign w:val="bottom"/>
          </w:tcPr>
          <w:p>
            <w:pPr>
              <w:spacing w:after="0"/>
              <w:rPr>
                <w:sz w:val="1"/>
                <w:szCs w:val="1"/>
                <w:color w:val="auto"/>
              </w:rPr>
            </w:pPr>
          </w:p>
        </w:tc>
      </w:tr>
      <w:tr>
        <w:trPr>
          <w:trHeight w:val="284"/>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End of period assets</w:t>
            </w: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9,235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13,377</w:t>
            </w:r>
          </w:p>
        </w:tc>
        <w:tc>
          <w:tcPr>
            <w:tcW w:w="0" w:type="dxa"/>
            <w:vAlign w:val="bottom"/>
          </w:tcPr>
          <w:p>
            <w:pPr>
              <w:spacing w:after="0"/>
              <w:rPr>
                <w:sz w:val="1"/>
                <w:szCs w:val="1"/>
                <w:color w:val="auto"/>
              </w:rPr>
            </w:pPr>
          </w:p>
        </w:tc>
      </w:tr>
      <w:tr>
        <w:trPr>
          <w:trHeight w:val="284"/>
        </w:trPr>
        <w:tc>
          <w:tcPr>
            <w:tcW w:w="85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Wealth Management</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Beginning of period assets</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4,043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5,566</w:t>
            </w:r>
          </w:p>
        </w:tc>
        <w:tc>
          <w:tcPr>
            <w:tcW w:w="0" w:type="dxa"/>
            <w:vAlign w:val="bottom"/>
          </w:tcPr>
          <w:p>
            <w:pPr>
              <w:spacing w:after="0"/>
              <w:rPr>
                <w:sz w:val="1"/>
                <w:szCs w:val="1"/>
                <w:color w:val="auto"/>
              </w:rPr>
            </w:pPr>
          </w:p>
        </w:tc>
      </w:tr>
      <w:tr>
        <w:trPr>
          <w:trHeight w:val="241"/>
        </w:trPr>
        <w:tc>
          <w:tcPr>
            <w:tcW w:w="85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Inflows</w:t>
            </w:r>
          </w:p>
        </w:tc>
        <w:tc>
          <w:tcPr>
            <w:tcW w:w="26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9"/>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shd w:val="clear" w:color="auto" w:fill="CCEEFF"/>
          </w:tcPr>
          <w:p>
            <w:pPr>
              <w:ind w:left="420"/>
              <w:spacing w:after="0" w:line="270" w:lineRule="exact"/>
              <w:rPr>
                <w:sz w:val="20"/>
                <w:szCs w:val="20"/>
                <w:color w:val="auto"/>
              </w:rPr>
            </w:pPr>
            <w:r>
              <w:rPr>
                <w:rFonts w:ascii="Times New Roman" w:cs="Times New Roman" w:eastAsia="Times New Roman" w:hAnsi="Times New Roman"/>
                <w:sz w:val="17"/>
                <w:szCs w:val="17"/>
                <w:color w:val="auto"/>
              </w:rPr>
              <w:t>Outflows</w:t>
            </w:r>
            <w:r>
              <w:rPr>
                <w:rFonts w:ascii="Times New Roman" w:cs="Times New Roman" w:eastAsia="Times New Roman" w:hAnsi="Times New Roman"/>
                <w:sz w:val="28"/>
                <w:szCs w:val="28"/>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0" w:type="dxa"/>
            <w:vAlign w:val="bottom"/>
          </w:tcPr>
          <w:p>
            <w:pPr>
              <w:spacing w:after="0"/>
              <w:rPr>
                <w:sz w:val="1"/>
                <w:szCs w:val="1"/>
                <w:color w:val="auto"/>
              </w:rPr>
            </w:pPr>
          </w:p>
        </w:tc>
      </w:tr>
      <w:tr>
        <w:trPr>
          <w:trHeight w:val="221"/>
        </w:trPr>
        <w:tc>
          <w:tcPr>
            <w:tcW w:w="85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Net flows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0" w:type="dxa"/>
            <w:vAlign w:val="bottom"/>
          </w:tcPr>
          <w:p>
            <w:pPr>
              <w:spacing w:after="0"/>
              <w:rPr>
                <w:sz w:val="1"/>
                <w:szCs w:val="1"/>
                <w:color w:val="auto"/>
              </w:rPr>
            </w:pPr>
          </w:p>
        </w:tc>
      </w:tr>
      <w:tr>
        <w:trPr>
          <w:trHeight w:val="29"/>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Market appreciation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341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21"/>
        </w:trPr>
        <w:tc>
          <w:tcPr>
            <w:tcW w:w="85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Net change</w:t>
            </w: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325</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0" w:type="dxa"/>
            <w:vAlign w:val="bottom"/>
          </w:tcPr>
          <w:p>
            <w:pPr>
              <w:spacing w:after="0"/>
              <w:rPr>
                <w:sz w:val="1"/>
                <w:szCs w:val="1"/>
                <w:color w:val="auto"/>
              </w:rPr>
            </w:pPr>
          </w:p>
        </w:tc>
      </w:tr>
      <w:tr>
        <w:trPr>
          <w:trHeight w:val="29"/>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End of period assets</w:t>
            </w: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4,368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5,001</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Mutual Funds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85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Beginning of period assets</w:t>
            </w:r>
          </w:p>
        </w:tc>
        <w:tc>
          <w:tcPr>
            <w:tcW w:w="2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3,236</w:t>
            </w:r>
          </w:p>
        </w:tc>
        <w:tc>
          <w:tcPr>
            <w:tcW w:w="120" w:type="dxa"/>
            <w:vAlign w:val="bottom"/>
          </w:tcPr>
          <w:p>
            <w:pPr>
              <w:spacing w:after="0"/>
              <w:rPr>
                <w:sz w:val="20"/>
                <w:szCs w:val="20"/>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4,242</w:t>
            </w:r>
          </w:p>
        </w:tc>
        <w:tc>
          <w:tcPr>
            <w:tcW w:w="0" w:type="dxa"/>
            <w:vAlign w:val="bottom"/>
          </w:tcPr>
          <w:p>
            <w:pPr>
              <w:spacing w:after="0"/>
              <w:rPr>
                <w:sz w:val="1"/>
                <w:szCs w:val="1"/>
                <w:color w:val="auto"/>
              </w:rPr>
            </w:pPr>
          </w:p>
        </w:tc>
      </w:tr>
      <w:tr>
        <w:trPr>
          <w:trHeight w:val="29"/>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Inflows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343</w:t>
            </w:r>
          </w:p>
        </w:tc>
        <w:tc>
          <w:tcPr>
            <w:tcW w:w="0" w:type="dxa"/>
            <w:vAlign w:val="bottom"/>
          </w:tcPr>
          <w:p>
            <w:pPr>
              <w:spacing w:after="0"/>
              <w:rPr>
                <w:sz w:val="1"/>
                <w:szCs w:val="1"/>
                <w:color w:val="auto"/>
              </w:rPr>
            </w:pPr>
          </w:p>
        </w:tc>
      </w:tr>
      <w:tr>
        <w:trPr>
          <w:trHeight w:val="241"/>
        </w:trPr>
        <w:tc>
          <w:tcPr>
            <w:tcW w:w="85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Outflows</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0" w:type="dxa"/>
            <w:vAlign w:val="bottom"/>
          </w:tcPr>
          <w:p>
            <w:pPr>
              <w:spacing w:after="0"/>
              <w:rPr>
                <w:sz w:val="1"/>
                <w:szCs w:val="1"/>
                <w:color w:val="auto"/>
              </w:rPr>
            </w:pPr>
          </w:p>
        </w:tc>
      </w:tr>
      <w:tr>
        <w:trPr>
          <w:trHeight w:val="29"/>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Net flows</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41"/>
        </w:trPr>
        <w:tc>
          <w:tcPr>
            <w:tcW w:w="85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Market appreciation (depreciation)</w:t>
            </w:r>
          </w:p>
        </w:tc>
        <w:tc>
          <w:tcPr>
            <w:tcW w:w="26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293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9"/>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change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84"/>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End of period assets</w:t>
            </w: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3,168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4,244</w:t>
            </w:r>
          </w:p>
        </w:tc>
        <w:tc>
          <w:tcPr>
            <w:tcW w:w="0" w:type="dxa"/>
            <w:vAlign w:val="bottom"/>
          </w:tcPr>
          <w:p>
            <w:pPr>
              <w:spacing w:after="0"/>
              <w:rPr>
                <w:sz w:val="1"/>
                <w:szCs w:val="1"/>
                <w:color w:val="auto"/>
              </w:rPr>
            </w:pPr>
          </w:p>
        </w:tc>
      </w:tr>
      <w:tr>
        <w:trPr>
          <w:trHeight w:val="284"/>
        </w:trPr>
        <w:tc>
          <w:tcPr>
            <w:tcW w:w="85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AUM</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Beginning of period assets</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16,606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24,229</w:t>
            </w:r>
          </w:p>
        </w:tc>
        <w:tc>
          <w:tcPr>
            <w:tcW w:w="0" w:type="dxa"/>
            <w:vAlign w:val="bottom"/>
          </w:tcPr>
          <w:p>
            <w:pPr>
              <w:spacing w:after="0"/>
              <w:rPr>
                <w:sz w:val="1"/>
                <w:szCs w:val="1"/>
                <w:color w:val="auto"/>
              </w:rPr>
            </w:pPr>
          </w:p>
        </w:tc>
      </w:tr>
      <w:tr>
        <w:trPr>
          <w:trHeight w:val="241"/>
        </w:trPr>
        <w:tc>
          <w:tcPr>
            <w:tcW w:w="85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Inflows</w:t>
            </w:r>
          </w:p>
        </w:tc>
        <w:tc>
          <w:tcPr>
            <w:tcW w:w="26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801</w:t>
            </w:r>
          </w:p>
        </w:tc>
        <w:tc>
          <w:tcPr>
            <w:tcW w:w="0" w:type="dxa"/>
            <w:vAlign w:val="bottom"/>
          </w:tcPr>
          <w:p>
            <w:pPr>
              <w:spacing w:after="0"/>
              <w:rPr>
                <w:sz w:val="1"/>
                <w:szCs w:val="1"/>
                <w:color w:val="auto"/>
              </w:rPr>
            </w:pPr>
          </w:p>
        </w:tc>
      </w:tr>
      <w:tr>
        <w:trPr>
          <w:trHeight w:val="29"/>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Outflows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(2,258)</w:t>
            </w:r>
          </w:p>
        </w:tc>
        <w:tc>
          <w:tcPr>
            <w:tcW w:w="0" w:type="dxa"/>
            <w:vAlign w:val="bottom"/>
          </w:tcPr>
          <w:p>
            <w:pPr>
              <w:spacing w:after="0"/>
              <w:rPr>
                <w:sz w:val="1"/>
                <w:szCs w:val="1"/>
                <w:color w:val="auto"/>
              </w:rPr>
            </w:pPr>
          </w:p>
        </w:tc>
      </w:tr>
      <w:tr>
        <w:trPr>
          <w:trHeight w:val="221"/>
        </w:trPr>
        <w:tc>
          <w:tcPr>
            <w:tcW w:w="85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Net flows</w:t>
            </w: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(1,325)</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(1,457)</w:t>
            </w:r>
          </w:p>
        </w:tc>
        <w:tc>
          <w:tcPr>
            <w:tcW w:w="0" w:type="dxa"/>
            <w:vAlign w:val="bottom"/>
          </w:tcPr>
          <w:p>
            <w:pPr>
              <w:spacing w:after="0"/>
              <w:rPr>
                <w:sz w:val="1"/>
                <w:szCs w:val="1"/>
                <w:color w:val="auto"/>
              </w:rPr>
            </w:pPr>
          </w:p>
        </w:tc>
      </w:tr>
      <w:tr>
        <w:trPr>
          <w:trHeight w:val="29"/>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Market appreciation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1,490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21"/>
        </w:trPr>
        <w:tc>
          <w:tcPr>
            <w:tcW w:w="85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Net change</w:t>
            </w: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165</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(1,607)</w:t>
            </w:r>
          </w:p>
        </w:tc>
        <w:tc>
          <w:tcPr>
            <w:tcW w:w="0" w:type="dxa"/>
            <w:vAlign w:val="bottom"/>
          </w:tcPr>
          <w:p>
            <w:pPr>
              <w:spacing w:after="0"/>
              <w:rPr>
                <w:sz w:val="1"/>
                <w:szCs w:val="1"/>
                <w:color w:val="auto"/>
              </w:rPr>
            </w:pPr>
          </w:p>
        </w:tc>
      </w:tr>
      <w:tr>
        <w:trPr>
          <w:trHeight w:val="29"/>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End of period assets</w:t>
            </w: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16,771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22,622</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w:t>
            </w: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5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60" w:right="160" w:hanging="652"/>
        <w:spacing w:after="0" w:line="258"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Wealth Management outflows include approximately $453 million of assets related to the sale of the Omaha-based component of our Wealth Management business for the three months ended March 31, 2018.</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2019 and 2018</w:t>
      </w:r>
    </w:p>
    <w:p>
      <w:pPr>
        <w:spacing w:after="0" w:line="121" w:lineRule="exact"/>
        <w:rPr>
          <w:sz w:val="20"/>
          <w:szCs w:val="20"/>
          <w:color w:val="auto"/>
        </w:rPr>
      </w:pPr>
    </w:p>
    <w:p>
      <w:pPr>
        <w:ind w:right="80" w:firstLine="500"/>
        <w:spacing w:after="0" w:line="266" w:lineRule="auto"/>
        <w:rPr>
          <w:sz w:val="20"/>
          <w:szCs w:val="20"/>
          <w:color w:val="auto"/>
        </w:rPr>
      </w:pPr>
      <w:r>
        <w:rPr>
          <w:rFonts w:ascii="Times New Roman" w:cs="Times New Roman" w:eastAsia="Times New Roman" w:hAnsi="Times New Roman"/>
          <w:sz w:val="18"/>
          <w:szCs w:val="18"/>
          <w:color w:val="auto"/>
        </w:rPr>
        <w:t>The $165 million increase in assets under management for the three months ended March 31, 2019 was due to market appreciation of $1.5 billion, offset by net outflows of $1.3 billion. Net outflows were primarily related to our Emerging Markets and Income Opportunity strategies, partially offset by net inflows to our SmallCap Value strategy.</w:t>
      </w:r>
    </w:p>
    <w:p>
      <w:pPr>
        <w:spacing w:after="0" w:line="122" w:lineRule="exact"/>
        <w:rPr>
          <w:sz w:val="20"/>
          <w:szCs w:val="20"/>
          <w:color w:val="auto"/>
        </w:rPr>
      </w:pPr>
    </w:p>
    <w:p>
      <w:pPr>
        <w:ind w:right="100" w:firstLine="500"/>
        <w:spacing w:after="0" w:line="257" w:lineRule="auto"/>
        <w:rPr>
          <w:sz w:val="20"/>
          <w:szCs w:val="20"/>
          <w:color w:val="auto"/>
        </w:rPr>
      </w:pPr>
      <w:r>
        <w:rPr>
          <w:rFonts w:ascii="Times New Roman" w:cs="Times New Roman" w:eastAsia="Times New Roman" w:hAnsi="Times New Roman"/>
          <w:sz w:val="18"/>
          <w:szCs w:val="18"/>
          <w:color w:val="auto"/>
        </w:rPr>
        <w:t>The $1.6 billion decrease in assets under management for the three months ended March 31, 2018 was due to market depreciation of $150 million and net outflows of $1.5 billion. Net outflows were primarily related to our Emerging Markets and LargeCap Value strategies and the divestiture of our Omaha operations,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 net inflows to our SmallCap Value strategy.</w:t>
      </w:r>
    </w:p>
    <w:p>
      <w:pPr>
        <w:sectPr>
          <w:pgSz w:w="11900" w:h="16838" w:orient="portrait"/>
          <w:cols w:equalWidth="0" w:num="1">
            <w:col w:w="11420"/>
          </w:cols>
          <w:pgMar w:left="240" w:top="684"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684" w:right="2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20" w:firstLine="500"/>
        <w:spacing w:after="0" w:line="266" w:lineRule="auto"/>
        <w:rPr>
          <w:sz w:val="20"/>
          <w:szCs w:val="20"/>
          <w:color w:val="auto"/>
        </w:rPr>
      </w:pPr>
      <w:r>
        <w:rPr>
          <w:rFonts w:ascii="Times New Roman" w:cs="Times New Roman" w:eastAsia="Times New Roman" w:hAnsi="Times New Roman"/>
          <w:sz w:val="18"/>
          <w:szCs w:val="18"/>
          <w:color w:val="auto"/>
        </w:rPr>
        <w:t>The following table (dollars in thousands) and discussion of our results of operations are based upon data derived from the condensed consolidated statements of comprehensive income contained in our condensed consolidated financial statements and should be read in conjunction with those statements included elsewhere in this report.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80" w:type="dxa"/>
            <w:vAlign w:val="bottom"/>
          </w:tcPr>
          <w:p>
            <w:pPr>
              <w:jc w:val="center"/>
              <w:ind w:left="40"/>
              <w:spacing w:after="0"/>
              <w:rPr>
                <w:sz w:val="20"/>
                <w:szCs w:val="20"/>
                <w:color w:val="auto"/>
              </w:rPr>
            </w:pPr>
            <w:r>
              <w:rPr>
                <w:rFonts w:ascii="Times New Roman" w:cs="Times New Roman" w:eastAsia="Times New Roman" w:hAnsi="Times New Roman"/>
                <w:sz w:val="15"/>
                <w:szCs w:val="15"/>
                <w:color w:val="auto"/>
              </w:rPr>
              <w:t>% Change</w:t>
            </w:r>
          </w:p>
        </w:tc>
        <w:tc>
          <w:tcPr>
            <w:tcW w:w="0" w:type="dxa"/>
            <w:vAlign w:val="bottom"/>
          </w:tcPr>
          <w:p>
            <w:pPr>
              <w:spacing w:after="0"/>
              <w:rPr>
                <w:sz w:val="1"/>
                <w:szCs w:val="1"/>
                <w:color w:val="auto"/>
              </w:rPr>
            </w:pPr>
          </w:p>
        </w:tc>
      </w:tr>
      <w:tr>
        <w:trPr>
          <w:trHeight w:val="324"/>
        </w:trPr>
        <w:tc>
          <w:tcPr>
            <w:tcW w:w="7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4"/>
          </w:tcPr>
          <w:p>
            <w:pPr>
              <w:jc w:val="right"/>
              <w:ind w:right="399"/>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1680" w:type="dxa"/>
            <w:vAlign w:val="bottom"/>
          </w:tcPr>
          <w:p>
            <w:pPr>
              <w:jc w:val="center"/>
              <w:ind w:left="40"/>
              <w:spacing w:after="0"/>
              <w:rPr>
                <w:sz w:val="20"/>
                <w:szCs w:val="20"/>
                <w:color w:val="auto"/>
              </w:rPr>
            </w:pPr>
            <w:r>
              <w:rPr>
                <w:rFonts w:ascii="Times New Roman" w:cs="Times New Roman" w:eastAsia="Times New Roman" w:hAnsi="Times New Roman"/>
                <w:sz w:val="15"/>
                <w:szCs w:val="15"/>
                <w:b w:val="1"/>
                <w:bCs w:val="1"/>
                <w:color w:val="auto"/>
              </w:rPr>
              <w:t>March 31, 2019</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780" w:type="dxa"/>
            <w:vAlign w:val="bottom"/>
          </w:tcPr>
          <w:p>
            <w:pPr>
              <w:spacing w:after="0"/>
              <w:rPr>
                <w:sz w:val="18"/>
                <w:szCs w:val="18"/>
                <w:color w:val="auto"/>
              </w:rPr>
            </w:pPr>
          </w:p>
        </w:tc>
        <w:tc>
          <w:tcPr>
            <w:tcW w:w="1680" w:type="dxa"/>
            <w:vAlign w:val="bottom"/>
          </w:tcPr>
          <w:p>
            <w:pPr>
              <w:jc w:val="center"/>
              <w:ind w:left="20"/>
              <w:spacing w:after="0"/>
              <w:rPr>
                <w:sz w:val="20"/>
                <w:szCs w:val="20"/>
                <w:color w:val="auto"/>
              </w:rPr>
            </w:pPr>
            <w:r>
              <w:rPr>
                <w:rFonts w:ascii="Times New Roman" w:cs="Times New Roman" w:eastAsia="Times New Roman" w:hAnsi="Times New Roman"/>
                <w:sz w:val="15"/>
                <w:szCs w:val="15"/>
                <w:color w:val="auto"/>
              </w:rPr>
              <w:t>vs.</w:t>
            </w:r>
          </w:p>
        </w:tc>
        <w:tc>
          <w:tcPr>
            <w:tcW w:w="0" w:type="dxa"/>
            <w:vAlign w:val="bottom"/>
          </w:tcPr>
          <w:p>
            <w:pPr>
              <w:spacing w:after="0"/>
              <w:rPr>
                <w:sz w:val="1"/>
                <w:szCs w:val="1"/>
                <w:color w:val="auto"/>
              </w:rPr>
            </w:pPr>
          </w:p>
        </w:tc>
      </w:tr>
      <w:tr>
        <w:trPr>
          <w:trHeight w:val="56"/>
        </w:trPr>
        <w:tc>
          <w:tcPr>
            <w:tcW w:w="73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3"/>
            <w:vMerge w:val="continue"/>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73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2019</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5"/>
                <w:szCs w:val="15"/>
                <w:b w:val="1"/>
                <w:bCs w:val="1"/>
                <w:color w:val="auto"/>
              </w:rPr>
              <w:t>2018</w:t>
            </w:r>
          </w:p>
        </w:tc>
        <w:tc>
          <w:tcPr>
            <w:tcW w:w="1680" w:type="dxa"/>
            <w:vAlign w:val="bottom"/>
          </w:tcPr>
          <w:p>
            <w:pPr>
              <w:jc w:val="center"/>
              <w:ind w:left="40"/>
              <w:spacing w:after="0"/>
              <w:rPr>
                <w:sz w:val="20"/>
                <w:szCs w:val="20"/>
                <w:color w:val="auto"/>
              </w:rPr>
            </w:pPr>
            <w:r>
              <w:rPr>
                <w:rFonts w:ascii="Times New Roman" w:cs="Times New Roman" w:eastAsia="Times New Roman" w:hAnsi="Times New Roman"/>
                <w:sz w:val="15"/>
                <w:szCs w:val="15"/>
                <w:b w:val="1"/>
                <w:bCs w:val="1"/>
                <w:color w:val="auto"/>
              </w:rPr>
              <w:t>March 31, 2018</w:t>
            </w:r>
          </w:p>
        </w:tc>
        <w:tc>
          <w:tcPr>
            <w:tcW w:w="0" w:type="dxa"/>
            <w:vAlign w:val="bottom"/>
          </w:tcPr>
          <w:p>
            <w:pPr>
              <w:spacing w:after="0"/>
              <w:rPr>
                <w:sz w:val="1"/>
                <w:szCs w:val="1"/>
                <w:color w:val="auto"/>
              </w:rPr>
            </w:pPr>
          </w:p>
        </w:tc>
      </w:tr>
      <w:tr>
        <w:trPr>
          <w:trHeight w:val="210"/>
        </w:trPr>
        <w:tc>
          <w:tcPr>
            <w:tcW w:w="73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3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Advisory fees: asset-based</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16,406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24,483</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37"/>
        </w:trPr>
        <w:tc>
          <w:tcPr>
            <w:tcW w:w="73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Advisory fees: performance-based</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1,335</w:t>
            </w:r>
          </w:p>
        </w:tc>
        <w:tc>
          <w:tcPr>
            <w:tcW w:w="1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Trust fees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7,609</w:t>
            </w:r>
          </w:p>
        </w:tc>
        <w:tc>
          <w:tcPr>
            <w:tcW w:w="16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37"/>
        </w:trPr>
        <w:tc>
          <w:tcPr>
            <w:tcW w:w="73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Other revenues</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737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140</w:t>
            </w:r>
          </w:p>
        </w:tc>
        <w:tc>
          <w:tcPr>
            <w:tcW w:w="16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33"/>
        </w:trPr>
        <w:tc>
          <w:tcPr>
            <w:tcW w:w="7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revenues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23,862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33,567</w:t>
            </w:r>
          </w:p>
        </w:tc>
        <w:tc>
          <w:tcPr>
            <w:tcW w:w="16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24"/>
        </w:trPr>
        <w:tc>
          <w:tcPr>
            <w:tcW w:w="73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3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14,610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17,759</w:t>
            </w:r>
          </w:p>
        </w:tc>
        <w:tc>
          <w:tcPr>
            <w:tcW w:w="16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37"/>
        </w:trPr>
        <w:tc>
          <w:tcPr>
            <w:tcW w:w="73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Sales and marketing</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530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443</w:t>
            </w:r>
          </w:p>
        </w:tc>
        <w:tc>
          <w:tcPr>
            <w:tcW w:w="16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Westwood mutual funds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985</w:t>
            </w:r>
          </w:p>
        </w:tc>
        <w:tc>
          <w:tcPr>
            <w:tcW w:w="16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37"/>
        </w:trPr>
        <w:tc>
          <w:tcPr>
            <w:tcW w:w="73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Information technology</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1,977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2,038</w:t>
            </w:r>
          </w:p>
        </w:tc>
        <w:tc>
          <w:tcPr>
            <w:tcW w:w="1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Professional services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1,028</w:t>
            </w:r>
          </w:p>
        </w:tc>
        <w:tc>
          <w:tcPr>
            <w:tcW w:w="16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37"/>
        </w:trPr>
        <w:tc>
          <w:tcPr>
            <w:tcW w:w="73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2,434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2,414</w:t>
            </w:r>
          </w:p>
        </w:tc>
        <w:tc>
          <w:tcPr>
            <w:tcW w:w="16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(Gain) loss on foreign currency transactions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820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16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7"/>
        </w:trPr>
        <w:tc>
          <w:tcPr>
            <w:tcW w:w="73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expenses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22,366</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23,604</w:t>
            </w:r>
          </w:p>
        </w:tc>
        <w:tc>
          <w:tcPr>
            <w:tcW w:w="1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33"/>
        </w:trPr>
        <w:tc>
          <w:tcPr>
            <w:tcW w:w="7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operating income</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1,496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9,963</w:t>
            </w:r>
          </w:p>
        </w:tc>
        <w:tc>
          <w:tcPr>
            <w:tcW w:w="16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37"/>
        </w:trPr>
        <w:tc>
          <w:tcPr>
            <w:tcW w:w="73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Gain on sale of operations</w:t>
            </w: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524</w:t>
            </w:r>
          </w:p>
        </w:tc>
        <w:tc>
          <w:tcPr>
            <w:tcW w:w="16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33"/>
        </w:trPr>
        <w:tc>
          <w:tcPr>
            <w:tcW w:w="7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1,496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10,487</w:t>
            </w:r>
          </w:p>
        </w:tc>
        <w:tc>
          <w:tcPr>
            <w:tcW w:w="16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37"/>
        </w:trPr>
        <w:tc>
          <w:tcPr>
            <w:tcW w:w="7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2,509</w:t>
            </w:r>
          </w:p>
        </w:tc>
        <w:tc>
          <w:tcPr>
            <w:tcW w:w="1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33"/>
        </w:trPr>
        <w:tc>
          <w:tcPr>
            <w:tcW w:w="7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7,978</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73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7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NM  Not meaningful</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576"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2019 compared to three months ended March 31, 2018</w:t>
      </w:r>
    </w:p>
    <w:p>
      <w:pPr>
        <w:spacing w:after="0" w:line="119" w:lineRule="exact"/>
        <w:rPr>
          <w:sz w:val="20"/>
          <w:szCs w:val="20"/>
          <w:color w:val="auto"/>
        </w:rPr>
      </w:pPr>
    </w:p>
    <w:p>
      <w:pPr>
        <w:ind w:right="40" w:firstLine="500"/>
        <w:spacing w:after="0" w:line="261" w:lineRule="auto"/>
        <w:rPr>
          <w:sz w:val="20"/>
          <w:szCs w:val="20"/>
          <w:color w:val="auto"/>
        </w:rPr>
      </w:pPr>
      <w:r>
        <w:rPr>
          <w:rFonts w:ascii="Times New Roman" w:cs="Times New Roman" w:eastAsia="Times New Roman" w:hAnsi="Times New Roman"/>
          <w:sz w:val="18"/>
          <w:szCs w:val="18"/>
          <w:i w:val="1"/>
          <w:iCs w:val="1"/>
          <w:color w:val="auto"/>
        </w:rPr>
        <w:t>Total Revenues</w:t>
      </w:r>
      <w:r>
        <w:rPr>
          <w:rFonts w:ascii="Times New Roman" w:cs="Times New Roman" w:eastAsia="Times New Roman" w:hAnsi="Times New Roman"/>
          <w:sz w:val="18"/>
          <w:szCs w:val="18"/>
          <w:color w:val="auto"/>
        </w:rPr>
        <w:t>. Total revenues decreased $9.7 million, or 29%, to $23.9 million for the three months ended March 31, 2019 compared with $33.6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March 31, 2018. Asset-based advisory fees decreased $8.1 million, or 33%, and Trust fees decreased $1.1 million, or 14%, both primarily due to lower average assets under management. Performance-based fees decreased $1.1 million, or 86.5%, to $0.2 million for the three months ended March 31, 2019 compared with $1.3 million for the three months ended March 31, 2018.</w:t>
      </w:r>
    </w:p>
    <w:p>
      <w:pPr>
        <w:spacing w:after="0" w:line="126" w:lineRule="exact"/>
        <w:rPr>
          <w:sz w:val="20"/>
          <w:szCs w:val="20"/>
          <w:color w:val="auto"/>
        </w:rPr>
      </w:pPr>
    </w:p>
    <w:p>
      <w:pPr>
        <w:ind w:right="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Employee Compensation and Benefits. </w:t>
      </w:r>
      <w:r>
        <w:rPr>
          <w:rFonts w:ascii="Times New Roman" w:cs="Times New Roman" w:eastAsia="Times New Roman" w:hAnsi="Times New Roman"/>
          <w:sz w:val="18"/>
          <w:szCs w:val="18"/>
          <w:color w:val="auto"/>
        </w:rPr>
        <w:t>Employee compensation and benefits decreased $3.2 million, or 18%, to $14.6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2019 compared with $17.8 million for the three months ended March 31, 2018. The decrease was due to reductions in compensation relating to short- and long-term incentive compensation as a result of lower asset-based revenues as compared to the prior year quarter.</w:t>
      </w:r>
    </w:p>
    <w:p>
      <w:pPr>
        <w:spacing w:after="0" w:line="120" w:lineRule="exact"/>
        <w:rPr>
          <w:sz w:val="20"/>
          <w:szCs w:val="20"/>
          <w:color w:val="auto"/>
        </w:rPr>
      </w:pPr>
    </w:p>
    <w:p>
      <w:pPr>
        <w:ind w:right="100" w:firstLine="5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(Gain) loss on foreign currency transactions. </w:t>
      </w:r>
      <w:r>
        <w:rPr>
          <w:rFonts w:ascii="Times New Roman" w:cs="Times New Roman" w:eastAsia="Times New Roman" w:hAnsi="Times New Roman"/>
          <w:sz w:val="18"/>
          <w:szCs w:val="18"/>
          <w:color w:val="auto"/>
        </w:rPr>
        <w:t>We recorded $820,000 foreign currency losses in the current quarter as a result of a 2.2% decrease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Canadian dollar exchange rate.</w:t>
      </w:r>
    </w:p>
    <w:p>
      <w:pPr>
        <w:spacing w:after="0" w:line="104" w:lineRule="exact"/>
        <w:rPr>
          <w:sz w:val="20"/>
          <w:szCs w:val="20"/>
          <w:color w:val="auto"/>
        </w:rPr>
      </w:pPr>
    </w:p>
    <w:p>
      <w:pPr>
        <w:ind w:right="140" w:firstLine="500"/>
        <w:spacing w:after="0" w:line="267"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The effective tax rate increased to 73.8% for the three months ended March 31, 2019 from 23.9%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2018. The current quarter rate was negatively impacted by a $638,000 discrete tax expense related to a permanent difference between book and tax restricted stock expense based on a decrease in our stock price between the grant and vesting dates.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Financial Information</w:t>
      </w:r>
    </w:p>
    <w:p>
      <w:pPr>
        <w:spacing w:after="0" w:line="175" w:lineRule="exact"/>
        <w:rPr>
          <w:sz w:val="20"/>
          <w:szCs w:val="20"/>
          <w:color w:val="auto"/>
        </w:rPr>
      </w:pPr>
    </w:p>
    <w:p>
      <w:pPr>
        <w:ind w:firstLine="500"/>
        <w:spacing w:after="0" w:line="256" w:lineRule="auto"/>
        <w:rPr>
          <w:sz w:val="20"/>
          <w:szCs w:val="20"/>
          <w:color w:val="auto"/>
        </w:rPr>
      </w:pPr>
      <w:r>
        <w:rPr>
          <w:rFonts w:ascii="Times New Roman" w:cs="Times New Roman" w:eastAsia="Times New Roman" w:hAnsi="Times New Roman"/>
          <w:sz w:val="18"/>
          <w:szCs w:val="18"/>
          <w:color w:val="auto"/>
        </w:rPr>
        <w:t>As supplemental information, we provide a non-U.S. generally accepted accounting principles (“non-GAAP”) performance measure that we refer to as Economic Earnings. We provide this measure in addition to, but not as a substitute for, net income reported on a U.S. generally accepted accounting principles (“GAAP”) basis. Our management and Board of Directors review Economic Earnings to evaluate our ongoing performance, allocate resources and review the dividend policy. We believe that this non-GAAP performance measure, while not a substitute for GAAP net income, is useful for management and investors when evaluating our underlying operating and financial performance and our available resources. We do not advocate that investors consider this non-GAAP measure without also considering financial information prepared in accordance with GAAP.</w:t>
      </w:r>
    </w:p>
    <w:p>
      <w:pPr>
        <w:spacing w:after="0" w:line="80" w:lineRule="exact"/>
        <w:rPr>
          <w:sz w:val="20"/>
          <w:szCs w:val="20"/>
          <w:color w:val="auto"/>
        </w:rPr>
      </w:pPr>
    </w:p>
    <w:p>
      <w:pPr>
        <w:ind w:right="40" w:firstLine="500"/>
        <w:spacing w:after="0" w:line="261" w:lineRule="auto"/>
        <w:rPr>
          <w:sz w:val="20"/>
          <w:szCs w:val="20"/>
          <w:color w:val="auto"/>
        </w:rPr>
      </w:pPr>
      <w:r>
        <w:rPr>
          <w:rFonts w:ascii="Times New Roman" w:cs="Times New Roman" w:eastAsia="Times New Roman" w:hAnsi="Times New Roman"/>
          <w:sz w:val="18"/>
          <w:szCs w:val="18"/>
          <w:color w:val="auto"/>
        </w:rPr>
        <w:t>In calculating Economic Earnings, we add back to net income the non-cash expense associated with equity-based compensation awards of restricted stock, amortization of intangible assets and deferred taxes related to the tax-basis amortization of goodwill. Although depreciation on property and equipment is a non-cash expense, we do not add it back when calculating Economic Earnings because depreciation charges represent a decline in the value of the related assets that will ultimately require replacement.</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provide a reconciliation of Net income to Economic Earnings (in thousands, except share and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4"/>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60" w:type="dxa"/>
            <w:vAlign w:val="bottom"/>
            <w:gridSpan w:val="2"/>
            <w:vMerge w:val="restart"/>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11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7,978</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 Stock-based compensation expense</w:t>
            </w:r>
          </w:p>
        </w:tc>
        <w:tc>
          <w:tcPr>
            <w:tcW w:w="3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4,187</w:t>
            </w:r>
          </w:p>
        </w:tc>
        <w:tc>
          <w:tcPr>
            <w:tcW w:w="126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 Intangible amortization</w:t>
            </w:r>
          </w:p>
        </w:tc>
        <w:tc>
          <w:tcPr>
            <w:tcW w:w="3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418</w:t>
            </w:r>
          </w:p>
        </w:tc>
        <w:tc>
          <w:tcPr>
            <w:tcW w:w="1260" w:type="dxa"/>
            <w:vAlign w:val="bottom"/>
            <w:tcBorders>
              <w:bottom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 Tax benefit from goodwill amortization</w:t>
            </w:r>
          </w:p>
        </w:tc>
        <w:tc>
          <w:tcPr>
            <w:tcW w:w="3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Economic Earnings</w:t>
            </w:r>
          </w:p>
        </w:tc>
        <w:tc>
          <w:tcPr>
            <w:tcW w:w="3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4,116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12,642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8,455,386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8,539,545</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Economic Earnings per share</w:t>
            </w:r>
          </w:p>
        </w:tc>
        <w:tc>
          <w:tcPr>
            <w:tcW w:w="3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716"/>
        </w:trPr>
        <w:tc>
          <w:tcPr>
            <w:tcW w:w="4460" w:type="dxa"/>
            <w:vAlign w:val="bottom"/>
          </w:tcPr>
          <w:p>
            <w:pPr>
              <w:spacing w:after="0"/>
              <w:rPr>
                <w:sz w:val="24"/>
                <w:szCs w:val="24"/>
                <w:color w:val="auto"/>
              </w:rPr>
            </w:pPr>
          </w:p>
        </w:tc>
        <w:tc>
          <w:tcPr>
            <w:tcW w:w="308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2"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firstLine="500"/>
        <w:spacing w:after="0" w:line="258" w:lineRule="auto"/>
        <w:rPr>
          <w:sz w:val="20"/>
          <w:szCs w:val="20"/>
          <w:color w:val="auto"/>
        </w:rPr>
      </w:pPr>
      <w:r>
        <w:rPr>
          <w:rFonts w:ascii="Times New Roman" w:cs="Times New Roman" w:eastAsia="Times New Roman" w:hAnsi="Times New Roman"/>
          <w:sz w:val="18"/>
          <w:szCs w:val="18"/>
          <w:color w:val="auto"/>
        </w:rPr>
        <w:t>We fund our operations and cash requirements with cash generated from operating activities. We may also use cash from operations to pay dividends to our stockholders. As of March 31, 2019 and December 31, 2018, we had no debt. The changes in net cash provided by operating activities generally reflect the changes in earnings plus the effects of non-cash items and changes in working capital, including liquidation of investments used to cover current liabilities. Changes in working capital, especially accounts receivable and accounts payable, are generally the result of timing differences between collection of fees billed and payment of operating expenses.</w:t>
      </w:r>
    </w:p>
    <w:p>
      <w:pPr>
        <w:spacing w:after="0" w:line="76" w:lineRule="exact"/>
        <w:rPr>
          <w:sz w:val="20"/>
          <w:szCs w:val="20"/>
          <w:color w:val="auto"/>
        </w:rPr>
      </w:pPr>
    </w:p>
    <w:p>
      <w:pPr>
        <w:ind w:firstLine="500"/>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2019, cash flow provided by operating activities was $10.6 million, which included $16.5 million liquidation of current investments partially offset by a $12.3 million decrease in compensation and benefits payables. Cash flow used in investing activities of $321,000 during the three months ended March 31, 2019 was primarily related to our investment in a private investment fund, while the prior year quarter experienced cash flow provided by investing activities as a result of the sale of the Omaha-based component of our wealth management business. Cash flow used in financing activities of $11.1 million for the three months ended March 31, 2019 reflected the payment of dividends, purchases of restricted stock returned for payment of taxes and purchases of treasury shares for our Canadian share award plan.</w:t>
      </w:r>
    </w:p>
    <w:p>
      <w:pPr>
        <w:spacing w:after="0" w:line="80" w:lineRule="exact"/>
        <w:rPr>
          <w:sz w:val="20"/>
          <w:szCs w:val="20"/>
          <w:color w:val="auto"/>
        </w:rPr>
      </w:pPr>
    </w:p>
    <w:p>
      <w:pPr>
        <w:ind w:right="40" w:firstLine="500"/>
        <w:spacing w:after="0" w:line="256" w:lineRule="auto"/>
        <w:rPr>
          <w:sz w:val="20"/>
          <w:szCs w:val="20"/>
          <w:color w:val="auto"/>
        </w:rPr>
      </w:pPr>
      <w:r>
        <w:rPr>
          <w:rFonts w:ascii="Times New Roman" w:cs="Times New Roman" w:eastAsia="Times New Roman" w:hAnsi="Times New Roman"/>
          <w:sz w:val="18"/>
          <w:szCs w:val="18"/>
          <w:color w:val="auto"/>
        </w:rPr>
        <w:t>We had cash and short-term investments of $102.0 million as of March 31, 2019 and $118.2 million as of December 31, 2018. Cash and cash equivalents as of March 31, 2019 and December 31, 2018 included approximately $33.0 million of undistributed income from Westwood International. If these funds were needed for our U.S. operations, we would be required to accrue and pay a 5% incremental Canadian withholding taxes to repatriate all or a portion of these funds. Our current intention is to permanently reinvest the funds subject to withholding taxes outside of the U.S., and our current forecasts do not demonstrate a need to repatriate them to fund our U.S. operations. At March 31, 2019 and December 31, 2018, working capital aggregated $106.7 million and $112.6 million, respectively.</w:t>
      </w:r>
    </w:p>
    <w:p>
      <w:pPr>
        <w:spacing w:after="0" w:line="80" w:lineRule="exact"/>
        <w:rPr>
          <w:sz w:val="20"/>
          <w:szCs w:val="20"/>
          <w:color w:val="auto"/>
        </w:rPr>
      </w:pPr>
    </w:p>
    <w:p>
      <w:pPr>
        <w:jc w:val="both"/>
        <w:ind w:right="280" w:firstLine="500"/>
        <w:spacing w:after="0" w:line="266" w:lineRule="auto"/>
        <w:rPr>
          <w:sz w:val="20"/>
          <w:szCs w:val="20"/>
          <w:color w:val="auto"/>
        </w:rPr>
      </w:pPr>
      <w:r>
        <w:rPr>
          <w:rFonts w:ascii="Times New Roman" w:cs="Times New Roman" w:eastAsia="Times New Roman" w:hAnsi="Times New Roman"/>
          <w:sz w:val="18"/>
          <w:szCs w:val="18"/>
          <w:color w:val="auto"/>
        </w:rPr>
        <w:t>Westwood Trust must maintain cash and investments in an amount equal to the minimum restricted capital of $4.0 million, as required by the Texas Finance Code. Restricted capital is included in Investments in the accompanying Condensed Consolidated Balance Sheets. At March 31, 2019, Westwood Trust had approximately $17.3 million in excess of its minimum capital requirement.</w:t>
      </w:r>
    </w:p>
    <w:p>
      <w:pPr>
        <w:spacing w:after="0" w:line="68" w:lineRule="exact"/>
        <w:rPr>
          <w:sz w:val="20"/>
          <w:szCs w:val="20"/>
          <w:color w:val="auto"/>
        </w:rPr>
      </w:pPr>
    </w:p>
    <w:p>
      <w:pPr>
        <w:ind w:right="200" w:firstLine="500"/>
        <w:spacing w:after="0" w:line="256" w:lineRule="auto"/>
        <w:rPr>
          <w:sz w:val="20"/>
          <w:szCs w:val="20"/>
          <w:color w:val="auto"/>
        </w:rPr>
      </w:pPr>
      <w:r>
        <w:rPr>
          <w:rFonts w:ascii="Times New Roman" w:cs="Times New Roman" w:eastAsia="Times New Roman" w:hAnsi="Times New Roman"/>
          <w:sz w:val="18"/>
          <w:szCs w:val="18"/>
          <w:color w:val="auto"/>
        </w:rPr>
        <w:t>Our future liquidity and capital requirements will depend upon numerous factors, including our results of operations, the timing and magnitude of capital expenditures or strategic initiatives, our dividend policy and other business and risk factors described under “Risk Factors” in our Annual Report on Form 10-K for the year ended December 31, 2018, filed with the SEC. We believe that current cash and short-term investment balances plus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The failure to raise needed capital on attractive terms, if at all, could have a material adverse effect on our business, financial condition and results of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75" w:lineRule="exact"/>
        <w:rPr>
          <w:sz w:val="20"/>
          <w:szCs w:val="20"/>
          <w:color w:val="auto"/>
        </w:rPr>
      </w:pPr>
    </w:p>
    <w:p>
      <w:pPr>
        <w:ind w:right="20" w:firstLine="500"/>
        <w:spacing w:after="0" w:line="266" w:lineRule="auto"/>
        <w:rPr>
          <w:sz w:val="20"/>
          <w:szCs w:val="20"/>
          <w:color w:val="auto"/>
        </w:rPr>
      </w:pPr>
      <w:r>
        <w:rPr>
          <w:rFonts w:ascii="Times New Roman" w:cs="Times New Roman" w:eastAsia="Times New Roman" w:hAnsi="Times New Roman"/>
          <w:sz w:val="18"/>
          <w:szCs w:val="18"/>
          <w:color w:val="auto"/>
        </w:rPr>
        <w:t>As of March 31, 2019, there have been no material changes outside of the ordinary course of business to our contractual obligations since December 31, 2018. For information regarding our contractual obligations, refer to “Contractual Obligations” in Part II, Item 7. “Management's Discussion and Analysis of Financial Condition and Results of Operations” in our Annual Report on Form 10-K for the fiscal year ended December 31, 2018.</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95"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Critical and Significant Accounting Policies and Estimates</w:t>
      </w:r>
    </w:p>
    <w:p>
      <w:pPr>
        <w:spacing w:after="0" w:line="173" w:lineRule="exact"/>
        <w:rPr>
          <w:sz w:val="20"/>
          <w:szCs w:val="20"/>
          <w:color w:val="auto"/>
        </w:rPr>
      </w:pPr>
    </w:p>
    <w:p>
      <w:pPr>
        <w:ind w:right="20" w:firstLine="500"/>
        <w:spacing w:after="0" w:line="267" w:lineRule="auto"/>
        <w:rPr>
          <w:sz w:val="20"/>
          <w:szCs w:val="20"/>
          <w:color w:val="auto"/>
        </w:rPr>
      </w:pPr>
      <w:r>
        <w:rPr>
          <w:rFonts w:ascii="Times New Roman" w:cs="Times New Roman" w:eastAsia="Times New Roman" w:hAnsi="Times New Roman"/>
          <w:sz w:val="18"/>
          <w:szCs w:val="18"/>
          <w:color w:val="auto"/>
        </w:rPr>
        <w:t xml:space="preserve">Effective January 1, 2019, we adopted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Refer to Note 2 “Summary of Significant Accounting Policies” and Note 13 “Leases” in our Condensed Consolidated Financial Statements included in Part I, Item 1. “Financial Statements” of this Quarterly Report on Form 10-Q for a detailed description of the adoption of ASU 2016-02.</w:t>
      </w:r>
    </w:p>
    <w:p>
      <w:pPr>
        <w:spacing w:after="0" w:line="67" w:lineRule="exact"/>
        <w:rPr>
          <w:sz w:val="20"/>
          <w:szCs w:val="20"/>
          <w:color w:val="auto"/>
        </w:rPr>
      </w:pPr>
    </w:p>
    <w:p>
      <w:pPr>
        <w:ind w:right="200" w:firstLine="500"/>
        <w:spacing w:after="0" w:line="258" w:lineRule="auto"/>
        <w:rPr>
          <w:sz w:val="20"/>
          <w:szCs w:val="20"/>
          <w:color w:val="auto"/>
        </w:rPr>
      </w:pPr>
      <w:r>
        <w:rPr>
          <w:rFonts w:ascii="Times New Roman" w:cs="Times New Roman" w:eastAsia="Times New Roman" w:hAnsi="Times New Roman"/>
          <w:sz w:val="18"/>
          <w:szCs w:val="18"/>
          <w:color w:val="auto"/>
        </w:rPr>
        <w:t>There have been no other significant changes in our critical or significant accounting policies and estimates since December 31, 2018. Information with respect to our critical accounting policies and estimates that we believe could have the most significant effect on our reported consolidated results and require difficult, subjective or complex judgment by management is described under “Critical Accounting Policies and Estimates” in Part II, Item 7. “Management’s Discussion and Analysis of Financial Condition and Results of Operations” in our Annual Report on Form 10-K for the fiscal year ended December 31, 2018.</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Developments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Refer to Note 2 “Summary of Significant Accounting Policies” in our Condensed Consolidated Financial Statements included in Part I, Item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of this Quarterly Report on Form 10-Q for a description of recently issued accounting guidance.</w:t>
      </w:r>
    </w:p>
    <w:p>
      <w:pPr>
        <w:spacing w:after="0" w:line="311"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440" w:firstLine="50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our Quantitative and Qualitative Disclosures about Market Risk from those previously reported in our Annual Report on Form 10-K for the year ended December 31, 2018.</w:t>
      </w:r>
    </w:p>
    <w:p>
      <w:pPr>
        <w:spacing w:after="0" w:line="212"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0"/>
        <w:spacing w:after="0" w:line="254"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in the reports we file or submit under the Securities Exchange Act of 1934, as amended (the “Exchange Act”), (1) is recorded, processed, summarized and reported within the time periods specified in the SEC’s rules and forms and (2) is accumulated and communicated to our management, including our Chief Executive Officer and our Chief Financial Officer, to allow timely decisions regarding required disclosure. An evaluation was performed under the supervision and with the participation of our management, including our Chief Executive Officer and Chief Financial Officer, of the effectiveness of the design and operation of our disclosure controls and procedures (as defined in Rule 13a-15(e) under the Exchange Act) as of the end of the period covered by this report. Based on this evaluation, our management, including our Chief Executive Officer and our Chief Financial Officer, concluded that, as of the end of the period covered by this report, our disclosure controls and procedures were effective to ensure that information required to be disclosed in the reports we file or submit under the Exchange Act is recorded, processed, summarized and reported within the time periods specified in the SEC’s rules and forms and is accumulated and communicated to management, including our Chief Executive Officer and our Chief Financial Officer, as appropriate, to allow timely decisions regarding required disclosure.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75" w:lineRule="exact"/>
        <w:rPr>
          <w:sz w:val="20"/>
          <w:szCs w:val="20"/>
          <w:color w:val="auto"/>
        </w:rPr>
      </w:pPr>
    </w:p>
    <w:p>
      <w:pPr>
        <w:ind w:right="80" w:firstLine="500"/>
        <w:spacing w:after="0" w:line="261" w:lineRule="auto"/>
        <w:rPr>
          <w:sz w:val="20"/>
          <w:szCs w:val="20"/>
          <w:color w:val="auto"/>
        </w:rPr>
      </w:pPr>
      <w:r>
        <w:rPr>
          <w:rFonts w:ascii="Times New Roman" w:cs="Times New Roman" w:eastAsia="Times New Roman" w:hAnsi="Times New Roman"/>
          <w:sz w:val="18"/>
          <w:szCs w:val="18"/>
          <w:color w:val="auto"/>
        </w:rPr>
        <w:t xml:space="preserve">During the quarter ended March 31, 2019, we implemented the necessary internal controls to ensure we adequately evaluate our contracts for the identification of leases and properly assess the discount rates used to value leases under Accounting Standards Update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There were no other changes in our internal controls over financial reporting (as defined in Rule 13a-15(f) under the Exchange Act) that materially affected, or are reasonably likely to materially affect, our internal control over financial reporting.</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60"/>
          </w:cols>
          <w:pgMar w:left="240" w:top="684"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5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40" w:firstLine="500"/>
        <w:spacing w:after="0" w:line="261" w:lineRule="auto"/>
        <w:rPr>
          <w:sz w:val="20"/>
          <w:szCs w:val="20"/>
          <w:color w:val="auto"/>
        </w:rPr>
      </w:pPr>
      <w:r>
        <w:rPr>
          <w:rFonts w:ascii="Times New Roman" w:cs="Times New Roman" w:eastAsia="Times New Roman" w:hAnsi="Times New Roman"/>
          <w:sz w:val="18"/>
          <w:szCs w:val="18"/>
          <w:color w:val="auto"/>
        </w:rPr>
        <w:t>We face a number of significant risks and uncertainties in our business, including those detailed under “Risk Factors” in our Annual Report on Form 10-K for the fiscal year ended December 31, 2018 and summarized in this report under “Management’s Discussion and Analysis of Financial Condition and Results of Operations.” These risks and uncertainties may affect our current position and future prospects and should be considered carefully in evaluating us, including making an investment in our common stock.</w:t>
      </w:r>
    </w:p>
    <w:p>
      <w:pPr>
        <w:spacing w:after="0" w:line="284"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displays information with respect to the treasury shares we purchased during the three months ended March 31, 2019:</w:t>
      </w:r>
    </w:p>
    <w:p>
      <w:pPr>
        <w:spacing w:after="0" w:line="174"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Maximum number (or</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approximate</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w w:val="99"/>
              </w:rPr>
              <w:t>Total number</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dollar value)</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of shares that</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purchased as</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may yet be</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purchased</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54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w w:val="99"/>
              </w:rPr>
              <w:t>announced</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under the</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price paid</w:t>
            </w:r>
          </w:p>
        </w:tc>
        <w:tc>
          <w:tcPr>
            <w:tcW w:w="154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plans or</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plans or</w:t>
            </w:r>
          </w:p>
        </w:tc>
      </w:tr>
      <w:tr>
        <w:trPr>
          <w:trHeight w:val="212"/>
        </w:trPr>
        <w:tc>
          <w:tcPr>
            <w:tcW w:w="3940" w:type="dxa"/>
            <w:vAlign w:val="bottom"/>
            <w:gridSpan w:val="2"/>
          </w:tcPr>
          <w:p>
            <w:pPr>
              <w:ind w:left="17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54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w w:val="98"/>
              </w:rPr>
              <w:t>programs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programs (1)</w:t>
            </w:r>
          </w:p>
        </w:tc>
      </w:tr>
      <w:tr>
        <w:trPr>
          <w:trHeight w:val="33"/>
        </w:trPr>
        <w:tc>
          <w:tcPr>
            <w:tcW w:w="3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4"/>
        </w:trPr>
        <w:tc>
          <w:tcPr>
            <w:tcW w:w="3940" w:type="dxa"/>
            <w:vAlign w:val="bottom"/>
            <w:gridSpan w:val="2"/>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color w:val="auto"/>
              </w:rPr>
              <w:t xml:space="preserve">Repurchase program </w:t>
            </w:r>
            <w:r>
              <w:rPr>
                <w:rFonts w:ascii="Times New Roman" w:cs="Times New Roman" w:eastAsia="Times New Roman" w:hAnsi="Times New Roman"/>
                <w:sz w:val="25"/>
                <w:szCs w:val="25"/>
                <w:color w:val="auto"/>
                <w:vertAlign w:val="superscript"/>
              </w:rPr>
              <w:t>(1)</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spacing w:after="0"/>
              <w:rPr>
                <w:sz w:val="22"/>
                <w:szCs w:val="22"/>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5,366,000</w:t>
            </w:r>
          </w:p>
        </w:tc>
      </w:tr>
      <w:tr>
        <w:trPr>
          <w:trHeight w:val="270"/>
        </w:trPr>
        <w:tc>
          <w:tcPr>
            <w:tcW w:w="3940" w:type="dxa"/>
            <w:vAlign w:val="bottom"/>
            <w:gridSpan w:val="2"/>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Canadian Plan </w:t>
            </w:r>
            <w:r>
              <w:rPr>
                <w:rFonts w:ascii="Times New Roman" w:cs="Times New Roman" w:eastAsia="Times New Roman" w:hAnsi="Times New Roman"/>
                <w:sz w:val="25"/>
                <w:szCs w:val="25"/>
                <w:color w:val="auto"/>
                <w:vertAlign w:val="superscript"/>
              </w:rPr>
              <w:t>(2)</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spacing w:after="0"/>
              <w:rPr>
                <w:sz w:val="23"/>
                <w:szCs w:val="23"/>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CDN $</w:t>
            </w:r>
          </w:p>
        </w:tc>
        <w:tc>
          <w:tcPr>
            <w:tcW w:w="1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2,259,000</w:t>
            </w:r>
          </w:p>
        </w:tc>
      </w:tr>
      <w:tr>
        <w:trPr>
          <w:trHeight w:val="270"/>
        </w:trPr>
        <w:tc>
          <w:tcPr>
            <w:tcW w:w="3940" w:type="dxa"/>
            <w:vAlign w:val="bottom"/>
            <w:gridSpan w:val="2"/>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Employee transactions </w:t>
            </w:r>
            <w:r>
              <w:rPr>
                <w:rFonts w:ascii="Times New Roman" w:cs="Times New Roman" w:eastAsia="Times New Roman" w:hAnsi="Times New Roman"/>
                <w:sz w:val="25"/>
                <w:szCs w:val="25"/>
                <w:color w:val="auto"/>
                <w:vertAlign w:val="superscript"/>
              </w:rPr>
              <w:t>(3)</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spacing w:after="0"/>
              <w:rPr>
                <w:sz w:val="23"/>
                <w:szCs w:val="23"/>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Feb 1-28, 2019</w:t>
            </w: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43,855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39.06</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39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March 1-31, 2019</w:t>
            </w:r>
          </w:p>
        </w:tc>
        <w:tc>
          <w:tcPr>
            <w:tcW w:w="13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18,181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39.96</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900" w:hanging="892"/>
        <w:spacing w:after="0" w:line="261" w:lineRule="auto"/>
        <w:tabs>
          <w:tab w:leader="none" w:pos="9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On July 20, 2012, our Board of Directors authorized management to repurchase up to $10.0 million of our outstanding common stock on the open market or in privately negotiated transactions. In July 2016, Westwood's Board of Directors authorized an additional $5.0 million of repurchases under the share repurchase program. The share repurchase program has no expiration date and may be discontinued at any time by the Board of Directors.</w:t>
      </w:r>
    </w:p>
    <w:p>
      <w:pPr>
        <w:spacing w:after="0" w:line="17" w:lineRule="exact"/>
        <w:rPr>
          <w:rFonts w:ascii="Times New Roman" w:cs="Times New Roman" w:eastAsia="Times New Roman" w:hAnsi="Times New Roman"/>
          <w:sz w:val="16"/>
          <w:szCs w:val="16"/>
          <w:color w:val="auto"/>
        </w:rPr>
      </w:pPr>
    </w:p>
    <w:p>
      <w:pPr>
        <w:ind w:left="900" w:right="200" w:hanging="892"/>
        <w:spacing w:after="0" w:line="261" w:lineRule="auto"/>
        <w:tabs>
          <w:tab w:leader="none" w:pos="9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On April 18, 2013, our stockholders approved the Share Award Plan of Westwood Holdings Group, Inc. for Service Provided in Canada to its Subsidiaries (the “Canadian Plan”), which contemplates a trustee purchasing up to $10.0 million CDN of our outstanding common stock on the open market for the purpose of making share awards to our Canadian employees. The Canadian Plan has no expiration date and may be discontinued at any time by the Board of Directors.</w:t>
      </w:r>
    </w:p>
    <w:p>
      <w:pPr>
        <w:spacing w:after="0" w:line="17" w:lineRule="exact"/>
        <w:rPr>
          <w:rFonts w:ascii="Times New Roman" w:cs="Times New Roman" w:eastAsia="Times New Roman" w:hAnsi="Times New Roman"/>
          <w:sz w:val="16"/>
          <w:szCs w:val="16"/>
          <w:color w:val="auto"/>
        </w:rPr>
      </w:pPr>
    </w:p>
    <w:p>
      <w:pPr>
        <w:ind w:left="900" w:right="40" w:hanging="892"/>
        <w:spacing w:after="0" w:line="266" w:lineRule="auto"/>
        <w:tabs>
          <w:tab w:leader="none" w:pos="9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Consists of shares of common stock tendered by an employee at the market close price on the date of vesting in order to satisfy the employee’s minimum tax withholding obligations from vested restricted shares. We anticipate having additional shares tendered in subsequent periods for the same purpose.</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522"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1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8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38"/>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668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w:anchor="page33">
              <w:r>
                <w:rPr>
                  <w:rFonts w:ascii="Times New Roman" w:cs="Times New Roman" w:eastAsia="Times New Roman" w:hAnsi="Times New Roman"/>
                  <w:sz w:val="18"/>
                  <w:szCs w:val="18"/>
                  <w:color w:val="0000FF"/>
                  <w:w w:val="99"/>
                </w:rPr>
                <w:t>Certification of Chief Executive Officer Pursuant to Securities Exchange Act Rule 13a-14(a)</w:t>
              </w:r>
            </w:hyperlink>
          </w:p>
        </w:tc>
        <w:tc>
          <w:tcPr>
            <w:tcW w:w="3120" w:type="dxa"/>
            <w:vAlign w:val="bottom"/>
            <w:gridSpan w:val="2"/>
          </w:tcPr>
          <w:p>
            <w:pPr>
              <w:spacing w:after="0"/>
              <w:rPr>
                <w:sz w:val="24"/>
                <w:szCs w:val="24"/>
                <w:color w:val="auto"/>
              </w:rPr>
            </w:pPr>
          </w:p>
        </w:tc>
      </w:tr>
      <w:tr>
        <w:trPr>
          <w:trHeight w:val="534"/>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664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w:anchor="page34">
              <w:r>
                <w:rPr>
                  <w:rFonts w:ascii="Times New Roman" w:cs="Times New Roman" w:eastAsia="Times New Roman" w:hAnsi="Times New Roman"/>
                  <w:sz w:val="18"/>
                  <w:szCs w:val="18"/>
                  <w:color w:val="0000FF"/>
                  <w:w w:val="99"/>
                </w:rPr>
                <w:t>Certification of Chief Financial Officer Pursuant to Securities Exchange Act Rule 13a-14(a)</w:t>
              </w:r>
            </w:hyperlink>
          </w:p>
        </w:tc>
        <w:tc>
          <w:tcPr>
            <w:tcW w:w="3160" w:type="dxa"/>
            <w:vAlign w:val="bottom"/>
            <w:gridSpan w:val="3"/>
          </w:tcPr>
          <w:p>
            <w:pPr>
              <w:spacing w:after="0"/>
              <w:rPr>
                <w:sz w:val="24"/>
                <w:szCs w:val="24"/>
                <w:color w:val="auto"/>
              </w:rPr>
            </w:pPr>
          </w:p>
        </w:tc>
      </w:tr>
      <w:tr>
        <w:trPr>
          <w:trHeight w:val="534"/>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980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w:anchor="page35">
              <w:r>
                <w:rPr>
                  <w:rFonts w:ascii="Times New Roman" w:cs="Times New Roman" w:eastAsia="Times New Roman" w:hAnsi="Times New Roman"/>
                  <w:sz w:val="18"/>
                  <w:szCs w:val="18"/>
                  <w:color w:val="0000FF"/>
                  <w:w w:val="99"/>
                </w:rPr>
                <w:t>Certification of Chief Executive Officer Pursuant to 18 U.S.C. Section 1350, as Adopted Pursuant to Section 906 of the Sarbanes-Oxley</w:t>
              </w:r>
            </w:hyperlink>
          </w:p>
        </w:tc>
      </w:tr>
      <w:tr>
        <w:trPr>
          <w:trHeight w:val="196"/>
        </w:trPr>
        <w:tc>
          <w:tcPr>
            <w:tcW w:w="1520" w:type="dxa"/>
            <w:vAlign w:val="bottom"/>
          </w:tcPr>
          <w:p>
            <w:pPr>
              <w:spacing w:after="0"/>
              <w:rPr>
                <w:sz w:val="17"/>
                <w:szCs w:val="17"/>
                <w:color w:val="auto"/>
              </w:rPr>
            </w:pPr>
          </w:p>
        </w:tc>
        <w:tc>
          <w:tcPr>
            <w:tcW w:w="9800" w:type="dxa"/>
            <w:vAlign w:val="bottom"/>
            <w:gridSpan w:val="5"/>
          </w:tcPr>
          <w:p>
            <w:pPr>
              <w:spacing w:after="0" w:line="196" w:lineRule="exact"/>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Act of 2002</w:t>
              </w:r>
            </w:hyperlink>
          </w:p>
        </w:tc>
      </w:tr>
      <w:tr>
        <w:trPr>
          <w:trHeight w:val="20"/>
        </w:trPr>
        <w:tc>
          <w:tcPr>
            <w:tcW w:w="15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34"/>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976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w:anchor="page36">
              <w:r>
                <w:rPr>
                  <w:rFonts w:ascii="Times New Roman" w:cs="Times New Roman" w:eastAsia="Times New Roman" w:hAnsi="Times New Roman"/>
                  <w:sz w:val="18"/>
                  <w:szCs w:val="18"/>
                  <w:color w:val="0000FF"/>
                  <w:w w:val="99"/>
                </w:rPr>
                <w:t>Certification of Chief Financial Officer Pursuant to 18 U.S.C. Section 1350, as Adopted Pursuant to Section 906 of the Sarbanes-Oxley</w:t>
              </w:r>
            </w:hyperlink>
          </w:p>
        </w:tc>
        <w:tc>
          <w:tcPr>
            <w:tcW w:w="40" w:type="dxa"/>
            <w:vAlign w:val="bottom"/>
          </w:tcPr>
          <w:p>
            <w:pPr>
              <w:spacing w:after="0"/>
              <w:rPr>
                <w:sz w:val="24"/>
                <w:szCs w:val="24"/>
                <w:color w:val="auto"/>
              </w:rPr>
            </w:pPr>
          </w:p>
        </w:tc>
      </w:tr>
      <w:tr>
        <w:trPr>
          <w:trHeight w:val="196"/>
        </w:trPr>
        <w:tc>
          <w:tcPr>
            <w:tcW w:w="1520" w:type="dxa"/>
            <w:vAlign w:val="bottom"/>
          </w:tcPr>
          <w:p>
            <w:pPr>
              <w:spacing w:after="0"/>
              <w:rPr>
                <w:sz w:val="17"/>
                <w:szCs w:val="17"/>
                <w:color w:val="auto"/>
              </w:rPr>
            </w:pPr>
          </w:p>
        </w:tc>
        <w:tc>
          <w:tcPr>
            <w:tcW w:w="9800" w:type="dxa"/>
            <w:vAlign w:val="bottom"/>
            <w:gridSpan w:val="5"/>
          </w:tcPr>
          <w:p>
            <w:pPr>
              <w:spacing w:after="0" w:line="196" w:lineRule="exact"/>
              <w:rPr>
                <w:rFonts w:ascii="Times New Roman" w:cs="Times New Roman" w:eastAsia="Times New Roman" w:hAnsi="Times New Roman"/>
                <w:sz w:val="18"/>
                <w:szCs w:val="18"/>
                <w:color w:val="0000FF"/>
              </w:rPr>
            </w:pPr>
            <w:hyperlink w:anchor="page36">
              <w:r>
                <w:rPr>
                  <w:rFonts w:ascii="Times New Roman" w:cs="Times New Roman" w:eastAsia="Times New Roman" w:hAnsi="Times New Roman"/>
                  <w:sz w:val="18"/>
                  <w:szCs w:val="18"/>
                  <w:color w:val="0000FF"/>
                </w:rPr>
                <w:t>Act of 2002</w:t>
              </w:r>
            </w:hyperlink>
          </w:p>
        </w:tc>
      </w:tr>
      <w:tr>
        <w:trPr>
          <w:trHeight w:val="20"/>
        </w:trPr>
        <w:tc>
          <w:tcPr>
            <w:tcW w:w="15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940" w:type="dxa"/>
            <w:vAlign w:val="bottom"/>
            <w:gridSpan w:val="4"/>
          </w:tcPr>
          <w:p>
            <w:pPr>
              <w:spacing w:after="0" w:line="20" w:lineRule="exact"/>
              <w:rPr>
                <w:sz w:val="1"/>
                <w:szCs w:val="1"/>
                <w:color w:val="auto"/>
              </w:rPr>
            </w:pPr>
          </w:p>
        </w:tc>
      </w:tr>
      <w:tr>
        <w:trPr>
          <w:trHeight w:val="574"/>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554"/>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554"/>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554"/>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554"/>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554"/>
        </w:trPr>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2" w:lineRule="exact"/>
        <w:rPr>
          <w:sz w:val="20"/>
          <w:szCs w:val="20"/>
          <w:color w:val="auto"/>
        </w:rPr>
      </w:pPr>
    </w:p>
    <w:p>
      <w:pPr>
        <w:ind w:left="820" w:hanging="812"/>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0"/>
          <w:szCs w:val="20"/>
          <w:color w:val="auto"/>
        </w:rPr>
      </w:pPr>
    </w:p>
    <w:p>
      <w:pPr>
        <w:ind w:left="820" w:hanging="812"/>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20"/>
          </w:cols>
          <w:pgMar w:left="240" w:top="360" w:right="339" w:bottom="1440" w:gutter="0" w:footer="0" w:header="0"/>
        </w:sectPr>
      </w:pPr>
    </w:p>
    <w:bookmarkStart w:id="31" w:name="page32"/>
    <w:bookmarkEnd w:id="31"/>
    <w:p>
      <w:pPr>
        <w:jc w:val="center"/>
        <w:ind w:right="-6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5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April 24, 2019</w:t>
            </w:r>
          </w:p>
        </w:tc>
        <w:tc>
          <w:tcPr>
            <w:tcW w:w="66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WESTWOOD HOLDINGS GROUP, INC.</w:t>
            </w:r>
          </w:p>
        </w:tc>
      </w:tr>
      <w:tr>
        <w:trPr>
          <w:trHeight w:val="567"/>
        </w:trPr>
        <w:tc>
          <w:tcPr>
            <w:tcW w:w="6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3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Brian O. Casey</w:t>
            </w:r>
          </w:p>
        </w:tc>
      </w:tr>
      <w:tr>
        <w:trPr>
          <w:trHeight w:val="27"/>
        </w:trPr>
        <w:tc>
          <w:tcPr>
            <w:tcW w:w="6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O. Casey</w:t>
            </w:r>
          </w:p>
        </w:tc>
      </w:tr>
      <w:tr>
        <w:trPr>
          <w:trHeight w:val="270"/>
        </w:trPr>
        <w:tc>
          <w:tcPr>
            <w:tcW w:w="66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540"/>
        </w:trPr>
        <w:tc>
          <w:tcPr>
            <w:tcW w:w="6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3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Murray Forbes III</w:t>
            </w:r>
          </w:p>
        </w:tc>
      </w:tr>
      <w:tr>
        <w:trPr>
          <w:trHeight w:val="27"/>
        </w:trPr>
        <w:tc>
          <w:tcPr>
            <w:tcW w:w="6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Murray Forbes III</w:t>
            </w:r>
          </w:p>
        </w:tc>
      </w:tr>
      <w:tr>
        <w:trPr>
          <w:trHeight w:val="270"/>
        </w:trPr>
        <w:tc>
          <w:tcPr>
            <w:tcW w:w="66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486"/>
        </w:trPr>
        <w:tc>
          <w:tcPr>
            <w:tcW w:w="6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30</w:t>
            </w:r>
          </w:p>
        </w:tc>
        <w:tc>
          <w:tcPr>
            <w:tcW w:w="4220" w:type="dxa"/>
            <w:vAlign w:val="bottom"/>
          </w:tcPr>
          <w:p>
            <w:pPr>
              <w:spacing w:after="0"/>
              <w:rPr>
                <w:sz w:val="24"/>
                <w:szCs w:val="24"/>
                <w:color w:val="auto"/>
              </w:rPr>
            </w:pPr>
          </w:p>
        </w:tc>
      </w:tr>
    </w:tbl>
    <w:p>
      <w:pPr>
        <w:sectPr>
          <w:pgSz w:w="11900" w:h="16838" w:orient="portrait"/>
          <w:cols w:equalWidth="0" w:num="1">
            <w:col w:w="10780"/>
          </w:cols>
          <w:pgMar w:left="240" w:top="364" w:right="87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O. Casey, certify that:</w:t>
      </w:r>
    </w:p>
    <w:p>
      <w:pPr>
        <w:spacing w:after="0" w:line="252" w:lineRule="exact"/>
        <w:rPr>
          <w:sz w:val="20"/>
          <w:szCs w:val="20"/>
          <w:color w:val="auto"/>
        </w:rPr>
      </w:pPr>
    </w:p>
    <w:p>
      <w:pPr>
        <w:ind w:left="1260" w:hanging="1225"/>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Westwood Holdings Group, Inc.;</w:t>
      </w:r>
    </w:p>
    <w:p>
      <w:pPr>
        <w:spacing w:after="0" w:line="279" w:lineRule="exact"/>
        <w:rPr>
          <w:rFonts w:ascii="Times New Roman" w:cs="Times New Roman" w:eastAsia="Times New Roman" w:hAnsi="Times New Roman"/>
          <w:sz w:val="18"/>
          <w:szCs w:val="18"/>
          <w:color w:val="auto"/>
        </w:rPr>
      </w:pPr>
    </w:p>
    <w:p>
      <w:pPr>
        <w:ind w:left="1260" w:right="480" w:hanging="1225"/>
        <w:spacing w:after="0" w:line="266"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0" w:lineRule="exact"/>
        <w:rPr>
          <w:rFonts w:ascii="Times New Roman" w:cs="Times New Roman" w:eastAsia="Times New Roman" w:hAnsi="Times New Roman"/>
          <w:sz w:val="18"/>
          <w:szCs w:val="18"/>
          <w:color w:val="auto"/>
        </w:rPr>
      </w:pPr>
    </w:p>
    <w:p>
      <w:pPr>
        <w:ind w:left="1260" w:right="560" w:hanging="1225"/>
        <w:spacing w:after="0" w:line="266"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0" w:lineRule="exact"/>
        <w:rPr>
          <w:rFonts w:ascii="Times New Roman" w:cs="Times New Roman" w:eastAsia="Times New Roman" w:hAnsi="Times New Roman"/>
          <w:sz w:val="18"/>
          <w:szCs w:val="18"/>
          <w:color w:val="auto"/>
        </w:rPr>
      </w:pPr>
    </w:p>
    <w:p>
      <w:pPr>
        <w:ind w:left="1260" w:right="520" w:hanging="1225"/>
        <w:spacing w:after="0" w:line="266"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8"/>
          <w:szCs w:val="18"/>
          <w:color w:val="auto"/>
        </w:rPr>
      </w:pPr>
    </w:p>
    <w:p>
      <w:pPr>
        <w:ind w:left="980" w:right="160" w:firstLine="500"/>
        <w:spacing w:after="0" w:line="266" w:lineRule="auto"/>
        <w:tabs>
          <w:tab w:leader="none" w:pos="173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980" w:right="260" w:firstLine="500"/>
        <w:spacing w:after="0" w:line="313" w:lineRule="auto"/>
        <w:tabs>
          <w:tab w:leader="none" w:pos="1724"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980" w:right="20" w:firstLine="500"/>
        <w:spacing w:after="0" w:line="266" w:lineRule="auto"/>
        <w:tabs>
          <w:tab w:leader="none" w:pos="173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1260" w:right="600" w:hanging="1225"/>
        <w:spacing w:after="0" w:line="266"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Times New Roman" w:cs="Times New Roman" w:eastAsia="Times New Roman" w:hAnsi="Times New Roman"/>
          <w:sz w:val="18"/>
          <w:szCs w:val="18"/>
          <w:color w:val="auto"/>
        </w:rPr>
      </w:pPr>
    </w:p>
    <w:p>
      <w:pPr>
        <w:ind w:left="980" w:right="200" w:firstLine="500"/>
        <w:spacing w:after="0" w:line="282" w:lineRule="auto"/>
        <w:tabs>
          <w:tab w:leader="none" w:pos="172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firstLine="500"/>
        <w:spacing w:after="0" w:line="282" w:lineRule="auto"/>
        <w:tabs>
          <w:tab w:leader="none" w:pos="173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24, 2019</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34290</wp:posOffset>
            </wp:positionV>
            <wp:extent cx="21437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Brian O. Casey</w:t>
      </w:r>
    </w:p>
    <w:p>
      <w:pPr>
        <w:spacing w:after="0" w:line="63"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ectPr>
          <w:pgSz w:w="11900" w:h="16838" w:orient="portrait"/>
          <w:cols w:equalWidth="0" w:num="1">
            <w:col w:w="11420"/>
          </w:cols>
          <w:pgMar w:left="240" w:top="360"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Murray Forbes III, certify that:</w:t>
      </w:r>
    </w:p>
    <w:p>
      <w:pPr>
        <w:spacing w:after="0" w:line="252" w:lineRule="exact"/>
        <w:rPr>
          <w:sz w:val="20"/>
          <w:szCs w:val="20"/>
          <w:color w:val="auto"/>
        </w:rPr>
      </w:pPr>
    </w:p>
    <w:p>
      <w:pPr>
        <w:ind w:left="1300" w:hanging="1265"/>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Westwood Holdings Group, Inc.;</w:t>
      </w:r>
    </w:p>
    <w:p>
      <w:pPr>
        <w:spacing w:after="0" w:line="279" w:lineRule="exact"/>
        <w:rPr>
          <w:rFonts w:ascii="Times New Roman" w:cs="Times New Roman" w:eastAsia="Times New Roman" w:hAnsi="Times New Roman"/>
          <w:sz w:val="18"/>
          <w:szCs w:val="18"/>
          <w:color w:val="auto"/>
        </w:rPr>
      </w:pPr>
    </w:p>
    <w:p>
      <w:pPr>
        <w:ind w:left="1300" w:right="120" w:hanging="1265"/>
        <w:spacing w:after="0" w:line="266"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0" w:lineRule="exact"/>
        <w:rPr>
          <w:rFonts w:ascii="Times New Roman" w:cs="Times New Roman" w:eastAsia="Times New Roman" w:hAnsi="Times New Roman"/>
          <w:sz w:val="18"/>
          <w:szCs w:val="18"/>
          <w:color w:val="auto"/>
        </w:rPr>
      </w:pPr>
    </w:p>
    <w:p>
      <w:pPr>
        <w:ind w:left="1300" w:right="420" w:hanging="1265"/>
        <w:spacing w:after="0" w:line="313" w:lineRule="auto"/>
        <w:tabs>
          <w:tab w:leader="none" w:pos="1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2" w:lineRule="exact"/>
        <w:rPr>
          <w:rFonts w:ascii="Times New Roman" w:cs="Times New Roman" w:eastAsia="Times New Roman" w:hAnsi="Times New Roman"/>
          <w:sz w:val="17"/>
          <w:szCs w:val="17"/>
          <w:color w:val="auto"/>
        </w:rPr>
      </w:pPr>
    </w:p>
    <w:p>
      <w:pPr>
        <w:ind w:left="1300" w:right="280" w:hanging="1265"/>
        <w:spacing w:after="0" w:line="276" w:lineRule="auto"/>
        <w:tabs>
          <w:tab w:leader="none" w:pos="13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25" w:lineRule="exact"/>
        <w:rPr>
          <w:rFonts w:ascii="Times New Roman" w:cs="Times New Roman" w:eastAsia="Times New Roman" w:hAnsi="Times New Roman"/>
          <w:sz w:val="17"/>
          <w:szCs w:val="17"/>
          <w:color w:val="auto"/>
        </w:rPr>
      </w:pPr>
    </w:p>
    <w:p>
      <w:pPr>
        <w:ind w:left="980" w:right="160" w:firstLine="500"/>
        <w:spacing w:after="0" w:line="266" w:lineRule="auto"/>
        <w:tabs>
          <w:tab w:leader="none" w:pos="173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980" w:right="260" w:firstLine="500"/>
        <w:spacing w:after="0" w:line="313" w:lineRule="auto"/>
        <w:tabs>
          <w:tab w:leader="none" w:pos="1724"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980" w:right="20" w:firstLine="500"/>
        <w:spacing w:after="0" w:line="266" w:lineRule="auto"/>
        <w:tabs>
          <w:tab w:leader="none" w:pos="173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1300" w:right="340" w:hanging="1265"/>
        <w:spacing w:after="0" w:line="266"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Times New Roman" w:cs="Times New Roman" w:eastAsia="Times New Roman" w:hAnsi="Times New Roman"/>
          <w:sz w:val="18"/>
          <w:szCs w:val="18"/>
          <w:color w:val="auto"/>
        </w:rPr>
      </w:pPr>
    </w:p>
    <w:p>
      <w:pPr>
        <w:ind w:left="980" w:right="200" w:firstLine="500"/>
        <w:spacing w:after="0" w:line="282" w:lineRule="auto"/>
        <w:tabs>
          <w:tab w:leader="none" w:pos="17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firstLine="500"/>
        <w:spacing w:after="0" w:line="282" w:lineRule="auto"/>
        <w:tabs>
          <w:tab w:leader="none" w:pos="173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24, 2019</w:t>
      </w:r>
    </w:p>
    <w:p>
      <w:pPr>
        <w:spacing w:after="0" w:line="200" w:lineRule="exact"/>
        <w:rPr>
          <w:sz w:val="20"/>
          <w:szCs w:val="20"/>
          <w:color w:val="auto"/>
        </w:rPr>
      </w:pPr>
    </w:p>
    <w:p>
      <w:pPr>
        <w:spacing w:after="0" w:line="228"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34290</wp:posOffset>
            </wp:positionV>
            <wp:extent cx="25641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57"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Murray Forbes III</w:t>
      </w:r>
    </w:p>
    <w:p>
      <w:pPr>
        <w:spacing w:after="0" w:line="6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420"/>
          </w:cols>
          <w:pgMar w:left="240" w:top="360"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Westwood Holdings Group, Inc. (the “Company”) on Form 10-Q for the period ended March 31, 2019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68" w:lineRule="exact"/>
        <w:rPr>
          <w:sz w:val="20"/>
          <w:szCs w:val="20"/>
          <w:color w:val="auto"/>
        </w:rPr>
      </w:pPr>
    </w:p>
    <w:p>
      <w:pPr>
        <w:ind w:left="760" w:hanging="2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U.S.C.78m or 78o(d)); and</w:t>
      </w:r>
    </w:p>
    <w:p>
      <w:pPr>
        <w:spacing w:after="0" w:line="117" w:lineRule="exact"/>
        <w:rPr>
          <w:rFonts w:ascii="Times New Roman" w:cs="Times New Roman" w:eastAsia="Times New Roman" w:hAnsi="Times New Roman"/>
          <w:sz w:val="18"/>
          <w:szCs w:val="18"/>
          <w:color w:val="auto"/>
        </w:rPr>
      </w:pPr>
    </w:p>
    <w:p>
      <w:pPr>
        <w:ind w:left="760" w:hanging="2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2019</w:t>
      </w:r>
    </w:p>
    <w:p>
      <w:pPr>
        <w:spacing w:after="0" w:line="200" w:lineRule="exact"/>
        <w:rPr>
          <w:sz w:val="20"/>
          <w:szCs w:val="20"/>
          <w:color w:val="auto"/>
        </w:rPr>
      </w:pPr>
    </w:p>
    <w:p>
      <w:pPr>
        <w:spacing w:after="0" w:line="228"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34290</wp:posOffset>
            </wp:positionV>
            <wp:extent cx="24872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57"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Brian O. Casey</w:t>
      </w:r>
    </w:p>
    <w:p>
      <w:pPr>
        <w:spacing w:after="0" w:line="63"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252" w:lineRule="exact"/>
        <w:rPr>
          <w:sz w:val="20"/>
          <w:szCs w:val="20"/>
          <w:color w:val="auto"/>
        </w:rPr>
      </w:pPr>
    </w:p>
    <w:p>
      <w:pPr>
        <w:jc w:val="both"/>
        <w:ind w:right="460" w:firstLine="50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360"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Westwood Holdings Group, Inc. (the “Company”) on Form 10-Q for the period ended March 31, 2019 as filed with the Securities and Exchange Commission on the date hereof (the “Report”), I, Murray Forbes III, Chief Financial Officer of the Company, certify, pursuant to 18 U.S.C. § 1350, as adopted pursuant to § 906 of the Sarbanes-Oxley Act of 2002, that, to the best of my knowledge:</w:t>
      </w:r>
    </w:p>
    <w:p>
      <w:pPr>
        <w:spacing w:after="0" w:line="68" w:lineRule="exact"/>
        <w:rPr>
          <w:sz w:val="20"/>
          <w:szCs w:val="20"/>
          <w:color w:val="auto"/>
        </w:rPr>
      </w:pPr>
    </w:p>
    <w:p>
      <w:pPr>
        <w:ind w:left="760" w:hanging="252"/>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(15U.S.C. 78m or 78o(d)); and</w:t>
      </w:r>
    </w:p>
    <w:p>
      <w:pPr>
        <w:spacing w:after="0" w:line="117" w:lineRule="exact"/>
        <w:rPr>
          <w:rFonts w:ascii="Times New Roman" w:cs="Times New Roman" w:eastAsia="Times New Roman" w:hAnsi="Times New Roman"/>
          <w:sz w:val="18"/>
          <w:szCs w:val="18"/>
          <w:color w:val="auto"/>
        </w:rPr>
      </w:pPr>
    </w:p>
    <w:p>
      <w:pPr>
        <w:ind w:left="760" w:hanging="252"/>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2019</w:t>
      </w:r>
    </w:p>
    <w:p>
      <w:pPr>
        <w:spacing w:after="0" w:line="200" w:lineRule="exact"/>
        <w:rPr>
          <w:sz w:val="20"/>
          <w:szCs w:val="20"/>
          <w:color w:val="auto"/>
        </w:rPr>
      </w:pPr>
    </w:p>
    <w:p>
      <w:pPr>
        <w:spacing w:after="0" w:line="228"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34290</wp:posOffset>
            </wp:positionV>
            <wp:extent cx="302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Murray Forbes III</w:t>
      </w:r>
    </w:p>
    <w:p>
      <w:pPr>
        <w:spacing w:after="0" w:line="6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52" w:lineRule="exact"/>
        <w:rPr>
          <w:sz w:val="20"/>
          <w:szCs w:val="20"/>
          <w:color w:val="auto"/>
        </w:rPr>
      </w:pPr>
    </w:p>
    <w:p>
      <w:pPr>
        <w:jc w:val="both"/>
        <w:ind w:right="460" w:firstLine="50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lvl w:ilvl="1">
      <w:lvlJc w:val="left"/>
      <w:lvlText w:val="(%2)"/>
      <w:numFmt w:val="decimal"/>
      <w:start w:val="1"/>
    </w:lvl>
  </w:abstractNum>
  <w:abstractNum w:abstractNumId="4">
    <w:nsid w:val="1F16E9E8"/>
    <w:multiLevelType w:val="hybridMultilevel"/>
    <w:lvl w:ilvl="0">
      <w:lvlJc w:val="left"/>
      <w:lvlText w:val="%1."/>
      <w:numFmt w:val="decimal"/>
      <w:start w:val="6"/>
    </w:lvl>
    <w:lvl w:ilvl="1">
      <w:lvlJc w:val="left"/>
      <w:lvlText w:val="%2"/>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lvl w:ilvl="1">
      <w:lvlJc w:val="left"/>
      <w:lvlText w:val="(%2)"/>
      <w:numFmt w:val="lowerLetter"/>
      <w:start w:val="2"/>
    </w:lvl>
  </w:abstractNum>
  <w:abstractNum w:abstractNumId="12">
    <w:nsid w:val="1BEFD79F"/>
    <w:multiLevelType w:val="hybridMultilevel"/>
    <w:lvl w:ilvl="0">
      <w:lvlJc w:val="left"/>
      <w:lvlText w:val="%1"/>
      <w:numFmt w:val="decimal"/>
      <w:start w:val="1"/>
    </w:lvl>
    <w:lvl w:ilvl="1">
      <w:lvlJc w:val="left"/>
      <w:lvlText w:val="(%2)"/>
      <w:numFmt w:val="lowerLetter"/>
      <w:start w:val="1"/>
    </w:lvl>
  </w:abstractNum>
  <w:abstractNum w:abstractNumId="13">
    <w:nsid w:val="41A7C4C9"/>
    <w:multiLevelType w:val="hybridMultilevel"/>
    <w:lvl w:ilvl="0">
      <w:lvlJc w:val="left"/>
      <w:lvlText w:val="%1."/>
      <w:numFmt w:val="decimal"/>
      <w:start w:val="1"/>
    </w:lvl>
    <w:lvl w:ilvl="1">
      <w:lvlJc w:val="left"/>
      <w:lvlText w:val="(%2)"/>
      <w:numFmt w:val="lowerLetter"/>
      <w:start w:val="2"/>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2019-12-28T13:40:06Z</dcterms:created>
  <dcterms:modified xsi:type="dcterms:W3CDTF">2019-12-28T13:40:06Z</dcterms:modified>
</cp:coreProperties>
</file>