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July 29, 2020</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240"/>
          </w:cols>
          <w:pgMar w:left="320" w:top="1043" w:right="339" w:bottom="1440" w:gutter="0" w:footer="0" w:header="0"/>
        </w:sectPr>
      </w:pPr>
    </w:p>
    <w:p>
      <w:pPr>
        <w:spacing w:after="0" w:line="200" w:lineRule="exact"/>
        <w:rPr>
          <w:sz w:val="24"/>
          <w:szCs w:val="24"/>
          <w:color w:val="auto"/>
        </w:rPr>
      </w:pPr>
    </w:p>
    <w:p>
      <w:pPr>
        <w:spacing w:after="0" w:line="358"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jc w:val="center"/>
        <w:ind w:right="2220"/>
        <w:spacing w:after="0"/>
        <w:rPr>
          <w:sz w:val="20"/>
          <w:szCs w:val="20"/>
          <w:color w:val="auto"/>
        </w:rPr>
      </w:pPr>
      <w:r>
        <w:rPr>
          <w:rFonts w:ascii="Arial" w:cs="Arial" w:eastAsia="Arial" w:hAnsi="Arial"/>
          <w:sz w:val="16"/>
          <w:szCs w:val="16"/>
          <w:color w:val="auto"/>
        </w:rPr>
        <w:t>001-31234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6"/>
          <w:szCs w:val="16"/>
          <w:color w:val="auto"/>
        </w:rPr>
        <w:t>75-2969997</w:t>
      </w:r>
    </w:p>
    <w:p>
      <w:pPr>
        <w:spacing w:after="0" w:line="86" w:lineRule="exact"/>
        <w:rPr>
          <w:sz w:val="24"/>
          <w:szCs w:val="24"/>
          <w:color w:val="auto"/>
        </w:rPr>
      </w:pPr>
    </w:p>
    <w:p>
      <w:pPr>
        <w:sectPr>
          <w:pgSz w:w="11900" w:h="16838" w:orient="portrait"/>
          <w:cols w:equalWidth="0" w:num="3">
            <w:col w:w="4500" w:space="720"/>
            <w:col w:w="3000" w:space="720"/>
            <w:col w:w="2300"/>
          </w:cols>
          <w:pgMar w:left="320" w:top="1043"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(IRS Employer Identification No.)</w:t>
      </w:r>
    </w:p>
    <w:p>
      <w:pPr>
        <w:spacing w:after="0" w:line="75" w:lineRule="exact"/>
        <w:rPr>
          <w:sz w:val="24"/>
          <w:szCs w:val="24"/>
          <w:color w:val="auto"/>
        </w:rPr>
      </w:pPr>
    </w:p>
    <w:p>
      <w:pPr>
        <w:sectPr>
          <w:pgSz w:w="11900" w:h="16838" w:orient="portrait"/>
          <w:cols w:equalWidth="0" w:num="3">
            <w:col w:w="3900" w:space="720"/>
            <w:col w:w="2800" w:space="720"/>
            <w:col w:w="3100"/>
          </w:cols>
          <w:pgMar w:left="320" w:top="1043" w:right="339" w:bottom="1440" w:gutter="0" w:footer="0" w:header="0"/>
          <w:type w:val="continuous"/>
        </w:sectPr>
      </w:pPr>
    </w:p>
    <w:p>
      <w:pPr>
        <w:ind w:left="1240"/>
        <w:spacing w:after="0"/>
        <w:rPr>
          <w:sz w:val="20"/>
          <w:szCs w:val="20"/>
          <w:color w:val="auto"/>
        </w:rPr>
      </w:pPr>
      <w:r>
        <w:rPr>
          <w:rFonts w:ascii="Arial" w:cs="Arial" w:eastAsia="Arial" w:hAnsi="Arial"/>
          <w:sz w:val="18"/>
          <w:szCs w:val="18"/>
          <w:color w:val="auto"/>
        </w:rPr>
        <w:t>of incorporation)</w:t>
      </w:r>
    </w:p>
    <w:p>
      <w:pPr>
        <w:spacing w:after="0" w:line="3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240"/>
          </w:cols>
          <w:pgMar w:left="320" w:top="1043" w:right="339" w:bottom="1440" w:gutter="0" w:footer="0" w:header="0"/>
          <w:type w:val="continuous"/>
        </w:sectPr>
      </w:pPr>
    </w:p>
    <w:p>
      <w:pPr>
        <w:spacing w:after="0" w:line="274" w:lineRule="exact"/>
        <w:rPr>
          <w:sz w:val="24"/>
          <w:szCs w:val="24"/>
          <w:color w:val="auto"/>
        </w:rPr>
      </w:pPr>
    </w:p>
    <w:p>
      <w:pPr>
        <w:ind w:right="320" w:firstLine="36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66"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8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20" w:type="dxa"/>
            <w:vAlign w:val="bottom"/>
            <w:gridSpan w:val="3"/>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3340" w:type="dxa"/>
            <w:vAlign w:val="bottom"/>
          </w:tcPr>
          <w:p>
            <w:pPr>
              <w:spacing w:after="0"/>
              <w:rPr>
                <w:sz w:val="17"/>
                <w:szCs w:val="17"/>
                <w:color w:val="auto"/>
              </w:rPr>
            </w:pPr>
          </w:p>
        </w:tc>
      </w:tr>
      <w:tr>
        <w:trPr>
          <w:trHeight w:val="330"/>
        </w:trPr>
        <w:tc>
          <w:tcPr>
            <w:tcW w:w="82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24"/>
                <w:szCs w:val="24"/>
                <w:color w:val="auto"/>
              </w:rPr>
            </w:pPr>
          </w:p>
        </w:tc>
        <w:tc>
          <w:tcPr>
            <w:tcW w:w="3820" w:type="dxa"/>
            <w:vAlign w:val="bottom"/>
            <w:gridSpan w:val="3"/>
          </w:tcPr>
          <w:p>
            <w:pPr>
              <w:jc w:val="center"/>
              <w:ind w:left="15"/>
              <w:spacing w:after="0"/>
              <w:rPr>
                <w:sz w:val="20"/>
                <w:szCs w:val="20"/>
                <w:color w:val="auto"/>
              </w:rPr>
            </w:pPr>
            <w:r>
              <w:rPr>
                <w:rFonts w:ascii="Arial" w:cs="Arial" w:eastAsia="Arial" w:hAnsi="Arial"/>
                <w:sz w:val="18"/>
                <w:szCs w:val="18"/>
                <w:color w:val="auto"/>
                <w:w w:val="92"/>
              </w:rPr>
              <w:t>Trading Symbol(s)</w:t>
            </w:r>
          </w:p>
        </w:tc>
        <w:tc>
          <w:tcPr>
            <w:tcW w:w="334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80" w:type="dxa"/>
            <w:vAlign w:val="bottom"/>
          </w:tcPr>
          <w:p>
            <w:pPr>
              <w:spacing w:after="0"/>
              <w:rPr>
                <w:sz w:val="24"/>
                <w:szCs w:val="24"/>
                <w:color w:val="auto"/>
              </w:rPr>
            </w:pPr>
          </w:p>
        </w:tc>
        <w:tc>
          <w:tcPr>
            <w:tcW w:w="2540" w:type="dxa"/>
            <w:vAlign w:val="bottom"/>
            <w:gridSpan w:val="2"/>
          </w:tcPr>
          <w:p>
            <w:pPr>
              <w:jc w:val="center"/>
              <w:ind w:right="1180"/>
              <w:spacing w:after="0"/>
              <w:rPr>
                <w:sz w:val="20"/>
                <w:szCs w:val="20"/>
                <w:color w:val="auto"/>
              </w:rPr>
            </w:pPr>
            <w:r>
              <w:rPr>
                <w:rFonts w:ascii="Arial" w:cs="Arial" w:eastAsia="Arial" w:hAnsi="Arial"/>
                <w:sz w:val="18"/>
                <w:szCs w:val="18"/>
                <w:color w:val="auto"/>
                <w:w w:val="99"/>
              </w:rPr>
              <w:t>WHG</w:t>
            </w: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77" w:lineRule="exact"/>
        <w:rPr>
          <w:sz w:val="24"/>
          <w:szCs w:val="24"/>
          <w:color w:val="auto"/>
        </w:rPr>
      </w:pPr>
    </w:p>
    <w:p>
      <w:pPr>
        <w:ind w:right="5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ind w:left="9240"/>
        <w:spacing w:after="0" w:line="173" w:lineRule="exact"/>
        <w:rPr>
          <w:sz w:val="20"/>
          <w:szCs w:val="20"/>
          <w:color w:val="auto"/>
        </w:rPr>
      </w:pPr>
      <w:r>
        <w:rPr>
          <w:rFonts w:ascii="Arial" w:cs="Arial" w:eastAsia="Arial" w:hAnsi="Arial"/>
          <w:sz w:val="15"/>
          <w:szCs w:val="15"/>
          <w:color w:val="auto"/>
        </w:rPr>
        <w:t xml:space="preserve">Emerging growth company </w:t>
      </w:r>
      <w:r>
        <w:rPr>
          <w:rFonts w:ascii="MS PGothic" w:cs="MS PGothic" w:eastAsia="MS PGothic" w:hAnsi="MS PGothic"/>
          <w:sz w:val="15"/>
          <w:szCs w:val="15"/>
          <w:color w:val="auto"/>
        </w:rPr>
        <w:t>☐</w:t>
      </w:r>
    </w:p>
    <w:p>
      <w:pPr>
        <w:spacing w:after="0" w:line="231" w:lineRule="exact"/>
        <w:rPr>
          <w:sz w:val="24"/>
          <w:szCs w:val="24"/>
          <w:color w:val="auto"/>
        </w:rPr>
      </w:pPr>
    </w:p>
    <w:p>
      <w:pPr>
        <w:ind w:right="200"/>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240"/>
          </w:cols>
          <w:pgMar w:left="320" w:top="1043"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0"/>
          <w:szCs w:val="20"/>
          <w:color w:val="auto"/>
        </w:rPr>
        <w:t>ITEM 2.02: RESULTS OF OPERATIONS AND FINANCIAL CONDITION</w:t>
      </w:r>
    </w:p>
    <w:p>
      <w:pPr>
        <w:spacing w:after="0" w:line="243" w:lineRule="exact"/>
        <w:rPr>
          <w:sz w:val="20"/>
          <w:szCs w:val="20"/>
          <w:color w:val="auto"/>
        </w:rPr>
      </w:pPr>
    </w:p>
    <w:p>
      <w:pPr>
        <w:ind w:right="300"/>
        <w:spacing w:after="0" w:line="260" w:lineRule="auto"/>
        <w:rPr>
          <w:sz w:val="20"/>
          <w:szCs w:val="20"/>
          <w:color w:val="auto"/>
        </w:rPr>
      </w:pPr>
      <w:r>
        <w:rPr>
          <w:rFonts w:ascii="Arial" w:cs="Arial" w:eastAsia="Arial" w:hAnsi="Arial"/>
          <w:sz w:val="20"/>
          <w:szCs w:val="20"/>
          <w:color w:val="auto"/>
        </w:rPr>
        <w:t>On July 29, 2020, Westwood Holdings Group, Inc. (“Westwood”) announced its financial results for the quarter ended March 31, 2020, a copy of which is furnished with this Current Report on Form 8-K as Exhibit 99.1.</w:t>
      </w:r>
    </w:p>
    <w:p>
      <w:pPr>
        <w:spacing w:after="0" w:line="204" w:lineRule="exact"/>
        <w:rPr>
          <w:sz w:val="20"/>
          <w:szCs w:val="20"/>
          <w:color w:val="auto"/>
        </w:rPr>
      </w:pPr>
    </w:p>
    <w:p>
      <w:pPr>
        <w:spacing w:after="0" w:line="246" w:lineRule="auto"/>
        <w:rPr>
          <w:sz w:val="20"/>
          <w:szCs w:val="20"/>
          <w:color w:val="auto"/>
        </w:rPr>
      </w:pPr>
      <w:r>
        <w:rPr>
          <w:rFonts w:ascii="Arial" w:cs="Arial" w:eastAsia="Arial" w:hAnsi="Arial"/>
          <w:sz w:val="20"/>
          <w:szCs w:val="20"/>
          <w:color w:val="auto"/>
        </w:rPr>
        <w:t>The information in this Current Report on Form 8-K, including Exhibit 99.1, shall not be deemed to be “filed” for the purposes of Section 18 of the Securities Exchange Act of 1934 (the “Exchange Act”), as amended, or otherwise subject to the liabilities of that Section, nor shall it be incorporated by reference in any filing under the Securities Act of 1933, as amended, or the Exchange Act, except as otherwise expressly stated in such filing.</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color w:val="auto"/>
        </w:rPr>
        <w:t>(d) Exhibits: The following exhibit is furnished with this report:</w:t>
      </w:r>
    </w:p>
    <w:p>
      <w:pPr>
        <w:spacing w:after="0" w:line="243" w:lineRule="exact"/>
        <w:rPr>
          <w:sz w:val="20"/>
          <w:szCs w:val="20"/>
          <w:color w:val="auto"/>
        </w:rPr>
      </w:pPr>
    </w:p>
    <w:p>
      <w:pPr>
        <w:spacing w:after="0"/>
        <w:tabs>
          <w:tab w:leader="none" w:pos="152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243" w:lineRule="exact"/>
        <w:rPr>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 xml:space="preserve">99.1 </w:t>
      </w:r>
      <w:hyperlink w:anchor="page4">
        <w:r>
          <w:rPr>
            <w:rFonts w:ascii="Arial" w:cs="Arial" w:eastAsia="Arial" w:hAnsi="Arial"/>
            <w:sz w:val="20"/>
            <w:szCs w:val="20"/>
            <w:u w:val="single" w:color="auto"/>
            <w:color w:val="0000FF"/>
          </w:rPr>
          <w:t>Press Release dated July 29, 2020</w:t>
        </w:r>
      </w:hyperlink>
    </w:p>
    <w:p>
      <w:pPr>
        <w:sectPr>
          <w:pgSz w:w="11900" w:h="16838" w:orient="portrait"/>
          <w:cols w:equalWidth="0" w:num="1">
            <w:col w:w="11160"/>
          </w:cols>
          <w:pgMar w:left="320" w:top="892" w:right="41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396"/>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July 29, 2020</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WESTWOOD HOLDINGS GROUP, INC.</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Murray Forbes III</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Murray Forbes III</w:t>
      </w:r>
    </w:p>
    <w:p>
      <w:pPr>
        <w:spacing w:after="0" w:line="6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Chief Financial Officer and Treasurer</w:t>
      </w:r>
    </w:p>
    <w:p>
      <w:pPr>
        <w:sectPr>
          <w:pgSz w:w="11900" w:h="16838" w:orient="portrait"/>
          <w:cols w:equalWidth="0" w:num="1">
            <w:col w:w="11160"/>
          </w:cols>
          <w:pgMar w:left="320" w:top="892" w:right="41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2685415</wp:posOffset>
            </wp:positionH>
            <wp:positionV relativeFrom="page">
              <wp:posOffset>732155</wp:posOffset>
            </wp:positionV>
            <wp:extent cx="2177415" cy="7200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17741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Westwood Holdings Group, Inc. Reports Second Quarter 2020 Results</w:t>
      </w:r>
    </w:p>
    <w:p>
      <w:pPr>
        <w:spacing w:after="0" w:line="53" w:lineRule="exact"/>
        <w:rPr>
          <w:sz w:val="20"/>
          <w:szCs w:val="20"/>
          <w:color w:val="auto"/>
        </w:rPr>
      </w:pPr>
    </w:p>
    <w:p>
      <w:pPr>
        <w:jc w:val="center"/>
        <w:spacing w:after="0" w:line="328" w:lineRule="auto"/>
        <w:rPr>
          <w:sz w:val="20"/>
          <w:szCs w:val="20"/>
          <w:color w:val="auto"/>
        </w:rPr>
      </w:pPr>
      <w:r>
        <w:rPr>
          <w:rFonts w:ascii="Arial" w:cs="Arial" w:eastAsia="Arial" w:hAnsi="Arial"/>
          <w:sz w:val="18"/>
          <w:szCs w:val="18"/>
          <w:b w:val="1"/>
          <w:bCs w:val="1"/>
          <w:color w:val="auto"/>
        </w:rPr>
        <w:t>Westwood SmallCap Fund Introduces Y Share Class Westwood SmidCap Fund Introduces Ultra Share Class Trading outsourced to improve client experience and internal operational efficiency</w:t>
      </w:r>
    </w:p>
    <w:p>
      <w:pPr>
        <w:spacing w:after="0" w:line="161" w:lineRule="exact"/>
        <w:rPr>
          <w:sz w:val="20"/>
          <w:szCs w:val="20"/>
          <w:color w:val="auto"/>
        </w:rPr>
      </w:pPr>
    </w:p>
    <w:p>
      <w:pPr>
        <w:spacing w:after="0"/>
        <w:rPr>
          <w:sz w:val="20"/>
          <w:szCs w:val="20"/>
          <w:color w:val="auto"/>
        </w:rPr>
      </w:pPr>
      <w:r>
        <w:rPr>
          <w:rFonts w:ascii="Arial" w:cs="Arial" w:eastAsia="Arial" w:hAnsi="Arial"/>
          <w:sz w:val="19"/>
          <w:szCs w:val="19"/>
          <w:color w:val="auto"/>
        </w:rPr>
        <w:t>Dallas, TX, July 29, 2020 – Westwood Holdings Group, Inc. (NYSE: WHG) today reported second quarter 2020 earnings.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Highlights from the quarter include:</w:t>
      </w:r>
    </w:p>
    <w:p>
      <w:pPr>
        <w:spacing w:after="0" w:line="188" w:lineRule="exact"/>
        <w:rPr>
          <w:sz w:val="20"/>
          <w:szCs w:val="20"/>
          <w:color w:val="auto"/>
        </w:rPr>
      </w:pPr>
    </w:p>
    <w:p>
      <w:pPr>
        <w:ind w:left="660" w:right="6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Income Opportunity, Enhanced Balanced, SmallCap Value, Alternative Income, Global Convertible, LargeCap Select and Total Return strategies beat their primary benchmarks for the quarter.</w:t>
      </w:r>
    </w:p>
    <w:p>
      <w:pPr>
        <w:spacing w:after="0" w:line="120" w:lineRule="exact"/>
        <w:rPr>
          <w:rFonts w:ascii="Arial" w:cs="Arial" w:eastAsia="Arial" w:hAnsi="Arial"/>
          <w:sz w:val="22"/>
          <w:szCs w:val="22"/>
          <w:color w:val="auto"/>
        </w:rPr>
      </w:pPr>
    </w:p>
    <w:p>
      <w:pPr>
        <w:ind w:left="660" w:right="18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Income Opportunity, Enhanced Balanced, Alternative Income, Global Convertible, MLP Opportunities and Total Return strategies achieved top quartile institutional rankings.</w:t>
      </w:r>
    </w:p>
    <w:p>
      <w:pPr>
        <w:spacing w:after="0" w:line="120"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1"/>
          <w:szCs w:val="21"/>
          <w:color w:val="auto"/>
        </w:rPr>
      </w:pPr>
      <w:r>
        <w:rPr>
          <w:rFonts w:ascii="Arial" w:cs="Arial" w:eastAsia="Arial" w:hAnsi="Arial"/>
          <w:sz w:val="21"/>
          <w:szCs w:val="21"/>
          <w:color w:val="auto"/>
        </w:rPr>
        <w:t>Revenues of $15.9 million compared with $16.7 million in the first quarter of 2020 and $21.7 million a year ago.</w:t>
      </w:r>
    </w:p>
    <w:p>
      <w:pPr>
        <w:spacing w:after="0" w:line="177" w:lineRule="exact"/>
        <w:rPr>
          <w:rFonts w:ascii="Arial" w:cs="Arial" w:eastAsia="Arial" w:hAnsi="Arial"/>
          <w:sz w:val="21"/>
          <w:szCs w:val="21"/>
          <w:color w:val="auto"/>
        </w:rPr>
      </w:pPr>
    </w:p>
    <w:p>
      <w:pPr>
        <w:ind w:left="660" w:right="40" w:hanging="328"/>
        <w:spacing w:after="0" w:line="25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Net loss of $2.6 million compared with net income of $1.1 million in the first quarter of 2020 and $1.9 million a year ago. Non-GAAP Economic Earnings of $0.2 million, compared with $4.2 million in the first quarter of 2020 and $4.8 million a year ago.</w:t>
      </w:r>
    </w:p>
    <w:p>
      <w:pPr>
        <w:spacing w:after="0" w:line="131" w:lineRule="exact"/>
        <w:rPr>
          <w:rFonts w:ascii="Arial" w:cs="Arial" w:eastAsia="Arial" w:hAnsi="Arial"/>
          <w:sz w:val="22"/>
          <w:szCs w:val="22"/>
          <w:color w:val="auto"/>
        </w:rPr>
      </w:pPr>
    </w:p>
    <w:p>
      <w:pPr>
        <w:ind w:left="660" w:hanging="328"/>
        <w:spacing w:after="0"/>
        <w:tabs>
          <w:tab w:leader="none" w:pos="660" w:val="left"/>
        </w:tabs>
        <w:numPr>
          <w:ilvl w:val="0"/>
          <w:numId w:val="1"/>
        </w:numPr>
        <w:rPr>
          <w:rFonts w:ascii="Arial" w:cs="Arial" w:eastAsia="Arial" w:hAnsi="Arial"/>
          <w:sz w:val="22"/>
          <w:szCs w:val="22"/>
          <w:color w:val="auto"/>
        </w:rPr>
      </w:pPr>
      <w:r>
        <w:rPr>
          <w:rFonts w:ascii="Arial" w:cs="Arial" w:eastAsia="Arial" w:hAnsi="Arial"/>
          <w:sz w:val="22"/>
          <w:szCs w:val="22"/>
          <w:color w:val="auto"/>
        </w:rPr>
        <w:t>Repurchased 407,697 shares of our common stock for an aggregate purchase price of $8.1 million.</w:t>
      </w:r>
    </w:p>
    <w:p>
      <w:pPr>
        <w:spacing w:after="0" w:line="165" w:lineRule="exact"/>
        <w:rPr>
          <w:rFonts w:ascii="Arial" w:cs="Arial" w:eastAsia="Arial" w:hAnsi="Arial"/>
          <w:sz w:val="22"/>
          <w:szCs w:val="22"/>
          <w:color w:val="auto"/>
        </w:rPr>
      </w:pPr>
    </w:p>
    <w:p>
      <w:pPr>
        <w:ind w:left="660" w:right="260" w:hanging="328"/>
        <w:spacing w:after="0" w:line="263" w:lineRule="auto"/>
        <w:tabs>
          <w:tab w:leader="none" w:pos="656" w:val="left"/>
        </w:tabs>
        <w:numPr>
          <w:ilvl w:val="0"/>
          <w:numId w:val="1"/>
        </w:numPr>
        <w:rPr>
          <w:rFonts w:ascii="Arial" w:cs="Arial" w:eastAsia="Arial" w:hAnsi="Arial"/>
          <w:sz w:val="22"/>
          <w:szCs w:val="22"/>
          <w:color w:val="auto"/>
        </w:rPr>
      </w:pPr>
      <w:r>
        <w:rPr>
          <w:rFonts w:ascii="Arial" w:cs="Arial" w:eastAsia="Arial" w:hAnsi="Arial"/>
          <w:sz w:val="22"/>
          <w:szCs w:val="22"/>
          <w:color w:val="auto"/>
        </w:rPr>
        <w:t>At quarter-end, Westwood had $74.2 million in cash and short-term investments, stockholders' equity of $131.4 million and no debt.</w:t>
      </w:r>
    </w:p>
    <w:p>
      <w:pPr>
        <w:spacing w:after="0" w:line="200" w:lineRule="exact"/>
        <w:rPr>
          <w:sz w:val="20"/>
          <w:szCs w:val="20"/>
          <w:color w:val="auto"/>
        </w:rPr>
      </w:pPr>
    </w:p>
    <w:p>
      <w:pPr>
        <w:spacing w:after="0" w:line="218" w:lineRule="exact"/>
        <w:rPr>
          <w:sz w:val="20"/>
          <w:szCs w:val="20"/>
          <w:color w:val="auto"/>
        </w:rPr>
      </w:pPr>
    </w:p>
    <w:p>
      <w:pPr>
        <w:jc w:val="both"/>
        <w:ind w:right="20"/>
        <w:spacing w:after="0" w:line="263" w:lineRule="auto"/>
        <w:rPr>
          <w:sz w:val="20"/>
          <w:szCs w:val="20"/>
          <w:color w:val="auto"/>
        </w:rPr>
      </w:pPr>
      <w:r>
        <w:rPr>
          <w:rFonts w:ascii="Arial" w:cs="Arial" w:eastAsia="Arial" w:hAnsi="Arial"/>
          <w:sz w:val="22"/>
          <w:szCs w:val="22"/>
          <w:color w:val="auto"/>
        </w:rPr>
        <w:t>Revenues were lower than the first quarter of 2020 and last year's second quarter principally as a result of lower average assets under management ("AUM").</w:t>
      </w:r>
    </w:p>
    <w:p>
      <w:pPr>
        <w:spacing w:after="0" w:line="148" w:lineRule="exact"/>
        <w:rPr>
          <w:sz w:val="20"/>
          <w:szCs w:val="20"/>
          <w:color w:val="auto"/>
        </w:rPr>
      </w:pPr>
    </w:p>
    <w:p>
      <w:pPr>
        <w:jc w:val="both"/>
        <w:spacing w:after="0" w:line="343" w:lineRule="auto"/>
        <w:rPr>
          <w:sz w:val="20"/>
          <w:szCs w:val="20"/>
          <w:color w:val="auto"/>
        </w:rPr>
      </w:pPr>
      <w:r>
        <w:rPr>
          <w:rFonts w:ascii="Arial" w:cs="Arial" w:eastAsia="Arial" w:hAnsi="Arial"/>
          <w:sz w:val="19"/>
          <w:szCs w:val="19"/>
          <w:color w:val="auto"/>
        </w:rPr>
        <w:t>AUM at June 30, 2020 totaled $11.9 billion versus $11.6 billion at March 31, 2020. The increase was due to market appreciation across the majority of our strategies, partially offset by net outflows in our Emerging Market and Global Convertible strategies.</w:t>
      </w:r>
    </w:p>
    <w:p>
      <w:pPr>
        <w:spacing w:after="0" w:line="91"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The second quarter net loss of $2.6 million was lower than the first quarter's net income of $1.1 million primarily due to lower revenues, foreign currency transaction losses and higher income taxes partially offset by lower operating expenses. Diluted earnings (loss) per share ("EPS") for the second quarter was $(0.33) compared to $0.13 for the first quarter. Non-GAAP Economic Earnings for the second quarter were $0.2 million, or $0.03 per share, a decrease from $4.2 million, or $0.50 per share, in the first quarter.</w:t>
      </w:r>
    </w:p>
    <w:p>
      <w:pPr>
        <w:spacing w:after="0" w:line="13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The second quarter net loss of $2.6 million was lower than second quarter of 2019 net income of $1.9 million primarily due to lower revenues, partially offset by lower operating expenses, particularly employee compensation and benefits. Diluted EPS for the second quarter was $(0.33) compared to $0.22 for the second quarter of 2019. Non-GAAP Economic Earnings for the second quarter were $0.2 million, or $0.03 per share, down from $4.8 million, or $0.56 per share for the second quarter of 2019.</w:t>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89" w:lineRule="auto"/>
        <w:rPr>
          <w:sz w:val="20"/>
          <w:szCs w:val="20"/>
          <w:color w:val="auto"/>
        </w:rPr>
      </w:pPr>
      <w:r>
        <w:rPr>
          <w:rFonts w:ascii="Arial" w:cs="Arial" w:eastAsia="Arial" w:hAnsi="Arial"/>
          <w:sz w:val="19"/>
          <w:szCs w:val="19"/>
          <w:color w:val="auto"/>
        </w:rPr>
        <w:t>Brian Casey, Westwood’s President and CEO, commented, "</w:t>
      </w:r>
      <w:r>
        <w:rPr>
          <w:rFonts w:ascii="Arial" w:cs="Arial" w:eastAsia="Arial" w:hAnsi="Arial"/>
          <w:sz w:val="19"/>
          <w:szCs w:val="19"/>
          <w:color w:val="0D0D0D"/>
        </w:rPr>
        <w:t>As the Covid-19 pandemic casts its long shadow over our social and</w:t>
      </w:r>
      <w:r>
        <w:rPr>
          <w:rFonts w:ascii="Arial" w:cs="Arial" w:eastAsia="Arial" w:hAnsi="Arial"/>
          <w:sz w:val="19"/>
          <w:szCs w:val="19"/>
          <w:color w:val="auto"/>
        </w:rPr>
        <w:t xml:space="preserve"> </w:t>
      </w:r>
      <w:r>
        <w:rPr>
          <w:rFonts w:ascii="Arial" w:cs="Arial" w:eastAsia="Arial" w:hAnsi="Arial"/>
          <w:sz w:val="19"/>
          <w:szCs w:val="19"/>
          <w:color w:val="0D0D0D"/>
        </w:rPr>
        <w:t xml:space="preserve">business lives, I want to thank all of our Westwood employees, mostly working from home, for serving our clients so well. I am very pleased to report that several of our portfolio strategies beat their benchmarks for the quarter and also performed well against their peers. Many challenges confront us in the current environment and accordingly, with the full support of our board, we have crafted a strategic plan to restructure certain business areas to reduce operating expenses while continuing to invest in our long-term growth initiatives. As part of this plan, our Westwood International Advisors office in Toronto will cease operations towards the end of the third quarter. </w:t>
      </w:r>
      <w:r>
        <w:rPr>
          <w:rFonts w:ascii="Arial" w:cs="Arial" w:eastAsia="Arial" w:hAnsi="Arial"/>
          <w:sz w:val="19"/>
          <w:szCs w:val="19"/>
          <w:color w:val="000000"/>
        </w:rPr>
        <w:t>Reviews of other business units and products not deemed commercially viable in</w:t>
      </w:r>
      <w:r>
        <w:rPr>
          <w:rFonts w:ascii="Arial" w:cs="Arial" w:eastAsia="Arial" w:hAnsi="Arial"/>
          <w:sz w:val="19"/>
          <w:szCs w:val="19"/>
          <w:color w:val="0D0D0D"/>
        </w:rPr>
        <w:t xml:space="preserve"> </w:t>
      </w:r>
      <w:r>
        <w:rPr>
          <w:rFonts w:ascii="Arial" w:cs="Arial" w:eastAsia="Arial" w:hAnsi="Arial"/>
          <w:sz w:val="19"/>
          <w:szCs w:val="19"/>
          <w:color w:val="000000"/>
        </w:rPr>
        <w:t xml:space="preserve">the long run are likely to lead to additional actions that will be covered in the third quarter call. </w:t>
      </w:r>
      <w:r>
        <w:rPr>
          <w:rFonts w:ascii="Arial" w:cs="Arial" w:eastAsia="Arial" w:hAnsi="Arial"/>
          <w:sz w:val="19"/>
          <w:szCs w:val="19"/>
          <w:color w:val="0D0D0D"/>
        </w:rPr>
        <w:t>We believe this plan will enable</w:t>
      </w:r>
      <w:r>
        <w:rPr>
          <w:rFonts w:ascii="Arial" w:cs="Arial" w:eastAsia="Arial" w:hAnsi="Arial"/>
          <w:sz w:val="19"/>
          <w:szCs w:val="19"/>
          <w:color w:val="000000"/>
        </w:rPr>
        <w:t xml:space="preserve"> </w:t>
      </w:r>
      <w:r>
        <w:rPr>
          <w:rFonts w:ascii="Arial" w:cs="Arial" w:eastAsia="Arial" w:hAnsi="Arial"/>
          <w:sz w:val="19"/>
          <w:szCs w:val="19"/>
          <w:color w:val="0D0D0D"/>
        </w:rPr>
        <w:t>us to better manage our business in this environment as well as pursue an array of future profitable growth initiatives</w:t>
      </w:r>
      <w:r>
        <w:rPr>
          <w:rFonts w:ascii="Arial" w:cs="Arial" w:eastAsia="Arial" w:hAnsi="Arial"/>
          <w:sz w:val="19"/>
          <w:szCs w:val="19"/>
          <w:color w:val="000000"/>
        </w:rPr>
        <w:t>."</w:t>
      </w:r>
    </w:p>
    <w:p>
      <w:pPr>
        <w:spacing w:after="0" w:line="49"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Economic Earnings and Economic EPS are non-GAAP performance measures and are explained and reconciled with the most comparable GAAP numbers in the attached tables.</w:t>
      </w:r>
    </w:p>
    <w:p>
      <w:pPr>
        <w:spacing w:after="0" w:line="67"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Westwood will host a conference call to discuss second quarter 2020 results and other business matters at 4:30 p.m. Eastern time today. To join the conference call, dial 877-303-6235 (U.S. and Canada) or 631-291-4837 (international). The conference call can also be accessed via our Investor Relations page at westwoodgroup.com and will be available for replay through August 6, 2020 by dialing 855-859-2056 (U.S. and Canada) or 404-537-3406 (international) and entering the passcode 4963578.</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Westwood Holdings Group</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 is a focused investment management boutique and wealth management firm.</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Westwood offers high-conviction equity and outcome-oriented solutions to institutional investors, private wealth clients and financial intermediaries. The firm specializes in three distinct investment capabilities: U.S. Value Equity, Multi-Asset and Emerging Markets Equity. To meet the full range of investors’ financial needs, access to these strategies is available through separate accounts, the Westwood Funds® family of mutual funds and other pooled vehicles. Westwood benefits from significant, broad-based employee ownership and trades on the New York Stock Exchange under the symbol “WHG.” Based in Dallas, Westwood also maintains offices in Boston, Houston and Toronto.</w:t>
      </w:r>
    </w:p>
    <w:p>
      <w:pPr>
        <w:spacing w:after="0" w:line="71"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on Westwood, please visit westwoodgroup.com.</w:t>
      </w:r>
    </w:p>
    <w:p>
      <w:pPr>
        <w:spacing w:after="0" w:line="1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118"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Statements in this press release that are not purely historical facts, including, without limitation, statements about our expected future financial position, results of operations or cash flows, as well as other statements including without limitation, words such as “anticipate,” “believe,” “expect,” “could,” and other similar expressions, constitute forward-looking statements within the meaning of Section 27A of the Securities Act of 1933, as amended, and Section 21E of the Securities Exchange Act of 1934, as amended. Actual results and the timing of some events could differ materially from those projected in or contemplated by the forward-looking statements due to a number of factors, including, without limitation:</w:t>
      </w:r>
    </w:p>
    <w:p>
      <w:pPr>
        <w:spacing w:after="0" w:line="41" w:lineRule="exact"/>
        <w:rPr>
          <w:sz w:val="20"/>
          <w:szCs w:val="20"/>
          <w:color w:val="auto"/>
        </w:rPr>
      </w:pPr>
    </w:p>
    <w:p>
      <w:pPr>
        <w:jc w:val="both"/>
        <w:spacing w:after="0" w:line="294" w:lineRule="auto"/>
        <w:rPr>
          <w:sz w:val="20"/>
          <w:szCs w:val="20"/>
          <w:color w:val="auto"/>
        </w:rPr>
      </w:pPr>
      <w:r>
        <w:rPr>
          <w:rFonts w:ascii="Arial" w:cs="Arial" w:eastAsia="Arial" w:hAnsi="Arial"/>
          <w:sz w:val="19"/>
          <w:szCs w:val="19"/>
          <w:color w:val="auto"/>
        </w:rPr>
        <w:t>the composition and market value of our AUM; our ability to maintain our fee structure in light of competitive fee pressures; the impact of the recent COVID-19 pandemic; the significant concentration of our revenues in a small number of customers; our ability to avoid termination of client agreements and the related investment redemptions; regulations adversely affecting the financial services industry; competition in the investment management industry; our ability to develop and market new investment strategies successfully; our AUM include investments in foreign companies; our reputation and our relationships with current and potential customers; our ability to attract and retain qualified personnel; our</w:t>
      </w:r>
    </w:p>
    <w:p>
      <w:pPr>
        <w:sectPr>
          <w:pgSz w:w="11900" w:h="16838" w:orient="portrait"/>
          <w:cols w:equalWidth="0" w:num="1">
            <w:col w:w="11240"/>
          </w:cols>
          <w:pgMar w:left="320" w:top="1009" w:right="339" w:bottom="1440" w:gutter="0" w:footer="0" w:header="0"/>
        </w:sectPr>
      </w:pPr>
    </w:p>
    <w:bookmarkStart w:id="5" w:name="page6"/>
    <w:bookmarkEnd w:id="5"/>
    <w:p>
      <w:pPr>
        <w:jc w:val="both"/>
        <w:spacing w:after="0" w:line="287" w:lineRule="auto"/>
        <w:rPr>
          <w:sz w:val="20"/>
          <w:szCs w:val="20"/>
          <w:color w:val="auto"/>
        </w:rPr>
      </w:pPr>
      <w:r>
        <w:rPr>
          <w:rFonts w:ascii="Arial" w:cs="Arial" w:eastAsia="Arial" w:hAnsi="Arial"/>
          <w:sz w:val="19"/>
          <w:szCs w:val="19"/>
          <w:color w:val="auto"/>
        </w:rPr>
        <w:t>ability to maintain effective cyber security; our ability to perform operational tasks; our ability to identify and execute on our strategic initiatives; our ability to maintain effective information systems; our ability to select and oversee third-party vendors; litigation risks; our ability to declare and pay dividends; our ability to fund future capital requirements on favorable terms; our ability to properly address conflicts of interest; our ability to maintain adequate insurance coverage; our ability to maintain an effective system of internal controls; our stock is thinly traded and may be subject to volatility; our organizational documents contain provisions that may prevent or deter another group from paying a premium over the market price to our stockholders to acquire our stock; we are a holding company dependent on the operations and funds of our subsidiaries; our relationships with investment consulting firms; and the other risks detailed from time to time in Westwood’s SEC filings, including, but not limited to, its annual report on Form 10-K for the year ended December 31, 2019 and its quarterly report on Form 10-Q for the quarters ended March 31, 2020 and June 30, 2020. You are cautioned not to place undue reliance on these forward-looking statements, which speak only as of the date of this press release. Except as required by law, Westwood is not obligated to publicly release any revisions to these forward-looking statements to reflect events or circumstances after the date of this press release or to reflect the occurrence of unanticipated events.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SOURCE: Westwood Holdings Group, Inc.</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(WHG-G)</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Westwood Holdings Group,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Terry Forbes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Chief Financial Officer and Treasurer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(214) 756-6900</w:t>
      </w:r>
    </w:p>
    <w:p>
      <w:pPr>
        <w:sectPr>
          <w:pgSz w:w="11900" w:h="16838" w:orient="portrait"/>
          <w:cols w:equalWidth="0" w:num="1">
            <w:col w:w="11240"/>
          </w:cols>
          <w:pgMar w:left="320" w:top="1009"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Three Months Ended</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2020</w:t>
            </w:r>
          </w:p>
        </w:tc>
        <w:tc>
          <w:tcPr>
            <w:tcW w:w="180" w:type="dxa"/>
            <w:vAlign w:val="bottom"/>
          </w:tcPr>
          <w:p>
            <w:pPr>
              <w:spacing w:after="0"/>
              <w:rPr>
                <w:sz w:val="18"/>
                <w:szCs w:val="18"/>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March 31, 2020</w:t>
            </w:r>
          </w:p>
        </w:tc>
        <w:tc>
          <w:tcPr>
            <w:tcW w:w="22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Arial" w:cs="Arial" w:eastAsia="Arial" w:hAnsi="Arial"/>
                <w:sz w:val="16"/>
                <w:szCs w:val="16"/>
                <w:b w:val="1"/>
                <w:bCs w:val="1"/>
                <w:color w:val="auto"/>
                <w:w w:val="99"/>
              </w:rPr>
              <w:t>June 30, 2019</w:t>
            </w:r>
          </w:p>
        </w:tc>
        <w:tc>
          <w:tcPr>
            <w:tcW w:w="0" w:type="dxa"/>
            <w:vAlign w:val="bottom"/>
          </w:tcPr>
          <w:p>
            <w:pPr>
              <w:spacing w:after="0"/>
              <w:rPr>
                <w:sz w:val="1"/>
                <w:szCs w:val="1"/>
                <w:color w:val="auto"/>
              </w:rPr>
            </w:pPr>
          </w:p>
        </w:tc>
      </w:tr>
      <w:tr>
        <w:trPr>
          <w:trHeight w:val="33"/>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Advisory fees: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Asset-based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14,695</w:t>
            </w:r>
          </w:p>
        </w:tc>
        <w:tc>
          <w:tcPr>
            <w:tcW w:w="0" w:type="dxa"/>
            <w:vAlign w:val="bottom"/>
          </w:tcPr>
          <w:p>
            <w:pPr>
              <w:spacing w:after="0"/>
              <w:rPr>
                <w:sz w:val="1"/>
                <w:szCs w:val="1"/>
                <w:color w:val="auto"/>
              </w:rPr>
            </w:pPr>
          </w:p>
        </w:tc>
      </w:tr>
      <w:tr>
        <w:trPr>
          <w:trHeight w:val="243"/>
        </w:trPr>
        <w:tc>
          <w:tcPr>
            <w:tcW w:w="6100" w:type="dxa"/>
            <w:vAlign w:val="bottom"/>
          </w:tcPr>
          <w:p>
            <w:pPr>
              <w:ind w:left="660"/>
              <w:spacing w:after="0"/>
              <w:rPr>
                <w:sz w:val="20"/>
                <w:szCs w:val="20"/>
                <w:color w:val="auto"/>
              </w:rPr>
            </w:pPr>
            <w:r>
              <w:rPr>
                <w:rFonts w:ascii="Arial" w:cs="Arial" w:eastAsia="Arial" w:hAnsi="Arial"/>
                <w:sz w:val="18"/>
                <w:szCs w:val="18"/>
                <w:color w:val="auto"/>
              </w:rPr>
              <w:t>Performance-based</w:t>
            </w:r>
          </w:p>
        </w:tc>
        <w:tc>
          <w:tcPr>
            <w:tcW w:w="2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Trust fees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5,951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6,444</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Trust performance-based fees</w:t>
            </w:r>
          </w:p>
        </w:tc>
        <w:tc>
          <w:tcPr>
            <w:tcW w:w="2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7"/>
        </w:trPr>
        <w:tc>
          <w:tcPr>
            <w:tcW w:w="610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15,875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16,669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21,709</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Employee compensation and benefits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10,787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11,378</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Westwood mutual funds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Information technology</w:t>
            </w:r>
          </w:p>
        </w:tc>
        <w:tc>
          <w:tcPr>
            <w:tcW w:w="2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2,031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1,169</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2,191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2,306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loss on foreign currency transactions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37"/>
        </w:trPr>
        <w:tc>
          <w:tcPr>
            <w:tcW w:w="6100" w:type="dxa"/>
            <w:vAlign w:val="bottom"/>
          </w:tcPr>
          <w:p>
            <w:pPr>
              <w:ind w:left="660"/>
              <w:spacing w:after="0"/>
              <w:rPr>
                <w:sz w:val="20"/>
                <w:szCs w:val="20"/>
                <w:color w:val="auto"/>
              </w:rPr>
            </w:pPr>
            <w:r>
              <w:rPr>
                <w:rFonts w:ascii="Arial" w:cs="Arial" w:eastAsia="Arial" w:hAnsi="Arial"/>
                <w:sz w:val="18"/>
                <w:szCs w:val="18"/>
                <w:color w:val="auto"/>
              </w:rPr>
              <w:t>Total expenses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18,009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16,253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19,130</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operating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37"/>
        </w:trPr>
        <w:tc>
          <w:tcPr>
            <w:tcW w:w="6100" w:type="dxa"/>
            <w:vAlign w:val="bottom"/>
          </w:tcPr>
          <w:p>
            <w:pPr>
              <w:ind w:left="340"/>
              <w:spacing w:after="0"/>
              <w:rPr>
                <w:sz w:val="20"/>
                <w:szCs w:val="20"/>
                <w:color w:val="auto"/>
              </w:rPr>
            </w:pPr>
            <w:r>
              <w:rPr>
                <w:rFonts w:ascii="Arial" w:cs="Arial" w:eastAsia="Arial" w:hAnsi="Arial"/>
                <w:sz w:val="18"/>
                <w:szCs w:val="18"/>
                <w:color w:val="auto"/>
              </w:rPr>
              <w:t>Unrealized gains (losses) on private investments</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37"/>
        </w:trPr>
        <w:tc>
          <w:tcPr>
            <w:tcW w:w="610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758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(1,103)</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7"/>
        </w:trPr>
        <w:tc>
          <w:tcPr>
            <w:tcW w:w="6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1,102</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1,861</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1,371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735</w:t>
            </w:r>
          </w:p>
        </w:tc>
        <w:tc>
          <w:tcPr>
            <w:tcW w:w="0" w:type="dxa"/>
            <w:vAlign w:val="bottom"/>
          </w:tcPr>
          <w:p>
            <w:pPr>
              <w:spacing w:after="0"/>
              <w:rPr>
                <w:sz w:val="1"/>
                <w:szCs w:val="1"/>
                <w:color w:val="auto"/>
              </w:rPr>
            </w:pP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(1,204)</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2,596</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0.13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0.13</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7,879,698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8,414,393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8,446,610</w:t>
            </w:r>
          </w:p>
        </w:tc>
        <w:tc>
          <w:tcPr>
            <w:tcW w:w="0" w:type="dxa"/>
            <w:vAlign w:val="bottom"/>
          </w:tcPr>
          <w:p>
            <w:pPr>
              <w:spacing w:after="0"/>
              <w:rPr>
                <w:sz w:val="1"/>
                <w:szCs w:val="1"/>
                <w:color w:val="auto"/>
              </w:rPr>
            </w:pPr>
          </w:p>
        </w:tc>
      </w:tr>
      <w:tr>
        <w:trPr>
          <w:trHeight w:val="243"/>
        </w:trPr>
        <w:tc>
          <w:tcPr>
            <w:tcW w:w="6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7,879,698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8,458,473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8,476,777</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00" w:type="dxa"/>
            <w:vAlign w:val="bottom"/>
          </w:tcPr>
          <w:p>
            <w:pPr>
              <w:ind w:left="20"/>
              <w:spacing w:after="0"/>
              <w:rPr>
                <w:sz w:val="20"/>
                <w:szCs w:val="20"/>
                <w:color w:val="auto"/>
              </w:rPr>
            </w:pPr>
            <w:r>
              <w:rPr>
                <w:rFonts w:ascii="Arial" w:cs="Arial" w:eastAsia="Arial" w:hAnsi="Arial"/>
                <w:sz w:val="18"/>
                <w:szCs w:val="18"/>
                <w:color w:val="auto"/>
              </w:rPr>
              <w:t>Economic Earnings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4,200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4,773</w:t>
            </w:r>
          </w:p>
        </w:tc>
        <w:tc>
          <w:tcPr>
            <w:tcW w:w="0" w:type="dxa"/>
            <w:vAlign w:val="bottom"/>
          </w:tcPr>
          <w:p>
            <w:pPr>
              <w:spacing w:after="0"/>
              <w:rPr>
                <w:sz w:val="1"/>
                <w:szCs w:val="1"/>
                <w:color w:val="auto"/>
              </w:rPr>
            </w:pPr>
          </w:p>
        </w:tc>
      </w:tr>
      <w:tr>
        <w:trPr>
          <w:trHeight w:val="27"/>
        </w:trPr>
        <w:tc>
          <w:tcPr>
            <w:tcW w:w="6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EPS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03"/>
        </w:trPr>
        <w:tc>
          <w:tcPr>
            <w:tcW w:w="6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0.72</w:t>
            </w:r>
          </w:p>
        </w:tc>
        <w:tc>
          <w:tcPr>
            <w:tcW w:w="0" w:type="dxa"/>
            <w:vAlign w:val="bottom"/>
          </w:tcPr>
          <w:p>
            <w:pPr>
              <w:spacing w:after="0"/>
              <w:rPr>
                <w:sz w:val="1"/>
                <w:szCs w:val="1"/>
                <w:color w:val="auto"/>
              </w:rPr>
            </w:pPr>
          </w:p>
        </w:tc>
      </w:tr>
      <w:tr>
        <w:trPr>
          <w:trHeight w:val="27"/>
        </w:trPr>
        <w:tc>
          <w:tcPr>
            <w:tcW w:w="6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COMPREHENSIVE INCOME (LOSS)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160" w:type="dxa"/>
            <w:vAlign w:val="bottom"/>
            <w:gridSpan w:val="4"/>
          </w:tcPr>
          <w:p>
            <w:pPr>
              <w:jc w:val="right"/>
              <w:ind w:right="97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33"/>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gridSpan w:val="2"/>
          </w:tcPr>
          <w:p>
            <w:pPr>
              <w:ind w:left="120"/>
              <w:spacing w:after="0"/>
              <w:rPr>
                <w:sz w:val="20"/>
                <w:szCs w:val="20"/>
                <w:color w:val="auto"/>
              </w:rPr>
            </w:pPr>
            <w:r>
              <w:rPr>
                <w:rFonts w:ascii="Arial" w:cs="Arial" w:eastAsia="Arial" w:hAnsi="Arial"/>
                <w:sz w:val="16"/>
                <w:szCs w:val="16"/>
                <w:b w:val="1"/>
                <w:bCs w:val="1"/>
                <w:color w:val="auto"/>
              </w:rPr>
              <w:t>June 30, 2020</w:t>
            </w:r>
          </w:p>
        </w:tc>
        <w:tc>
          <w:tcPr>
            <w:tcW w:w="220" w:type="dxa"/>
            <w:vAlign w:val="bottom"/>
          </w:tcPr>
          <w:p>
            <w:pPr>
              <w:spacing w:after="0"/>
              <w:rPr>
                <w:sz w:val="18"/>
                <w:szCs w:val="18"/>
                <w:color w:val="auto"/>
              </w:rPr>
            </w:pPr>
          </w:p>
        </w:tc>
        <w:tc>
          <w:tcPr>
            <w:tcW w:w="1420" w:type="dxa"/>
            <w:vAlign w:val="bottom"/>
          </w:tcPr>
          <w:p>
            <w:pPr>
              <w:jc w:val="right"/>
              <w:ind w:right="270"/>
              <w:spacing w:after="0"/>
              <w:rPr>
                <w:sz w:val="20"/>
                <w:szCs w:val="20"/>
                <w:color w:val="auto"/>
              </w:rPr>
            </w:pPr>
            <w:r>
              <w:rPr>
                <w:rFonts w:ascii="Arial" w:cs="Arial" w:eastAsia="Arial" w:hAnsi="Arial"/>
                <w:sz w:val="16"/>
                <w:szCs w:val="16"/>
                <w:b w:val="1"/>
                <w:bCs w:val="1"/>
                <w:color w:val="auto"/>
                <w:w w:val="99"/>
              </w:rPr>
              <w:t>June 30, 2019</w:t>
            </w:r>
          </w:p>
        </w:tc>
        <w:tc>
          <w:tcPr>
            <w:tcW w:w="0" w:type="dxa"/>
            <w:vAlign w:val="bottom"/>
          </w:tcPr>
          <w:p>
            <w:pPr>
              <w:spacing w:after="0"/>
              <w:rPr>
                <w:sz w:val="1"/>
                <w:szCs w:val="1"/>
                <w:color w:val="auto"/>
              </w:rPr>
            </w:pPr>
          </w:p>
        </w:tc>
      </w:tr>
      <w:tr>
        <w:trPr>
          <w:trHeight w:val="33"/>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Advisory fees: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Asset-based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20,430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31,101</w:t>
            </w:r>
          </w:p>
        </w:tc>
        <w:tc>
          <w:tcPr>
            <w:tcW w:w="0" w:type="dxa"/>
            <w:vAlign w:val="bottom"/>
          </w:tcPr>
          <w:p>
            <w:pPr>
              <w:spacing w:after="0"/>
              <w:rPr>
                <w:sz w:val="1"/>
                <w:szCs w:val="1"/>
                <w:color w:val="auto"/>
              </w:rPr>
            </w:pPr>
          </w:p>
        </w:tc>
      </w:tr>
      <w:tr>
        <w:trPr>
          <w:trHeight w:val="243"/>
        </w:trPr>
        <w:tc>
          <w:tcPr>
            <w:tcW w:w="7860" w:type="dxa"/>
            <w:vAlign w:val="bottom"/>
          </w:tcPr>
          <w:p>
            <w:pPr>
              <w:ind w:left="660"/>
              <w:spacing w:after="0"/>
              <w:rPr>
                <w:sz w:val="20"/>
                <w:szCs w:val="20"/>
                <w:color w:val="auto"/>
              </w:rPr>
            </w:pPr>
            <w:r>
              <w:rPr>
                <w:rFonts w:ascii="Arial" w:cs="Arial" w:eastAsia="Arial" w:hAnsi="Arial"/>
                <w:sz w:val="18"/>
                <w:szCs w:val="18"/>
                <w:color w:val="auto"/>
              </w:rPr>
              <w:t>Performance-based</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695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Trust fees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11,608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12,983</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Trust performance-based fees</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net</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37"/>
        </w:trPr>
        <w:tc>
          <w:tcPr>
            <w:tcW w:w="7860" w:type="dxa"/>
            <w:vAlign w:val="bottom"/>
          </w:tcPr>
          <w:p>
            <w:pPr>
              <w:ind w:left="66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32,544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Employee compensation and benefits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23,455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25,988</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731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1,044</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Westwood mutual funds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949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Information technology</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4,061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4,259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Professional services</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2,184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2,318</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4,497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4,836</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(Gain) loss on foreign currency transactions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37"/>
        </w:trPr>
        <w:tc>
          <w:tcPr>
            <w:tcW w:w="7860" w:type="dxa"/>
            <w:vAlign w:val="bottom"/>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34,262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41,496</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operating income (loss)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37"/>
        </w:trPr>
        <w:tc>
          <w:tcPr>
            <w:tcW w:w="7860" w:type="dxa"/>
            <w:vAlign w:val="bottom"/>
          </w:tcPr>
          <w:p>
            <w:pPr>
              <w:ind w:left="340"/>
              <w:spacing w:after="0"/>
              <w:rPr>
                <w:sz w:val="20"/>
                <w:szCs w:val="20"/>
                <w:color w:val="auto"/>
              </w:rPr>
            </w:pPr>
            <w:r>
              <w:rPr>
                <w:rFonts w:ascii="Arial" w:cs="Arial" w:eastAsia="Arial" w:hAnsi="Arial"/>
                <w:sz w:val="18"/>
                <w:szCs w:val="18"/>
                <w:color w:val="auto"/>
              </w:rPr>
              <w:t>Unrealized gains (losses) on private investments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 income</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Other income</w:t>
            </w:r>
          </w:p>
        </w:tc>
        <w:tc>
          <w:tcPr>
            <w:tcW w:w="220" w:type="dxa"/>
            <w:vAlign w:val="bottom"/>
          </w:tcPr>
          <w:p>
            <w:pPr>
              <w:spacing w:after="0"/>
              <w:rPr>
                <w:sz w:val="21"/>
                <w:szCs w:val="21"/>
                <w:color w:val="auto"/>
              </w:rPr>
            </w:pP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37"/>
        </w:trPr>
        <w:tc>
          <w:tcPr>
            <w:tcW w:w="7860" w:type="dxa"/>
            <w:vAlign w:val="bottom"/>
          </w:tcPr>
          <w:p>
            <w:pPr>
              <w:ind w:left="34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8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37"/>
        </w:trPr>
        <w:tc>
          <w:tcPr>
            <w:tcW w:w="786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3,819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Weighted average shares outstanding:</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8,147,045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8,406,367</w:t>
            </w:r>
          </w:p>
        </w:tc>
        <w:tc>
          <w:tcPr>
            <w:tcW w:w="0" w:type="dxa"/>
            <w:vAlign w:val="bottom"/>
          </w:tcPr>
          <w:p>
            <w:pPr>
              <w:spacing w:after="0"/>
              <w:rPr>
                <w:sz w:val="1"/>
                <w:szCs w:val="1"/>
                <w:color w:val="auto"/>
              </w:rPr>
            </w:pPr>
          </w:p>
        </w:tc>
      </w:tr>
      <w:tr>
        <w:trPr>
          <w:trHeight w:val="243"/>
        </w:trPr>
        <w:tc>
          <w:tcPr>
            <w:tcW w:w="786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8,147,045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8,467,589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7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60" w:type="dxa"/>
            <w:vAlign w:val="bottom"/>
          </w:tcPr>
          <w:p>
            <w:pPr>
              <w:ind w:left="20"/>
              <w:spacing w:after="0"/>
              <w:rPr>
                <w:sz w:val="20"/>
                <w:szCs w:val="20"/>
                <w:color w:val="auto"/>
              </w:rPr>
            </w:pPr>
            <w:r>
              <w:rPr>
                <w:rFonts w:ascii="Arial" w:cs="Arial" w:eastAsia="Arial" w:hAnsi="Arial"/>
                <w:sz w:val="18"/>
                <w:szCs w:val="18"/>
                <w:color w:val="auto"/>
              </w:rPr>
              <w:t>Economic Earnings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1"/>
              <w:spacing w:after="0"/>
              <w:rPr>
                <w:sz w:val="20"/>
                <w:szCs w:val="20"/>
                <w:color w:val="auto"/>
              </w:rPr>
            </w:pPr>
            <w:r>
              <w:rPr>
                <w:rFonts w:ascii="Arial" w:cs="Arial" w:eastAsia="Arial" w:hAnsi="Arial"/>
                <w:sz w:val="18"/>
                <w:szCs w:val="18"/>
                <w:color w:val="auto"/>
              </w:rPr>
              <w:t>4,424</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8,889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Economic EPS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02"/>
        </w:trPr>
        <w:tc>
          <w:tcPr>
            <w:tcW w:w="7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per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1"/>
              <w:spacing w:after="0"/>
              <w:rPr>
                <w:sz w:val="20"/>
                <w:szCs w:val="20"/>
                <w:color w:val="auto"/>
              </w:rPr>
            </w:pPr>
            <w:r>
              <w:rPr>
                <w:rFonts w:ascii="Arial" w:cs="Arial" w:eastAsia="Arial" w:hAnsi="Arial"/>
                <w:sz w:val="18"/>
                <w:szCs w:val="18"/>
                <w:color w:val="auto"/>
              </w:rPr>
              <w:t>0.43</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78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95" w:right="339" w:bottom="1440" w:gutter="0" w:footer="0" w:header="0"/>
        </w:sectPr>
      </w:pPr>
    </w:p>
    <w:bookmarkStart w:id="8" w:name="page9"/>
    <w:bookmarkEnd w:id="8"/>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CONDENSED CONSOLIDATED BALANCE SHEETS</w:t>
      </w:r>
    </w:p>
    <w:p>
      <w:pPr>
        <w:spacing w:after="0"/>
        <w:rPr>
          <w:sz w:val="20"/>
          <w:szCs w:val="20"/>
          <w:color w:val="auto"/>
        </w:rPr>
      </w:pPr>
      <w:r>
        <w:rPr>
          <w:rFonts w:ascii="Arial" w:cs="Arial" w:eastAsia="Arial" w:hAnsi="Arial"/>
          <w:sz w:val="20"/>
          <w:szCs w:val="20"/>
          <w:b w:val="1"/>
          <w:bCs w:val="1"/>
          <w:color w:val="auto"/>
        </w:rPr>
        <w:t>(in thousands, except par value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60" w:type="dxa"/>
            <w:vAlign w:val="bottom"/>
            <w:gridSpan w:val="2"/>
          </w:tcPr>
          <w:p>
            <w:pPr>
              <w:ind w:left="140"/>
              <w:spacing w:after="0"/>
              <w:rPr>
                <w:sz w:val="20"/>
                <w:szCs w:val="20"/>
                <w:color w:val="auto"/>
              </w:rPr>
            </w:pPr>
            <w:r>
              <w:rPr>
                <w:rFonts w:ascii="Arial" w:cs="Arial" w:eastAsia="Arial" w:hAnsi="Arial"/>
                <w:sz w:val="16"/>
                <w:szCs w:val="16"/>
                <w:b w:val="1"/>
                <w:bCs w:val="1"/>
                <w:color w:val="auto"/>
              </w:rPr>
              <w:t>June 30, 2020</w:t>
            </w:r>
          </w:p>
        </w:tc>
        <w:tc>
          <w:tcPr>
            <w:tcW w:w="160" w:type="dxa"/>
            <w:vAlign w:val="bottom"/>
          </w:tcPr>
          <w:p>
            <w:pPr>
              <w:spacing w:after="0"/>
              <w:rPr>
                <w:sz w:val="18"/>
                <w:szCs w:val="18"/>
                <w:color w:val="auto"/>
              </w:rPr>
            </w:pPr>
          </w:p>
        </w:tc>
        <w:tc>
          <w:tcPr>
            <w:tcW w:w="1540" w:type="dxa"/>
            <w:vAlign w:val="bottom"/>
          </w:tcPr>
          <w:p>
            <w:pPr>
              <w:jc w:val="right"/>
              <w:ind w:right="110"/>
              <w:spacing w:after="0"/>
              <w:rPr>
                <w:sz w:val="20"/>
                <w:szCs w:val="20"/>
                <w:color w:val="auto"/>
              </w:rPr>
            </w:pPr>
            <w:r>
              <w:rPr>
                <w:rFonts w:ascii="Arial" w:cs="Arial" w:eastAsia="Arial" w:hAnsi="Arial"/>
                <w:sz w:val="16"/>
                <w:szCs w:val="16"/>
                <w:b w:val="1"/>
                <w:bCs w:val="1"/>
                <w:color w:val="auto"/>
                <w:w w:val="91"/>
              </w:rPr>
              <w:t>December 31, 2019</w:t>
            </w:r>
          </w:p>
        </w:tc>
        <w:tc>
          <w:tcPr>
            <w:tcW w:w="0" w:type="dxa"/>
            <w:vAlign w:val="bottom"/>
          </w:tcPr>
          <w:p>
            <w:pPr>
              <w:spacing w:after="0"/>
              <w:rPr>
                <w:sz w:val="1"/>
                <w:szCs w:val="1"/>
                <w:color w:val="auto"/>
              </w:rPr>
            </w:pPr>
          </w:p>
        </w:tc>
      </w:tr>
      <w:tr>
        <w:trPr>
          <w:trHeight w:val="33"/>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49,766</w:t>
            </w:r>
          </w:p>
        </w:tc>
        <w:tc>
          <w:tcPr>
            <w:tcW w:w="0" w:type="dxa"/>
            <w:vAlign w:val="bottom"/>
          </w:tcPr>
          <w:p>
            <w:pPr>
              <w:spacing w:after="0"/>
              <w:rPr>
                <w:sz w:val="1"/>
                <w:szCs w:val="1"/>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10,751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13,177</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Investments, at fair value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50,324</w:t>
            </w:r>
          </w:p>
        </w:tc>
        <w:tc>
          <w:tcPr>
            <w:tcW w:w="0" w:type="dxa"/>
            <w:vAlign w:val="bottom"/>
          </w:tcPr>
          <w:p>
            <w:pPr>
              <w:spacing w:after="0"/>
              <w:rPr>
                <w:sz w:val="1"/>
                <w:szCs w:val="1"/>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Prepaid income taxes</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2,544</w:t>
            </w:r>
          </w:p>
        </w:tc>
        <w:tc>
          <w:tcPr>
            <w:tcW w:w="0" w:type="dxa"/>
            <w:vAlign w:val="bottom"/>
          </w:tcPr>
          <w:p>
            <w:pPr>
              <w:spacing w:after="0"/>
              <w:rPr>
                <w:sz w:val="1"/>
                <w:szCs w:val="1"/>
                <w:color w:val="auto"/>
              </w:rPr>
            </w:pPr>
          </w:p>
        </w:tc>
      </w:tr>
      <w:tr>
        <w:trPr>
          <w:trHeight w:val="237"/>
        </w:trPr>
        <w:tc>
          <w:tcPr>
            <w:tcW w:w="7720" w:type="dxa"/>
            <w:vAlign w:val="bottom"/>
          </w:tcPr>
          <w:p>
            <w:pPr>
              <w:ind w:left="660"/>
              <w:spacing w:after="0"/>
              <w:rPr>
                <w:sz w:val="20"/>
                <w:szCs w:val="20"/>
                <w:color w:val="auto"/>
              </w:rPr>
            </w:pPr>
            <w:r>
              <w:rPr>
                <w:rFonts w:ascii="Arial" w:cs="Arial" w:eastAsia="Arial" w:hAnsi="Arial"/>
                <w:sz w:val="18"/>
                <w:szCs w:val="18"/>
                <w:color w:val="auto"/>
              </w:rPr>
              <w:t>Total current assets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87,378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116,961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8,154</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Noncurrent investments at fair value</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3,401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19,804</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3,139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2,216</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6,981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7,562</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14,398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15,256</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 net of accumulated depreciation of $7,827 and $7,395</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4,152</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425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147,421</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178,707</w:t>
            </w:r>
          </w:p>
        </w:tc>
        <w:tc>
          <w:tcPr>
            <w:tcW w:w="0" w:type="dxa"/>
            <w:vAlign w:val="bottom"/>
          </w:tcPr>
          <w:p>
            <w:pPr>
              <w:spacing w:after="0"/>
              <w:rPr>
                <w:sz w:val="1"/>
                <w:szCs w:val="1"/>
                <w:color w:val="auto"/>
              </w:rPr>
            </w:pPr>
          </w:p>
        </w:tc>
      </w:tr>
      <w:tr>
        <w:trPr>
          <w:trHeight w:val="20"/>
        </w:trPr>
        <w:tc>
          <w:tcPr>
            <w:tcW w:w="77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Dividends payable</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7,362</w:t>
            </w:r>
          </w:p>
        </w:tc>
        <w:tc>
          <w:tcPr>
            <w:tcW w:w="0" w:type="dxa"/>
            <w:vAlign w:val="bottom"/>
          </w:tcPr>
          <w:p>
            <w:pPr>
              <w:spacing w:after="0"/>
              <w:rPr>
                <w:sz w:val="1"/>
                <w:szCs w:val="1"/>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Compensation and benefits payable</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3,912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9,975</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43"/>
        </w:trPr>
        <w:tc>
          <w:tcPr>
            <w:tcW w:w="7720" w:type="dxa"/>
            <w:vAlign w:val="bottom"/>
          </w:tcPr>
          <w:p>
            <w:pPr>
              <w:ind w:left="34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8,678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21,355</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Accrued dividends</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6,943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7,762</w:t>
            </w:r>
          </w:p>
        </w:tc>
        <w:tc>
          <w:tcPr>
            <w:tcW w:w="0" w:type="dxa"/>
            <w:vAlign w:val="bottom"/>
          </w:tcPr>
          <w:p>
            <w:pPr>
              <w:spacing w:after="0"/>
              <w:rPr>
                <w:sz w:val="1"/>
                <w:szCs w:val="1"/>
                <w:color w:val="auto"/>
              </w:rPr>
            </w:pPr>
          </w:p>
        </w:tc>
      </w:tr>
      <w:tr>
        <w:trPr>
          <w:trHeight w:val="237"/>
        </w:trPr>
        <w:tc>
          <w:tcPr>
            <w:tcW w:w="7720" w:type="dxa"/>
            <w:vAlign w:val="bottom"/>
          </w:tcPr>
          <w:p>
            <w:pPr>
              <w:ind w:left="660"/>
              <w:spacing w:after="0"/>
              <w:rPr>
                <w:sz w:val="20"/>
                <w:szCs w:val="20"/>
                <w:color w:val="auto"/>
              </w:rPr>
            </w:pPr>
            <w:r>
              <w:rPr>
                <w:rFonts w:ascii="Arial" w:cs="Arial" w:eastAsia="Arial" w:hAnsi="Arial"/>
                <w:sz w:val="18"/>
                <w:szCs w:val="18"/>
                <w:color w:val="auto"/>
              </w:rPr>
              <w:t>Total long-term liabilities</w:t>
            </w:r>
          </w:p>
        </w:tc>
        <w:tc>
          <w:tcPr>
            <w:tcW w:w="2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7,314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9,065</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15,992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30,420</w:t>
            </w:r>
          </w:p>
        </w:tc>
        <w:tc>
          <w:tcPr>
            <w:tcW w:w="0" w:type="dxa"/>
            <w:vAlign w:val="bottom"/>
          </w:tcPr>
          <w:p>
            <w:pPr>
              <w:spacing w:after="0"/>
              <w:rPr>
                <w:sz w:val="1"/>
                <w:szCs w:val="1"/>
                <w:color w:val="auto"/>
              </w:rPr>
            </w:pPr>
          </w:p>
        </w:tc>
      </w:tr>
      <w:tr>
        <w:trPr>
          <w:trHeight w:val="183"/>
        </w:trPr>
        <w:tc>
          <w:tcPr>
            <w:tcW w:w="77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4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180"/>
              <w:spacing w:after="0" w:line="176" w:lineRule="exact"/>
              <w:rPr>
                <w:sz w:val="20"/>
                <w:szCs w:val="20"/>
                <w:color w:val="auto"/>
              </w:rPr>
            </w:pPr>
            <w:r>
              <w:rPr>
                <w:rFonts w:ascii="Arial" w:cs="Arial" w:eastAsia="Arial" w:hAnsi="Arial"/>
                <w:sz w:val="18"/>
                <w:szCs w:val="18"/>
                <w:color w:val="auto"/>
                <w:w w:val="94"/>
              </w:rPr>
              <w:t>Common stock, $0.01 par value, authorized 25,000,000 shares, issued 10,558,111 and outstanding</w:t>
            </w:r>
          </w:p>
        </w:tc>
        <w:tc>
          <w:tcPr>
            <w:tcW w:w="2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20" w:type="dxa"/>
            <w:vAlign w:val="bottom"/>
          </w:tcPr>
          <w:p>
            <w:pPr>
              <w:ind w:left="360"/>
              <w:spacing w:after="0" w:line="176" w:lineRule="exact"/>
              <w:rPr>
                <w:sz w:val="20"/>
                <w:szCs w:val="20"/>
                <w:color w:val="auto"/>
              </w:rPr>
            </w:pPr>
            <w:r>
              <w:rPr>
                <w:rFonts w:ascii="Arial" w:cs="Arial" w:eastAsia="Arial" w:hAnsi="Arial"/>
                <w:sz w:val="18"/>
                <w:szCs w:val="18"/>
                <w:color w:val="auto"/>
                <w:w w:val="89"/>
              </w:rPr>
              <w:t>8,382,342 shares at June 30, 2020; issued 10,306,570 and outstanding 8,881,086 shares at December</w:t>
            </w:r>
          </w:p>
        </w:tc>
        <w:tc>
          <w:tcPr>
            <w:tcW w:w="260" w:type="dxa"/>
            <w:vAlign w:val="bottom"/>
          </w:tcPr>
          <w:p>
            <w:pPr>
              <w:spacing w:after="0"/>
              <w:rPr>
                <w:sz w:val="15"/>
                <w:szCs w:val="15"/>
                <w:color w:val="auto"/>
              </w:rPr>
            </w:pPr>
          </w:p>
        </w:tc>
        <w:tc>
          <w:tcPr>
            <w:tcW w:w="1460" w:type="dxa"/>
            <w:vAlign w:val="bottom"/>
            <w:vMerge w:val="restart"/>
          </w:tcPr>
          <w:p>
            <w:pPr>
              <w:jc w:val="right"/>
              <w:ind w:right="70"/>
              <w:spacing w:after="0"/>
              <w:rPr>
                <w:sz w:val="20"/>
                <w:szCs w:val="20"/>
                <w:color w:val="auto"/>
              </w:rPr>
            </w:pPr>
            <w:r>
              <w:rPr>
                <w:rFonts w:ascii="Arial" w:cs="Arial" w:eastAsia="Arial" w:hAnsi="Arial"/>
                <w:sz w:val="18"/>
                <w:szCs w:val="18"/>
                <w:color w:val="auto"/>
              </w:rPr>
              <w:t>106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vMerge w:val="restart"/>
          </w:tcPr>
          <w:p>
            <w:pPr>
              <w:jc w:val="right"/>
              <w:ind w:right="7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7720" w:type="dxa"/>
            <w:vAlign w:val="bottom"/>
          </w:tcPr>
          <w:p>
            <w:pPr>
              <w:ind w:left="360"/>
              <w:spacing w:after="0"/>
              <w:rPr>
                <w:sz w:val="20"/>
                <w:szCs w:val="20"/>
                <w:color w:val="auto"/>
              </w:rPr>
            </w:pPr>
            <w:r>
              <w:rPr>
                <w:rFonts w:ascii="Arial" w:cs="Arial" w:eastAsia="Arial" w:hAnsi="Arial"/>
                <w:sz w:val="18"/>
                <w:szCs w:val="18"/>
                <w:color w:val="auto"/>
              </w:rPr>
              <w:t>31, 2019</w:t>
            </w:r>
          </w:p>
        </w:tc>
        <w:tc>
          <w:tcPr>
            <w:tcW w:w="2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208,572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203,441</w:t>
            </w:r>
          </w:p>
        </w:tc>
        <w:tc>
          <w:tcPr>
            <w:tcW w:w="0" w:type="dxa"/>
            <w:vAlign w:val="bottom"/>
          </w:tcPr>
          <w:p>
            <w:pPr>
              <w:spacing w:after="0"/>
              <w:rPr>
                <w:sz w:val="1"/>
                <w:szCs w:val="1"/>
                <w:color w:val="auto"/>
              </w:rPr>
            </w:pPr>
          </w:p>
        </w:tc>
      </w:tr>
      <w:tr>
        <w:trPr>
          <w:trHeight w:val="243"/>
        </w:trPr>
        <w:tc>
          <w:tcPr>
            <w:tcW w:w="7720" w:type="dxa"/>
            <w:vAlign w:val="bottom"/>
          </w:tcPr>
          <w:p>
            <w:pPr>
              <w:ind w:left="180"/>
              <w:spacing w:after="0"/>
              <w:rPr>
                <w:sz w:val="20"/>
                <w:szCs w:val="20"/>
                <w:color w:val="auto"/>
              </w:rPr>
            </w:pPr>
            <w:r>
              <w:rPr>
                <w:rFonts w:ascii="Arial" w:cs="Arial" w:eastAsia="Arial" w:hAnsi="Arial"/>
                <w:sz w:val="18"/>
                <w:szCs w:val="18"/>
                <w:color w:val="auto"/>
                <w:w w:val="93"/>
              </w:rPr>
              <w:t>Treasury stock, at cost - 2,175,758 shares at June 30, 2020; 1,425,483 shares at December 31, 2019</w:t>
            </w:r>
          </w:p>
        </w:tc>
        <w:tc>
          <w:tcPr>
            <w:tcW w:w="26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(78,050)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(63,281)</w:t>
            </w:r>
          </w:p>
        </w:tc>
        <w:tc>
          <w:tcPr>
            <w:tcW w:w="0" w:type="dxa"/>
            <w:vAlign w:val="bottom"/>
          </w:tcPr>
          <w:p>
            <w:pPr>
              <w:spacing w:after="0"/>
              <w:rPr>
                <w:sz w:val="1"/>
                <w:szCs w:val="1"/>
                <w:color w:val="auto"/>
              </w:rPr>
            </w:pPr>
          </w:p>
        </w:tc>
      </w:tr>
      <w:tr>
        <w:trPr>
          <w:trHeight w:val="27"/>
        </w:trPr>
        <w:tc>
          <w:tcPr>
            <w:tcW w:w="7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(2,943)</w:t>
            </w:r>
          </w:p>
        </w:tc>
        <w:tc>
          <w:tcPr>
            <w:tcW w:w="0" w:type="dxa"/>
            <w:vAlign w:val="bottom"/>
          </w:tcPr>
          <w:p>
            <w:pPr>
              <w:spacing w:after="0"/>
              <w:rPr>
                <w:sz w:val="1"/>
                <w:szCs w:val="1"/>
                <w:color w:val="auto"/>
              </w:rPr>
            </w:pPr>
          </w:p>
        </w:tc>
      </w:tr>
      <w:tr>
        <w:trPr>
          <w:trHeight w:val="243"/>
        </w:trPr>
        <w:tc>
          <w:tcPr>
            <w:tcW w:w="7720" w:type="dxa"/>
            <w:vAlign w:val="bottom"/>
          </w:tcPr>
          <w:p>
            <w:pPr>
              <w:ind w:left="2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21"/>
                <w:szCs w:val="21"/>
                <w:color w:val="auto"/>
              </w:rPr>
            </w:pPr>
          </w:p>
        </w:tc>
        <w:tc>
          <w:tcPr>
            <w:tcW w:w="1460" w:type="dxa"/>
            <w:vAlign w:val="bottom"/>
          </w:tcPr>
          <w:p>
            <w:pPr>
              <w:jc w:val="right"/>
              <w:ind w:right="70"/>
              <w:spacing w:after="0"/>
              <w:rPr>
                <w:sz w:val="20"/>
                <w:szCs w:val="20"/>
                <w:color w:val="auto"/>
              </w:rPr>
            </w:pPr>
            <w:r>
              <w:rPr>
                <w:rFonts w:ascii="Arial" w:cs="Arial" w:eastAsia="Arial" w:hAnsi="Arial"/>
                <w:sz w:val="18"/>
                <w:szCs w:val="18"/>
                <w:color w:val="auto"/>
              </w:rPr>
              <w:t>5,615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70"/>
              <w:spacing w:after="0"/>
              <w:rPr>
                <w:sz w:val="20"/>
                <w:szCs w:val="20"/>
                <w:color w:val="auto"/>
              </w:rPr>
            </w:pPr>
            <w:r>
              <w:rPr>
                <w:rFonts w:ascii="Arial" w:cs="Arial" w:eastAsia="Arial" w:hAnsi="Arial"/>
                <w:sz w:val="18"/>
                <w:szCs w:val="18"/>
                <w:color w:val="auto"/>
              </w:rPr>
              <w:t>10,967</w:t>
            </w:r>
          </w:p>
        </w:tc>
        <w:tc>
          <w:tcPr>
            <w:tcW w:w="0" w:type="dxa"/>
            <w:vAlign w:val="bottom"/>
          </w:tcPr>
          <w:p>
            <w:pPr>
              <w:spacing w:after="0"/>
              <w:rPr>
                <w:sz w:val="1"/>
                <w:szCs w:val="1"/>
                <w:color w:val="auto"/>
              </w:rPr>
            </w:pPr>
          </w:p>
        </w:tc>
      </w:tr>
      <w:tr>
        <w:trPr>
          <w:trHeight w:val="27"/>
        </w:trPr>
        <w:tc>
          <w:tcPr>
            <w:tcW w:w="77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77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stockholders’ equity</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131,429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148,287</w:t>
            </w:r>
          </w:p>
        </w:tc>
        <w:tc>
          <w:tcPr>
            <w:tcW w:w="0" w:type="dxa"/>
            <w:vAlign w:val="bottom"/>
          </w:tcPr>
          <w:p>
            <w:pPr>
              <w:spacing w:after="0"/>
              <w:rPr>
                <w:sz w:val="1"/>
                <w:szCs w:val="1"/>
                <w:color w:val="auto"/>
              </w:rPr>
            </w:pPr>
          </w:p>
        </w:tc>
      </w:tr>
      <w:tr>
        <w:trPr>
          <w:trHeight w:val="264"/>
        </w:trPr>
        <w:tc>
          <w:tcPr>
            <w:tcW w:w="7720" w:type="dxa"/>
            <w:vAlign w:val="bottom"/>
          </w:tcPr>
          <w:p>
            <w:pPr>
              <w:ind w:left="660"/>
              <w:spacing w:after="0"/>
              <w:rPr>
                <w:sz w:val="20"/>
                <w:szCs w:val="20"/>
                <w:color w:val="auto"/>
              </w:rPr>
            </w:pPr>
            <w:r>
              <w:rPr>
                <w:rFonts w:ascii="Arial" w:cs="Arial" w:eastAsia="Arial" w:hAnsi="Arial"/>
                <w:sz w:val="18"/>
                <w:szCs w:val="18"/>
                <w:b w:val="1"/>
                <w:bCs w:val="1"/>
                <w:color w:val="auto"/>
              </w:rPr>
              <w:t>Total liabilities and stockholders’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147,421</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178,707</w:t>
            </w:r>
          </w:p>
        </w:tc>
        <w:tc>
          <w:tcPr>
            <w:tcW w:w="0" w:type="dxa"/>
            <w:vAlign w:val="bottom"/>
          </w:tcPr>
          <w:p>
            <w:pPr>
              <w:spacing w:after="0"/>
              <w:rPr>
                <w:sz w:val="1"/>
                <w:szCs w:val="1"/>
                <w:color w:val="auto"/>
              </w:rPr>
            </w:pPr>
          </w:p>
        </w:tc>
      </w:tr>
      <w:tr>
        <w:trPr>
          <w:trHeight w:val="21"/>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5"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b w:val="1"/>
          <w:bCs w:val="1"/>
          <w:color w:val="auto"/>
        </w:rPr>
        <w:t>WESTWOOD HOLDINGS GROUP,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CONDENSED CONSOLIDATED STATEMENTS OF CASH FLOWS</w:t>
      </w:r>
    </w:p>
    <w:p>
      <w:pPr>
        <w:spacing w:after="0"/>
        <w:rPr>
          <w:sz w:val="20"/>
          <w:szCs w:val="20"/>
          <w:color w:val="auto"/>
        </w:rPr>
      </w:pPr>
      <w:r>
        <w:rPr>
          <w:rFonts w:ascii="Arial" w:cs="Arial" w:eastAsia="Arial" w:hAnsi="Arial"/>
          <w:sz w:val="20"/>
          <w:szCs w:val="20"/>
          <w:b w:val="1"/>
          <w:bCs w:val="1"/>
          <w:color w:val="auto"/>
        </w:rPr>
        <w:t>(in thousands)</w:t>
      </w:r>
    </w:p>
    <w:p>
      <w:pPr>
        <w:spacing w:after="0"/>
        <w:rPr>
          <w:sz w:val="20"/>
          <w:szCs w:val="20"/>
          <w:color w:val="auto"/>
        </w:rPr>
      </w:pPr>
      <w:r>
        <w:rPr>
          <w:rFonts w:ascii="Arial" w:cs="Arial" w:eastAsia="Arial" w:hAnsi="Arial"/>
          <w:sz w:val="20"/>
          <w:szCs w:val="20"/>
          <w:b w:val="1"/>
          <w:bCs w:val="1"/>
          <w:color w:val="auto"/>
        </w:rPr>
        <w:t>(unaudited)</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80" w:type="dxa"/>
            <w:vAlign w:val="bottom"/>
            <w:gridSpan w:val="4"/>
          </w:tcPr>
          <w:p>
            <w:pPr>
              <w:jc w:val="right"/>
              <w:ind w:right="479"/>
              <w:spacing w:after="0"/>
              <w:rPr>
                <w:sz w:val="20"/>
                <w:szCs w:val="20"/>
                <w:color w:val="auto"/>
              </w:rPr>
            </w:pPr>
            <w:r>
              <w:rPr>
                <w:rFonts w:ascii="Arial" w:cs="Arial" w:eastAsia="Arial" w:hAnsi="Arial"/>
                <w:sz w:val="16"/>
                <w:szCs w:val="16"/>
                <w:b w:val="1"/>
                <w:bCs w:val="1"/>
                <w:color w:val="auto"/>
              </w:rPr>
              <w:t>Six Months Ended June 30,</w:t>
            </w:r>
          </w:p>
        </w:tc>
      </w:tr>
      <w:tr>
        <w:trPr>
          <w:trHeight w:val="3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ind w:right="47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59"/>
              <w:spacing w:after="0"/>
              <w:rPr>
                <w:sz w:val="20"/>
                <w:szCs w:val="20"/>
                <w:color w:val="auto"/>
              </w:rPr>
            </w:pPr>
            <w:r>
              <w:rPr>
                <w:rFonts w:ascii="Arial" w:cs="Arial" w:eastAsia="Arial" w:hAnsi="Arial"/>
                <w:sz w:val="16"/>
                <w:szCs w:val="16"/>
                <w:b w:val="1"/>
                <w:bCs w:val="1"/>
                <w:color w:val="auto"/>
              </w:rPr>
              <w:t>2019</w:t>
            </w:r>
          </w:p>
        </w:tc>
      </w:tr>
      <w:tr>
        <w:trPr>
          <w:trHeight w:val="3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Net income (loss)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(1,473)</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2,253</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Adjustments to reconcile net income (loss) to net cash provided by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Depreciation</w:t>
            </w: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425</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Amortization of intangible assets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836</w:t>
            </w:r>
          </w:p>
        </w:tc>
      </w:tr>
      <w:tr>
        <w:trPr>
          <w:trHeight w:val="223"/>
        </w:trPr>
        <w:tc>
          <w:tcPr>
            <w:tcW w:w="8180" w:type="dxa"/>
            <w:vAlign w:val="bottom"/>
          </w:tcPr>
          <w:p>
            <w:pPr>
              <w:ind w:left="640"/>
              <w:spacing w:after="0"/>
              <w:rPr>
                <w:sz w:val="20"/>
                <w:szCs w:val="20"/>
                <w:color w:val="auto"/>
              </w:rPr>
            </w:pPr>
            <w:r>
              <w:rPr>
                <w:rFonts w:ascii="Arial" w:cs="Arial" w:eastAsia="Arial" w:hAnsi="Arial"/>
                <w:sz w:val="16"/>
                <w:szCs w:val="16"/>
                <w:color w:val="auto"/>
              </w:rPr>
              <w:t>Unrealized (gains) losses on investments</w:t>
            </w: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904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(600)</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Stock-based compensation expense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4,921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5,683</w:t>
            </w: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Deferred income taxes</w:t>
            </w: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(939)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763</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Non-cash lease expense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615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561</w:t>
            </w:r>
          </w:p>
        </w:tc>
      </w:tr>
      <w:tr>
        <w:trPr>
          <w:trHeight w:val="224"/>
        </w:trPr>
        <w:tc>
          <w:tcPr>
            <w:tcW w:w="8180" w:type="dxa"/>
            <w:vAlign w:val="bottom"/>
          </w:tcPr>
          <w:p>
            <w:pPr>
              <w:ind w:left="320"/>
              <w:spacing w:after="0"/>
              <w:rPr>
                <w:sz w:val="20"/>
                <w:szCs w:val="20"/>
                <w:color w:val="auto"/>
              </w:rPr>
            </w:pPr>
            <w:r>
              <w:rPr>
                <w:rFonts w:ascii="Arial" w:cs="Arial" w:eastAsia="Arial" w:hAnsi="Arial"/>
                <w:sz w:val="16"/>
                <w:szCs w:val="16"/>
                <w:color w:val="auto"/>
              </w:rPr>
              <w:t>Changes in operating assets and liabilities:</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Net sales of investments – trading securities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20,029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18,779</w:t>
            </w: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Accounts receivable</w:t>
            </w: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2,350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4,891</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current assets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709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(589)</w:t>
            </w:r>
          </w:p>
        </w:tc>
      </w:tr>
      <w:tr>
        <w:trPr>
          <w:trHeight w:val="224"/>
        </w:trPr>
        <w:tc>
          <w:tcPr>
            <w:tcW w:w="8180" w:type="dxa"/>
            <w:vAlign w:val="bottom"/>
          </w:tcPr>
          <w:p>
            <w:pPr>
              <w:ind w:left="640"/>
              <w:spacing w:after="0"/>
              <w:rPr>
                <w:sz w:val="20"/>
                <w:szCs w:val="20"/>
                <w:color w:val="auto"/>
              </w:rPr>
            </w:pPr>
            <w:r>
              <w:rPr>
                <w:rFonts w:ascii="Arial" w:cs="Arial" w:eastAsia="Arial" w:hAnsi="Arial"/>
                <w:sz w:val="16"/>
                <w:szCs w:val="16"/>
                <w:color w:val="auto"/>
              </w:rPr>
              <w:t>Accounts payable and accrued liabilities</w:t>
            </w: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(361)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(604)</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Compensation and benefits payable</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(5,790)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(10,357)</w:t>
            </w:r>
          </w:p>
        </w:tc>
      </w:tr>
      <w:tr>
        <w:trPr>
          <w:trHeight w:val="223"/>
        </w:trPr>
        <w:tc>
          <w:tcPr>
            <w:tcW w:w="8180" w:type="dxa"/>
            <w:vAlign w:val="bottom"/>
          </w:tcPr>
          <w:p>
            <w:pPr>
              <w:ind w:left="640"/>
              <w:spacing w:after="0"/>
              <w:rPr>
                <w:sz w:val="20"/>
                <w:szCs w:val="20"/>
                <w:color w:val="auto"/>
              </w:rPr>
            </w:pPr>
            <w:r>
              <w:rPr>
                <w:rFonts w:ascii="Arial" w:cs="Arial" w:eastAsia="Arial" w:hAnsi="Arial"/>
                <w:sz w:val="16"/>
                <w:szCs w:val="16"/>
                <w:color w:val="auto"/>
              </w:rPr>
              <w:t>Income taxes payable</w:t>
            </w:r>
          </w:p>
        </w:tc>
        <w:tc>
          <w:tcPr>
            <w:tcW w:w="320" w:type="dxa"/>
            <w:vAlign w:val="bottom"/>
          </w:tcPr>
          <w:p>
            <w:pPr>
              <w:spacing w:after="0"/>
              <w:rPr>
                <w:sz w:val="19"/>
                <w:szCs w:val="19"/>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(288)</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6"/>
                <w:szCs w:val="16"/>
                <w:color w:val="auto"/>
              </w:rPr>
              <w:t>Other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(692)</w:t>
            </w:r>
          </w:p>
        </w:tc>
      </w:tr>
      <w:tr>
        <w:trPr>
          <w:trHeight w:val="217"/>
        </w:trPr>
        <w:tc>
          <w:tcPr>
            <w:tcW w:w="8180" w:type="dxa"/>
            <w:vAlign w:val="bottom"/>
          </w:tcPr>
          <w:p>
            <w:pPr>
              <w:ind w:left="960"/>
              <w:spacing w:after="0"/>
              <w:rPr>
                <w:sz w:val="20"/>
                <w:szCs w:val="20"/>
                <w:color w:val="auto"/>
              </w:rPr>
            </w:pPr>
            <w:r>
              <w:rPr>
                <w:rFonts w:ascii="Arial" w:cs="Arial" w:eastAsia="Arial" w:hAnsi="Arial"/>
                <w:sz w:val="16"/>
                <w:szCs w:val="16"/>
                <w:color w:val="auto"/>
              </w:rPr>
              <w:t>Net cash provided by operating activities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21,824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21,061</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Purchases of property and equipment</w:t>
            </w: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(402)</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investments</w:t>
            </w:r>
          </w:p>
        </w:tc>
        <w:tc>
          <w:tcPr>
            <w:tcW w:w="3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(250)</w:t>
            </w:r>
          </w:p>
        </w:tc>
      </w:tr>
      <w:tr>
        <w:trPr>
          <w:trHeight w:val="217"/>
        </w:trPr>
        <w:tc>
          <w:tcPr>
            <w:tcW w:w="8180" w:type="dxa"/>
            <w:vAlign w:val="bottom"/>
          </w:tcPr>
          <w:p>
            <w:pPr>
              <w:ind w:left="960"/>
              <w:spacing w:after="0"/>
              <w:rPr>
                <w:sz w:val="20"/>
                <w:szCs w:val="20"/>
                <w:color w:val="auto"/>
              </w:rPr>
            </w:pPr>
            <w:r>
              <w:rPr>
                <w:rFonts w:ascii="Arial" w:cs="Arial" w:eastAsia="Arial" w:hAnsi="Arial"/>
                <w:sz w:val="16"/>
                <w:szCs w:val="16"/>
                <w:color w:val="auto"/>
              </w:rPr>
              <w:t>Net cash used in investing activities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(652)</w:t>
            </w:r>
          </w:p>
        </w:tc>
      </w:tr>
      <w:tr>
        <w:trPr>
          <w:trHeight w:val="3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6"/>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3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r>
      <w:tr>
        <w:trPr>
          <w:trHeight w:val="224"/>
        </w:trPr>
        <w:tc>
          <w:tcPr>
            <w:tcW w:w="8180" w:type="dxa"/>
            <w:vAlign w:val="bottom"/>
          </w:tcPr>
          <w:p>
            <w:pPr>
              <w:ind w:left="320"/>
              <w:spacing w:after="0"/>
              <w:rPr>
                <w:sz w:val="20"/>
                <w:szCs w:val="20"/>
                <w:color w:val="auto"/>
              </w:rPr>
            </w:pPr>
            <w:r>
              <w:rPr>
                <w:rFonts w:ascii="Arial" w:cs="Arial" w:eastAsia="Arial" w:hAnsi="Arial"/>
                <w:sz w:val="16"/>
                <w:szCs w:val="16"/>
                <w:color w:val="auto"/>
              </w:rPr>
              <w:t>Purchases of treasury stock</w:t>
            </w: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(12,952)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(806)</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7"/>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Purchases of treasury stock for employee stock plans</w:t>
            </w:r>
          </w:p>
        </w:tc>
        <w:tc>
          <w:tcPr>
            <w:tcW w:w="3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w:t>
            </w:r>
          </w:p>
        </w:tc>
      </w:tr>
      <w:tr>
        <w:trPr>
          <w:trHeight w:val="223"/>
        </w:trPr>
        <w:tc>
          <w:tcPr>
            <w:tcW w:w="8180" w:type="dxa"/>
            <w:vAlign w:val="bottom"/>
          </w:tcPr>
          <w:p>
            <w:pPr>
              <w:ind w:left="320"/>
              <w:spacing w:after="0"/>
              <w:rPr>
                <w:sz w:val="20"/>
                <w:szCs w:val="20"/>
                <w:color w:val="auto"/>
              </w:rPr>
            </w:pPr>
            <w:r>
              <w:rPr>
                <w:rFonts w:ascii="Arial" w:cs="Arial" w:eastAsia="Arial" w:hAnsi="Arial"/>
                <w:sz w:val="16"/>
                <w:szCs w:val="16"/>
                <w:color w:val="auto"/>
              </w:rPr>
              <w:t>Restricted stock returned for payment of taxes</w:t>
            </w:r>
          </w:p>
        </w:tc>
        <w:tc>
          <w:tcPr>
            <w:tcW w:w="320" w:type="dxa"/>
            <w:vAlign w:val="bottom"/>
          </w:tcPr>
          <w:p>
            <w:pPr>
              <w:spacing w:after="0"/>
              <w:rPr>
                <w:sz w:val="19"/>
                <w:szCs w:val="19"/>
                <w:color w:val="auto"/>
              </w:rPr>
            </w:pPr>
          </w:p>
        </w:tc>
        <w:tc>
          <w:tcPr>
            <w:tcW w:w="1140" w:type="dxa"/>
            <w:vAlign w:val="bottom"/>
          </w:tcPr>
          <w:p>
            <w:pPr>
              <w:jc w:val="right"/>
              <w:ind w:right="39"/>
              <w:spacing w:after="0"/>
              <w:rPr>
                <w:sz w:val="20"/>
                <w:szCs w:val="20"/>
                <w:color w:val="auto"/>
              </w:rPr>
            </w:pPr>
            <w:r>
              <w:rPr>
                <w:rFonts w:ascii="Arial" w:cs="Arial" w:eastAsia="Arial" w:hAnsi="Arial"/>
                <w:sz w:val="16"/>
                <w:szCs w:val="16"/>
                <w:color w:val="auto"/>
              </w:rPr>
              <w:t>(1,120)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(2,385)</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7"/>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dividends</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(11,043)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(13,860)</w:t>
            </w:r>
          </w:p>
        </w:tc>
      </w:tr>
      <w:tr>
        <w:trPr>
          <w:trHeight w:val="217"/>
        </w:trPr>
        <w:tc>
          <w:tcPr>
            <w:tcW w:w="8180" w:type="dxa"/>
            <w:vAlign w:val="bottom"/>
          </w:tcPr>
          <w:p>
            <w:pPr>
              <w:ind w:left="960"/>
              <w:spacing w:after="0"/>
              <w:rPr>
                <w:sz w:val="20"/>
                <w:szCs w:val="20"/>
                <w:color w:val="auto"/>
              </w:rPr>
            </w:pPr>
            <w:r>
              <w:rPr>
                <w:rFonts w:ascii="Arial" w:cs="Arial" w:eastAsia="Arial" w:hAnsi="Arial"/>
                <w:sz w:val="16"/>
                <w:szCs w:val="16"/>
                <w:color w:val="auto"/>
              </w:rPr>
              <w:t>Net cash used in financing activities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(25,812)</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(18,032)</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Effect of currency rate changes on cash</w:t>
            </w:r>
          </w:p>
        </w:tc>
        <w:tc>
          <w:tcPr>
            <w:tcW w:w="3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1,484</w:t>
            </w:r>
          </w:p>
        </w:tc>
      </w:tr>
      <w:tr>
        <w:trPr>
          <w:trHeight w:val="217"/>
        </w:trPr>
        <w:tc>
          <w:tcPr>
            <w:tcW w:w="8180" w:type="dxa"/>
            <w:vAlign w:val="bottom"/>
          </w:tcPr>
          <w:p>
            <w:pPr>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(5,840)</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3,861</w:t>
            </w:r>
          </w:p>
        </w:tc>
      </w:tr>
      <w:tr>
        <w:trPr>
          <w:trHeight w:val="33"/>
        </w:trPr>
        <w:tc>
          <w:tcPr>
            <w:tcW w:w="81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beginning of period</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49,766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52,449</w:t>
            </w:r>
          </w:p>
        </w:tc>
      </w:tr>
      <w:tr>
        <w:trPr>
          <w:trHeight w:val="217"/>
        </w:trPr>
        <w:tc>
          <w:tcPr>
            <w:tcW w:w="818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32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43,926</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56,310</w:t>
            </w:r>
          </w:p>
        </w:tc>
      </w:tr>
      <w:tr>
        <w:trPr>
          <w:trHeight w:val="33"/>
        </w:trPr>
        <w:tc>
          <w:tcPr>
            <w:tcW w:w="81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3"/>
        </w:trPr>
        <w:tc>
          <w:tcPr>
            <w:tcW w:w="8180" w:type="dxa"/>
            <w:vAlign w:val="bottom"/>
          </w:tcPr>
          <w:p>
            <w:pPr>
              <w:spacing w:after="0"/>
              <w:rPr>
                <w:sz w:val="20"/>
                <w:szCs w:val="20"/>
                <w:color w:val="auto"/>
              </w:rPr>
            </w:pPr>
            <w:r>
              <w:rPr>
                <w:rFonts w:ascii="Arial" w:cs="Arial" w:eastAsia="Arial" w:hAnsi="Arial"/>
                <w:sz w:val="16"/>
                <w:szCs w:val="16"/>
                <w:color w:val="auto"/>
              </w:rPr>
              <w:t>Supplemental cash flow information:</w:t>
            </w: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36"/>
        </w:trPr>
        <w:tc>
          <w:tcPr>
            <w:tcW w:w="81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Cash paid during the period for income taxes</w:t>
            </w: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288</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1,417</w:t>
            </w:r>
          </w:p>
        </w:tc>
      </w:tr>
      <w:tr>
        <w:trPr>
          <w:trHeight w:val="224"/>
        </w:trPr>
        <w:tc>
          <w:tcPr>
            <w:tcW w:w="8180" w:type="dxa"/>
            <w:vAlign w:val="bottom"/>
          </w:tcPr>
          <w:p>
            <w:pPr>
              <w:ind w:left="320"/>
              <w:spacing w:after="0"/>
              <w:rPr>
                <w:sz w:val="20"/>
                <w:szCs w:val="20"/>
                <w:color w:val="auto"/>
              </w:rPr>
            </w:pPr>
            <w:r>
              <w:rPr>
                <w:rFonts w:ascii="Arial" w:cs="Arial" w:eastAsia="Arial" w:hAnsi="Arial"/>
                <w:sz w:val="16"/>
                <w:szCs w:val="16"/>
                <w:color w:val="auto"/>
              </w:rPr>
              <w:t>Accrued dividends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1,498</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8,150</w:t>
            </w:r>
          </w:p>
        </w:tc>
      </w:tr>
      <w:tr>
        <w:trPr>
          <w:trHeight w:val="33"/>
        </w:trPr>
        <w:tc>
          <w:tcPr>
            <w:tcW w:w="8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23"/>
        </w:trPr>
        <w:tc>
          <w:tcPr>
            <w:tcW w:w="81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Accrued purchases of property and equipment</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203</w:t>
            </w:r>
          </w:p>
        </w:tc>
      </w:tr>
      <w:tr>
        <w:trPr>
          <w:trHeight w:val="33"/>
        </w:trPr>
        <w:tc>
          <w:tcPr>
            <w:tcW w:w="8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ectPr>
          <w:pgSz w:w="11900" w:h="16838" w:orient="portrait"/>
          <w:cols w:equalWidth="0" w:num="1">
            <w:col w:w="11220"/>
          </w:cols>
          <w:pgMar w:left="320" w:top="895" w:right="359" w:bottom="1440" w:gutter="0" w:footer="0" w:header="0"/>
        </w:sectPr>
      </w:pPr>
    </w:p>
    <w:bookmarkStart w:id="10" w:name="page11"/>
    <w:bookmarkEnd w:id="10"/>
    <w:p>
      <w:pPr>
        <w:ind w:right="5200"/>
        <w:spacing w:after="0" w:line="261" w:lineRule="auto"/>
        <w:rPr>
          <w:sz w:val="20"/>
          <w:szCs w:val="20"/>
          <w:color w:val="auto"/>
        </w:rPr>
      </w:pPr>
      <w:r>
        <w:rPr>
          <w:rFonts w:ascii="Arial" w:cs="Arial" w:eastAsia="Arial" w:hAnsi="Arial"/>
          <w:sz w:val="21"/>
          <w:szCs w:val="21"/>
          <w:b w:val="1"/>
          <w:bCs w:val="1"/>
          <w:color w:val="auto"/>
        </w:rPr>
        <w:t>WESTWOOD HOLDINGS GROUP, INC. AND SUBSIDIARIES Reconciliation of Net Income (Loss) to Economic Earnings</w:t>
      </w:r>
    </w:p>
    <w:p>
      <w:pPr>
        <w:spacing w:after="0"/>
        <w:rPr>
          <w:sz w:val="20"/>
          <w:szCs w:val="20"/>
          <w:color w:val="auto"/>
        </w:rPr>
      </w:pPr>
      <w:r>
        <w:rPr>
          <w:rFonts w:ascii="Arial" w:cs="Arial" w:eastAsia="Arial" w:hAnsi="Arial"/>
          <w:sz w:val="20"/>
          <w:szCs w:val="20"/>
          <w:b w:val="1"/>
          <w:bCs w:val="1"/>
          <w:color w:val="auto"/>
        </w:rPr>
        <w:t>(in thousands, except per share and share amounts)</w:t>
      </w:r>
    </w:p>
    <w:p>
      <w:pPr>
        <w:spacing w:after="0"/>
        <w:rPr>
          <w:sz w:val="20"/>
          <w:szCs w:val="20"/>
          <w:color w:val="auto"/>
        </w:rPr>
      </w:pPr>
      <w:r>
        <w:rPr>
          <w:rFonts w:ascii="Arial" w:cs="Arial" w:eastAsia="Arial" w:hAnsi="Arial"/>
          <w:sz w:val="20"/>
          <w:szCs w:val="20"/>
          <w:b w:val="1"/>
          <w:bCs w:val="1"/>
          <w:color w:val="auto"/>
        </w:rPr>
        <w:t>(unaudited)</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Three Months Ended</w:t>
            </w:r>
          </w:p>
        </w:tc>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3"/>
        </w:trPr>
        <w:tc>
          <w:tcPr>
            <w:tcW w:w="5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2020</w:t>
            </w:r>
          </w:p>
        </w:tc>
        <w:tc>
          <w:tcPr>
            <w:tcW w:w="24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June 30, 2019</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1,861</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2,305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2,616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2,430</w:t>
            </w:r>
          </w:p>
        </w:tc>
      </w:tr>
      <w:tr>
        <w:trPr>
          <w:trHeight w:val="27"/>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59</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4,200</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4,773</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7,879,698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8,458,473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8,476,777</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0.50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0.56</w:t>
            </w:r>
          </w:p>
        </w:tc>
      </w:tr>
      <w:tr>
        <w:trPr>
          <w:trHeight w:val="526"/>
        </w:trPr>
        <w:tc>
          <w:tcPr>
            <w:tcW w:w="5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4"/>
          </w:tcPr>
          <w:p>
            <w:pPr>
              <w:jc w:val="right"/>
              <w:ind w:right="1010"/>
              <w:spacing w:after="0"/>
              <w:rPr>
                <w:sz w:val="20"/>
                <w:szCs w:val="20"/>
                <w:color w:val="auto"/>
              </w:rPr>
            </w:pPr>
            <w:r>
              <w:rPr>
                <w:rFonts w:ascii="Arial" w:cs="Arial" w:eastAsia="Arial" w:hAnsi="Arial"/>
                <w:sz w:val="18"/>
                <w:szCs w:val="18"/>
                <w:b w:val="1"/>
                <w:bCs w:val="1"/>
                <w:color w:val="auto"/>
              </w:rPr>
              <w:t>Six Months Ended</w:t>
            </w:r>
          </w:p>
        </w:tc>
      </w:tr>
      <w:tr>
        <w:trPr>
          <w:trHeight w:val="27"/>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5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June 30, 2020</w:t>
            </w:r>
          </w:p>
        </w:tc>
        <w:tc>
          <w:tcPr>
            <w:tcW w:w="240" w:type="dxa"/>
            <w:vAlign w:val="bottom"/>
          </w:tcPr>
          <w:p>
            <w:pPr>
              <w:spacing w:after="0"/>
              <w:rPr>
                <w:sz w:val="20"/>
                <w:szCs w:val="20"/>
                <w:color w:val="auto"/>
              </w:rPr>
            </w:pPr>
          </w:p>
        </w:tc>
        <w:tc>
          <w:tcPr>
            <w:tcW w:w="152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June 30, 2019</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3"/>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(1,473)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2,253</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Add: Stock-based compensation expense</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5,682</w:t>
            </w:r>
          </w:p>
        </w:tc>
      </w:tr>
      <w:tr>
        <w:trPr>
          <w:trHeight w:val="27"/>
        </w:trPr>
        <w:tc>
          <w:tcPr>
            <w:tcW w:w="5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 Intangible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836</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color w:val="auto"/>
              </w:rPr>
              <w:t>Add: Tax benefit from goodwill amortization</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118</w:t>
            </w:r>
          </w:p>
        </w:tc>
      </w:tr>
      <w:tr>
        <w:trPr>
          <w:trHeight w:val="27"/>
        </w:trPr>
        <w:tc>
          <w:tcPr>
            <w:tcW w:w="57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8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Economic Earnings</w:t>
            </w:r>
          </w:p>
        </w:tc>
        <w:tc>
          <w:tcPr>
            <w:tcW w:w="24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4,424</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8,889</w:t>
            </w: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5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0"/>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8,147,045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8,467,589</w:t>
            </w:r>
          </w:p>
        </w:tc>
      </w:tr>
      <w:tr>
        <w:trPr>
          <w:trHeight w:val="24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Economic EPS</w:t>
            </w:r>
          </w:p>
        </w:tc>
        <w:tc>
          <w:tcPr>
            <w:tcW w:w="2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ind w:right="71"/>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ind w:right="70"/>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78"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As supplemental information, we are providing non-GAAP performance measures that we refer to as Economic Earnings and Economic EPS. We provide these measures in addition to, not as a substitute for, net income (loss) and earnings (loss) per share, which are reported on a GAAP basis. Our management and Board of Directors review Economic Earnings and Economic EPS to evaluate our ongoing performance, allocate resources, and review our dividend policy. We believe that these non-GAAP performance measures, while not substitutes for GAAP net income (loss) or earnings (loss) per share, are useful for management and investors when evaluating our underlying operating and financial performance and our available resources. We do not advocate that investors consider these non-GAAP measures without also considering financial information prepared in accordance with GAAP.</w:t>
      </w:r>
    </w:p>
    <w:p>
      <w:pPr>
        <w:spacing w:after="0" w:line="75"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We define Economic Earnings as net income (loss) plus non-cash equity-based compensation expense, amortization of intangible assets, and deferred taxes related to goodwill. Although depreciation on fixed assets is a non-cash expense, we do not add it back when calculating Economic Earnings because depreciation charges represent an allocation of the decline in the value of the related assets that will ultimately require replacement. In addition, we do not adjust Economic Earnings for tax deductions related to restricted stock expense or amortization of intangible assets. Economic EPS represents Economic Earnings divided by diluted weighted average shares outstanding.</w:t>
      </w:r>
    </w:p>
    <w:sectPr>
      <w:pgSz w:w="11900" w:h="16838" w:orient="portrait"/>
      <w:cols w:equalWidth="0" w:num="1">
        <w:col w:w="11240"/>
      </w:cols>
      <w:pgMar w:left="320" w:top="113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2020-07-29T15:31:57Z</dcterms:created>
  <dcterms:modified xsi:type="dcterms:W3CDTF">2020-07-29T15:31:57Z</dcterms:modified>
</cp:coreProperties>
</file>