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February 15, 2023</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57"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57"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57"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10"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7"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5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On February 15, 2023, Westwood Holdings Group, Inc. (“Westwood”) announced its financial results for the quarter ended December 31, 2022, a copy of which is furnished with this Current Report on Form 8-K as Exhibit 99.1.</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7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2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April 3, 2023 to stockholders of record on March 1, 2023.</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u w:val="single" w:color="auto"/>
          <w:color w:val="0000FF"/>
        </w:rPr>
        <w:t>Press Release Dated February 15, 2022</w:t>
      </w:r>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2023</w:t>
      </w:r>
    </w:p>
    <w:p>
      <w:pPr>
        <w:spacing w:after="0" w:line="200" w:lineRule="exact"/>
        <w:rPr>
          <w:sz w:val="20"/>
          <w:szCs w:val="20"/>
          <w:color w:val="auto"/>
        </w:rPr>
      </w:pPr>
    </w:p>
    <w:p>
      <w:pPr>
        <w:spacing w:after="0" w:line="329"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Reports Fourth Quarter and Full Year 2022 Results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Closed Strategic Acquisition of Salient Partners' Asset Management Business</w:t>
      </w:r>
    </w:p>
    <w:p>
      <w:pPr>
        <w:jc w:val="center"/>
        <w:spacing w:after="0"/>
        <w:rPr>
          <w:sz w:val="20"/>
          <w:szCs w:val="20"/>
          <w:color w:val="auto"/>
        </w:rPr>
      </w:pPr>
      <w:r>
        <w:rPr>
          <w:rFonts w:ascii="Arial" w:cs="Arial" w:eastAsia="Arial" w:hAnsi="Arial"/>
          <w:sz w:val="20"/>
          <w:szCs w:val="20"/>
          <w:b w:val="1"/>
          <w:bCs w:val="1"/>
          <w:color w:val="auto"/>
        </w:rPr>
        <w:t>Strong Investment Performance</w:t>
      </w: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Dallas, TX, February 15, 2023 – Westwood Holdings Group, Inc. (NYSE: WHG) today reported fourth quarter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closed the acquisition of Salient Partners' asset management business on November 18, 2022.</w:t>
      </w:r>
    </w:p>
    <w:p>
      <w:pPr>
        <w:spacing w:after="0" w:line="165" w:lineRule="exact"/>
        <w:rPr>
          <w:rFonts w:ascii="Arial" w:cs="Arial" w:eastAsia="Arial" w:hAnsi="Arial"/>
          <w:sz w:val="22"/>
          <w:szCs w:val="22"/>
          <w:color w:val="auto"/>
        </w:rPr>
      </w:pPr>
    </w:p>
    <w:p>
      <w:pPr>
        <w:ind w:left="1300" w:hanging="320"/>
        <w:spacing w:after="0" w:line="263" w:lineRule="auto"/>
        <w:tabs>
          <w:tab w:leader="none" w:pos="1295" w:val="left"/>
        </w:tabs>
        <w:numPr>
          <w:ilvl w:val="1"/>
          <w:numId w:val="2"/>
        </w:numPr>
        <w:rPr>
          <w:rFonts w:ascii="Arial" w:cs="Arial" w:eastAsia="Arial" w:hAnsi="Arial"/>
          <w:sz w:val="22"/>
          <w:szCs w:val="22"/>
          <w:color w:val="auto"/>
        </w:rPr>
      </w:pPr>
      <w:r>
        <w:rPr>
          <w:rFonts w:ascii="Arial" w:cs="Arial" w:eastAsia="Arial" w:hAnsi="Arial"/>
          <w:sz w:val="22"/>
          <w:szCs w:val="22"/>
          <w:color w:val="auto"/>
        </w:rPr>
        <w:t>This transaction is expected to be highly accretive to earnings per share ("EPS"), adding about 100% of economic EPS accretion in 2023, the first full year following closing.</w:t>
      </w:r>
    </w:p>
    <w:p>
      <w:pPr>
        <w:spacing w:after="0" w:line="134" w:lineRule="exact"/>
        <w:rPr>
          <w:rFonts w:ascii="Arial" w:cs="Arial" w:eastAsia="Arial" w:hAnsi="Arial"/>
          <w:sz w:val="22"/>
          <w:szCs w:val="22"/>
          <w:color w:val="auto"/>
        </w:rPr>
      </w:pPr>
    </w:p>
    <w:p>
      <w:pPr>
        <w:jc w:val="both"/>
        <w:ind w:left="1300" w:hanging="320"/>
        <w:spacing w:after="0" w:line="253" w:lineRule="auto"/>
        <w:tabs>
          <w:tab w:leader="none" w:pos="1295" w:val="left"/>
        </w:tabs>
        <w:numPr>
          <w:ilvl w:val="1"/>
          <w:numId w:val="2"/>
        </w:numPr>
        <w:rPr>
          <w:rFonts w:ascii="Arial" w:cs="Arial" w:eastAsia="Arial" w:hAnsi="Arial"/>
          <w:sz w:val="22"/>
          <w:szCs w:val="22"/>
          <w:color w:val="auto"/>
        </w:rPr>
      </w:pPr>
      <w:r>
        <w:rPr>
          <w:rFonts w:ascii="Arial" w:cs="Arial" w:eastAsia="Arial" w:hAnsi="Arial"/>
          <w:sz w:val="22"/>
          <w:szCs w:val="22"/>
          <w:color w:val="auto"/>
        </w:rPr>
        <w:t>Salient’s complementary, highly differentiated strategies across Energy Infrastructure, Real Estate, Tactical Absolute Return and Private Investments bring new products and talented investment professionals to grow and enhance our multi-asset, real assets and alternatives platforms.</w:t>
      </w:r>
    </w:p>
    <w:p>
      <w:pPr>
        <w:spacing w:after="0" w:line="77" w:lineRule="exact"/>
        <w:rPr>
          <w:rFonts w:ascii="Arial" w:cs="Arial" w:eastAsia="Arial" w:hAnsi="Arial"/>
          <w:sz w:val="22"/>
          <w:szCs w:val="22"/>
          <w:color w:val="auto"/>
        </w:rPr>
      </w:pPr>
    </w:p>
    <w:p>
      <w:pPr>
        <w:jc w:val="both"/>
        <w:ind w:left="1300" w:right="20" w:hanging="320"/>
        <w:spacing w:after="0" w:line="259" w:lineRule="auto"/>
        <w:tabs>
          <w:tab w:leader="none" w:pos="1295" w:val="left"/>
        </w:tabs>
        <w:numPr>
          <w:ilvl w:val="1"/>
          <w:numId w:val="2"/>
        </w:numPr>
        <w:rPr>
          <w:rFonts w:ascii="Arial" w:cs="Arial" w:eastAsia="Arial" w:hAnsi="Arial"/>
          <w:sz w:val="22"/>
          <w:szCs w:val="22"/>
          <w:color w:val="auto"/>
        </w:rPr>
      </w:pPr>
      <w:r>
        <w:rPr>
          <w:rFonts w:ascii="Arial" w:cs="Arial" w:eastAsia="Arial" w:hAnsi="Arial"/>
          <w:sz w:val="22"/>
          <w:szCs w:val="22"/>
          <w:color w:val="auto"/>
        </w:rPr>
        <w:t>Westwood’s distribution capabilities expand significantly with the dynamic combination of two complementary teams, with very little client overlap, and uniquely successful histories of focusing on different distribution channels.</w:t>
      </w:r>
    </w:p>
    <w:p>
      <w:pPr>
        <w:spacing w:after="0" w:line="72" w:lineRule="exact"/>
        <w:rPr>
          <w:rFonts w:ascii="Arial" w:cs="Arial" w:eastAsia="Arial" w:hAnsi="Arial"/>
          <w:sz w:val="22"/>
          <w:szCs w:val="22"/>
          <w:color w:val="auto"/>
        </w:rPr>
      </w:pPr>
    </w:p>
    <w:p>
      <w:pPr>
        <w:ind w:left="660" w:right="20" w:hanging="328"/>
        <w:spacing w:after="0" w:line="287" w:lineRule="auto"/>
        <w:tabs>
          <w:tab w:leader="none" w:pos="669" w:val="left"/>
        </w:tabs>
        <w:numPr>
          <w:ilvl w:val="0"/>
          <w:numId w:val="2"/>
        </w:numPr>
        <w:rPr>
          <w:rFonts w:ascii="Arial" w:cs="Arial" w:eastAsia="Arial" w:hAnsi="Arial"/>
          <w:sz w:val="21"/>
          <w:szCs w:val="21"/>
          <w:color w:val="auto"/>
        </w:rPr>
      </w:pPr>
      <w:r>
        <w:rPr>
          <w:rFonts w:ascii="Arial" w:cs="Arial" w:eastAsia="Arial" w:hAnsi="Arial"/>
          <w:sz w:val="21"/>
          <w:szCs w:val="21"/>
          <w:color w:val="auto"/>
        </w:rPr>
        <w:t>Numerous strategies beat their primary benchmarks, including SMidCap Value, SmallCap Value, AllCap Value, Select Equity, Dividend Select, Income Opportunity, Total Return, High Income and Alternative Income.</w:t>
      </w:r>
    </w:p>
    <w:p>
      <w:pPr>
        <w:spacing w:after="0" w:line="97" w:lineRule="exact"/>
        <w:rPr>
          <w:rFonts w:ascii="Arial" w:cs="Arial" w:eastAsia="Arial" w:hAnsi="Arial"/>
          <w:sz w:val="21"/>
          <w:szCs w:val="21"/>
          <w:color w:val="auto"/>
        </w:rPr>
      </w:pPr>
    </w:p>
    <w:p>
      <w:pPr>
        <w:jc w:val="both"/>
        <w:ind w:left="660" w:hanging="328"/>
        <w:spacing w:after="0" w:line="259" w:lineRule="auto"/>
        <w:tabs>
          <w:tab w:leader="none" w:pos="696"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peer rankings benefited from our strong investment performance as SmallCap Value achieved a top 15th percentile ranking, AllCap Value and Select Equity scored top 20th percentile rankings, and Dividend Select and Income Opportunity posted top third rankings.</w:t>
      </w:r>
    </w:p>
    <w:p>
      <w:pPr>
        <w:spacing w:after="0" w:line="126" w:lineRule="exact"/>
        <w:rPr>
          <w:rFonts w:ascii="Arial" w:cs="Arial" w:eastAsia="Arial" w:hAnsi="Arial"/>
          <w:sz w:val="22"/>
          <w:szCs w:val="22"/>
          <w:color w:val="auto"/>
        </w:rPr>
      </w:pPr>
    </w:p>
    <w:p>
      <w:pPr>
        <w:jc w:val="both"/>
        <w:ind w:left="660" w:hanging="328"/>
        <w:spacing w:after="0" w:line="250" w:lineRule="auto"/>
        <w:tabs>
          <w:tab w:leader="none" w:pos="669"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reported revenues totaling $20.5 million compared with $15.4 million in the third quarter and $19.4 million a year ago, and a net loss of $3.1 million compared with a net loss of $1.2 million in the third quarter and net income of $2.8 million in last year's fourth quarter. Fourth quarter 2022 results reflect pre-tax acquisition expenses of $5.3 million recorded during the fourth quarter.</w:t>
      </w:r>
    </w:p>
    <w:p>
      <w:pPr>
        <w:spacing w:after="0" w:line="133" w:lineRule="exact"/>
        <w:rPr>
          <w:rFonts w:ascii="Arial" w:cs="Arial" w:eastAsia="Arial" w:hAnsi="Arial"/>
          <w:sz w:val="22"/>
          <w:szCs w:val="22"/>
          <w:color w:val="auto"/>
        </w:rPr>
      </w:pPr>
    </w:p>
    <w:p>
      <w:pPr>
        <w:ind w:left="660" w:hanging="328"/>
        <w:spacing w:after="0" w:line="276" w:lineRule="auto"/>
        <w:tabs>
          <w:tab w:leader="none" w:pos="6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Net loss totaled $4.6 million in 2022, including the impact of acquisition-related expenses, versus net income of $9.8 million for the previous year.</w:t>
      </w:r>
    </w:p>
    <w:p>
      <w:pPr>
        <w:spacing w:after="0" w:line="106" w:lineRule="exact"/>
        <w:rPr>
          <w:rFonts w:ascii="Arial" w:cs="Arial" w:eastAsia="Arial" w:hAnsi="Arial"/>
          <w:sz w:val="22"/>
          <w:szCs w:val="22"/>
          <w:b w:val="1"/>
          <w:bCs w:val="1"/>
          <w:color w:val="auto"/>
        </w:rPr>
      </w:pPr>
    </w:p>
    <w:p>
      <w:pPr>
        <w:ind w:left="6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(Loss) of $(0.7) million, which also includes the impact of acquisition-related expenses, compared with $0.8 million in the third quarter and $4.7 million in the fourth quarter of 2021.</w:t>
      </w:r>
    </w:p>
    <w:p>
      <w:pPr>
        <w:spacing w:after="0" w:line="120" w:lineRule="exact"/>
        <w:rPr>
          <w:rFonts w:ascii="Arial" w:cs="Arial" w:eastAsia="Arial" w:hAnsi="Arial"/>
          <w:sz w:val="22"/>
          <w:szCs w:val="22"/>
          <w:color w:val="auto"/>
        </w:rPr>
      </w:pPr>
    </w:p>
    <w:p>
      <w:pPr>
        <w:jc w:val="both"/>
        <w:ind w:left="660" w:hanging="328"/>
        <w:spacing w:after="0" w:line="259" w:lineRule="auto"/>
        <w:tabs>
          <w:tab w:leader="none" w:pos="696"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Westwood held $39.2 million in cash and short-term investments at December 31, 2022, down $34.8 million from September 30, 2022 due principally to the upfront cash payment for the Salient acquisition. Stockholders' equity totaled $110.6 million as of December 31, 2022 and we continue to have no debt.</w:t>
      </w:r>
    </w:p>
    <w:p>
      <w:pPr>
        <w:sectPr>
          <w:pgSz w:w="11900" w:h="16838" w:orient="portrait"/>
          <w:cols w:equalWidth="0" w:num="1">
            <w:col w:w="11240"/>
          </w:cols>
          <w:pgMar w:left="320" w:top="1440" w:right="339" w:bottom="1440" w:gutter="0" w:footer="0" w:header="0"/>
        </w:sectPr>
      </w:pPr>
    </w:p>
    <w:bookmarkStart w:id="4" w:name="page5"/>
    <w:bookmarkEnd w:id="4"/>
    <w:p>
      <w:pPr>
        <w:ind w:left="660" w:hanging="328"/>
        <w:spacing w:after="0" w:line="263" w:lineRule="auto"/>
        <w:tabs>
          <w:tab w:leader="none" w:pos="656"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April 3, 2023 to stockholders of record on March 1, 2023.</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Brian Casey, Westwood’s CEO, commented, "We were very pleased with the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quarter’s investment results, with strong performances delivered across the firm’s suite of products. In November we were extremely pleased to close the acquisition of Salient Partners’ asset management business, which we firmly believe will prove to be one of the most impactful transactions in Westwood’s history. The benefits to stakeholders are many, including significant accretion to Economic Earnings starting this year and the arrival of great products in Energy Infrastructure, Real Estate, Tactical Absolute Return and Private Investments joining our line-up of investment strategies. We are also gaining an experienced team of talented investment professionals serving a diverse group of clients, a complementary distribution footprint with little overlap with Westwood’s existing distribution channels, and a very strong cultural fit that became even more apparent as we worked together to bring the deal to fruition. Following an interesting January for the markets, we are excited to see how the balance of the year plays out and anticipate continued improvements in our fee mix and flows."</w:t>
      </w:r>
    </w:p>
    <w:p>
      <w:pPr>
        <w:spacing w:after="0" w:line="6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Revenues of $20.5 million increased $1.1 million from 2021's fourth quarter principally due to higher average assets under management ("AUM"). Revenues rose $5.1 million versus the third quarter principally on higher average AUM and higher performance fees.</w:t>
      </w:r>
    </w:p>
    <w:p>
      <w:pPr>
        <w:spacing w:after="0" w:line="72"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Firm wide assets under management and advisement totaled $16.1 billion at quarter end, which consisted of AUM of $14.8 billion and assets under advisement ("AUA") of $1.3 billion.</w:t>
      </w:r>
    </w:p>
    <w:p>
      <w:pPr>
        <w:spacing w:after="0" w:line="67" w:lineRule="exact"/>
        <w:rPr>
          <w:sz w:val="20"/>
          <w:szCs w:val="20"/>
          <w:color w:val="auto"/>
        </w:rPr>
      </w:pPr>
    </w:p>
    <w:p>
      <w:pPr>
        <w:ind w:right="400"/>
        <w:spacing w:after="0" w:line="270" w:lineRule="auto"/>
        <w:rPr>
          <w:sz w:val="20"/>
          <w:szCs w:val="20"/>
          <w:color w:val="auto"/>
        </w:rPr>
      </w:pPr>
      <w:r>
        <w:rPr>
          <w:rFonts w:ascii="Arial" w:cs="Arial" w:eastAsia="Arial" w:hAnsi="Arial"/>
          <w:sz w:val="21"/>
          <w:szCs w:val="21"/>
          <w:color w:val="auto"/>
        </w:rPr>
        <w:t>AUM of $14.8 billion at December 31, 2022 rose from $11.5 billion at September 30, 2022 principally due to $2.7 billion of AUM from the acquisition of Salient. AUA of $1.3 billion at December 31, 2022 rose from $0.3 billion in the prior quarter principally due to $0.9 billion of AUA acquired in the Salient transaction. For AUA, we provide model portfolios and related investment advice on a fee basis without having investment management authority.</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Fourth quarter net loss of $3.1 million compared to the third quarter's loss of $1.2 million due to higher expenses, primarily related to the acquisition ($5.3 million), and unrealized depreciation on private investments, partially offset by higher revenues. Diluted EPS of $(0.40) compared to $(0.15) per share for the third quarter. Non-GAAP Economic Earnings (Loss) were $(0.7) million, or $(0.09) per share, compared to the third quarter's $0.8 million, or $0.10 per share.</w:t>
      </w:r>
    </w:p>
    <w:p>
      <w:pPr>
        <w:spacing w:after="0" w:line="6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Fourth quarter net loss of $3.1 million compared to last year's fourth quarter net income of $2.8 million on higher expenses, primarily related to the acquisition ($5.3 million), and unrealized depreciation on private investments, partially offset by higher revenues. Diluted EPS of $(0.40) compared with $0.36 per share for 2021's fourth quarter. Non-GAAP Economic Earnings (Loss) of $(0.7) million, or $(0.09) per share, compared to $4.7 million, or $0.59 per share, in the fourth quarter of 2021.</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2022 net loss of $4.6 million compared to 2021's net income of $9.8 million on lower revenues, higher expenses primarily related to the acquisition ($7.1 million, $1.8 million of which was incurred in the first three quarters of 2022 and included in earnings), and higher realized gains on private investments in 2021. Diluted EPS was $(0.59) per share compared with $1.23 per share for 2021. Economic EPS of $0.45 compared with $2.20 in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(Loss) and Economic EPS are non-GAAP performance measures and are explained and reconciled with the most comparable GAAP numbers in the attached tables.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Westwood will host a conference call to discuss fourth quarter and fiscal year 2022 results and other business matters at 4:30 p.m.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Eastern time today. To join the conference call, please register here: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https://register.vevent.com/register/BI62b7c3ccbeda480a8d66dcd292d70f52</w:t>
      </w:r>
    </w:p>
    <w:p>
      <w:pPr>
        <w:sectPr>
          <w:pgSz w:w="11900" w:h="16838" w:orient="portrait"/>
          <w:cols w:equalWidth="0" w:num="1">
            <w:col w:w="11240"/>
          </w:cols>
          <w:pgMar w:left="320" w:top="901" w:right="339" w:bottom="1440" w:gutter="0" w:footer="0" w:header="0"/>
        </w:sectPr>
      </w:pPr>
    </w:p>
    <w:bookmarkStart w:id="5" w:name="page6"/>
    <w:bookmarkEnd w:id="5"/>
    <w:p>
      <w:pPr>
        <w:ind w:right="3260"/>
        <w:spacing w:after="0" w:line="350" w:lineRule="auto"/>
        <w:rPr>
          <w:sz w:val="20"/>
          <w:szCs w:val="20"/>
          <w:color w:val="auto"/>
        </w:rPr>
      </w:pPr>
      <w:r>
        <w:rPr>
          <w:rFonts w:ascii="Arial" w:cs="Arial" w:eastAsia="Arial" w:hAnsi="Arial"/>
          <w:sz w:val="22"/>
          <w:szCs w:val="22"/>
          <w:color w:val="auto"/>
        </w:rPr>
        <w:t xml:space="preserve">After registering, you will be provided with a dial-in number containing a personalized PIN. Webcast Link: : https://edge.media-server.com/mmc/p/2rnyqw4x </w:t>
      </w:r>
      <w:r>
        <w:rPr>
          <w:rFonts w:ascii="Arial" w:cs="Arial" w:eastAsia="Arial" w:hAnsi="Arial"/>
          <w:sz w:val="22"/>
          <w:szCs w:val="22"/>
          <w:b w:val="1"/>
          <w:bCs w:val="1"/>
          <w:color w:val="auto"/>
        </w:rPr>
        <w:t>ABOUT WESTWOOD HOLDINGS GROUP</w:t>
      </w:r>
    </w:p>
    <w:p>
      <w:pPr>
        <w:jc w:val="both"/>
        <w:spacing w:after="0" w:line="250"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offers several distinct investment capabilities: U.S. Value Equity, Asset Allocation, Energy &amp; Real Assets, Alternative Income, Tactical Absolute Return and Systematic Equity. Strategies are made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 and San Francisco.</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jc w:val="both"/>
        <w:spacing w:after="0" w:line="267"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2021 and its quarterly report on Form 10-Q for the quarters ended March 31, 2022, June 30, 2022 and September 30, 2022.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ectPr>
          <w:pgSz w:w="11900" w:h="16838" w:orient="portrait"/>
          <w:cols w:equalWidth="0" w:num="1">
            <w:col w:w="11240"/>
          </w:cols>
          <w:pgMar w:left="320" w:top="1009"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SOURCE: Westwood Holdings Group, Inc.</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0139"/>
          </w:cols>
          <w:pgMar w:left="320" w:top="1009"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8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0" w:type="dxa"/>
            <w:vAlign w:val="bottom"/>
          </w:tcPr>
          <w:p>
            <w:pPr>
              <w:spacing w:after="0"/>
              <w:rPr>
                <w:sz w:val="1"/>
                <w:szCs w:val="1"/>
                <w:color w:val="auto"/>
              </w:rPr>
            </w:pPr>
          </w:p>
        </w:tc>
      </w:tr>
      <w:tr>
        <w:trPr>
          <w:trHeight w:val="182"/>
        </w:trPr>
        <w:tc>
          <w:tcPr>
            <w:tcW w:w="586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Trust performance-based</w:t>
            </w:r>
          </w:p>
        </w:tc>
        <w:tc>
          <w:tcPr>
            <w:tcW w:w="16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58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15,406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19,391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2,182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Acquisition expenses</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60" w:type="dxa"/>
            <w:vAlign w:val="bottom"/>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24,267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16,488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17,023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76"/>
        </w:trPr>
        <w:tc>
          <w:tcPr>
            <w:tcW w:w="5860" w:type="dxa"/>
            <w:vAlign w:val="bottom"/>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Investment income</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line="156" w:lineRule="exact"/>
              <w:rPr>
                <w:sz w:val="20"/>
                <w:szCs w:val="20"/>
                <w:color w:val="auto"/>
              </w:rPr>
            </w:pPr>
            <w:r>
              <w:rPr>
                <w:rFonts w:ascii="Arial" w:cs="Arial" w:eastAsia="Arial" w:hAnsi="Arial"/>
                <w:sz w:val="14"/>
                <w:szCs w:val="14"/>
                <w:color w:val="auto"/>
              </w:rPr>
              <w:t>(3,125)</w:t>
            </w:r>
          </w:p>
        </w:tc>
        <w:tc>
          <w:tcPr>
            <w:tcW w:w="100" w:type="dxa"/>
            <w:vAlign w:val="bottom"/>
          </w:tcPr>
          <w:p>
            <w:pPr>
              <w:spacing w:after="0"/>
              <w:rPr>
                <w:sz w:val="13"/>
                <w:szCs w:val="13"/>
                <w:color w:val="auto"/>
              </w:rPr>
            </w:pPr>
          </w:p>
        </w:tc>
        <w:tc>
          <w:tcPr>
            <w:tcW w:w="1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620" w:type="dxa"/>
            <w:vAlign w:val="bottom"/>
          </w:tcPr>
          <w:p>
            <w:pPr>
              <w:jc w:val="right"/>
              <w:spacing w:after="0" w:line="156" w:lineRule="exact"/>
              <w:rPr>
                <w:sz w:val="20"/>
                <w:szCs w:val="20"/>
                <w:color w:val="auto"/>
              </w:rPr>
            </w:pPr>
            <w:r>
              <w:rPr>
                <w:rFonts w:ascii="Arial" w:cs="Arial" w:eastAsia="Arial" w:hAnsi="Arial"/>
                <w:sz w:val="14"/>
                <w:szCs w:val="14"/>
                <w:color w:val="auto"/>
              </w:rPr>
              <w:t>(1,175)</w:t>
            </w:r>
          </w:p>
        </w:tc>
        <w:tc>
          <w:tcPr>
            <w:tcW w:w="100" w:type="dxa"/>
            <w:vAlign w:val="bottom"/>
          </w:tcPr>
          <w:p>
            <w:pPr>
              <w:spacing w:after="0"/>
              <w:rPr>
                <w:sz w:val="13"/>
                <w:szCs w:val="13"/>
                <w:color w:val="auto"/>
              </w:rPr>
            </w:pPr>
          </w:p>
        </w:tc>
        <w:tc>
          <w:tcPr>
            <w:tcW w:w="180" w:type="dxa"/>
            <w:vAlign w:val="bottom"/>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line="156"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7,775,545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7,794,060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7,842,867</w:t>
            </w:r>
          </w:p>
        </w:tc>
        <w:tc>
          <w:tcPr>
            <w:tcW w:w="0" w:type="dxa"/>
            <w:vAlign w:val="bottom"/>
          </w:tcPr>
          <w:p>
            <w:pPr>
              <w:spacing w:after="0"/>
              <w:rPr>
                <w:sz w:val="1"/>
                <w:szCs w:val="1"/>
                <w:color w:val="auto"/>
              </w:rPr>
            </w:pPr>
          </w:p>
        </w:tc>
      </w:tr>
      <w:tr>
        <w:trPr>
          <w:trHeight w:val="182"/>
        </w:trPr>
        <w:tc>
          <w:tcPr>
            <w:tcW w:w="586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7,775,545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7,794,060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7,910,673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60" w:type="dxa"/>
            <w:vAlign w:val="bottom"/>
          </w:tcPr>
          <w:p>
            <w:pPr>
              <w:ind w:left="20"/>
              <w:spacing w:after="0"/>
              <w:rPr>
                <w:sz w:val="20"/>
                <w:szCs w:val="20"/>
                <w:color w:val="auto"/>
              </w:rPr>
            </w:pPr>
            <w:r>
              <w:rPr>
                <w:rFonts w:ascii="Arial" w:cs="Arial" w:eastAsia="Arial" w:hAnsi="Arial"/>
                <w:sz w:val="14"/>
                <w:szCs w:val="14"/>
                <w:color w:val="auto"/>
              </w:rPr>
              <w:t>Economic Earnings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4,654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declared per share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4"/>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Year Ended 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9"/>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Advisory fees: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Asset-based</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46,685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45,927</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Performance-based</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3,335</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Trust fees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21,686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24,030</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Trust performance-based</w:t>
            </w:r>
          </w:p>
        </w:tc>
        <w:tc>
          <w:tcPr>
            <w:tcW w:w="3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76"/>
        </w:trPr>
        <w:tc>
          <w:tcPr>
            <w:tcW w:w="818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68,681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73,054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4"/>
        </w:trPr>
        <w:tc>
          <w:tcPr>
            <w:tcW w:w="81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Employee compensation and benefits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40,124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42,532</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1,280</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Westwood mutual funds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2,657</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Information technology</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8,161</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Professional services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9,057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8,074</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180" w:type="dxa"/>
            <w:vAlign w:val="bottom"/>
          </w:tcPr>
          <w:p>
            <w:pPr>
              <w:ind w:left="660"/>
              <w:spacing w:after="0"/>
              <w:rPr>
                <w:sz w:val="20"/>
                <w:szCs w:val="20"/>
                <w:color w:val="auto"/>
              </w:rPr>
            </w:pPr>
            <w:r>
              <w:rPr>
                <w:rFonts w:ascii="Arial" w:cs="Arial" w:eastAsia="Arial" w:hAnsi="Arial"/>
                <w:sz w:val="14"/>
                <w:szCs w:val="14"/>
                <w:color w:val="auto"/>
              </w:rPr>
              <w:t>Total expenses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73,554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67,095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operating income (loss)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5,959</w:t>
            </w:r>
          </w:p>
        </w:tc>
      </w:tr>
      <w:tr>
        <w:trPr>
          <w:trHeight w:val="176"/>
        </w:trPr>
        <w:tc>
          <w:tcPr>
            <w:tcW w:w="8180" w:type="dxa"/>
            <w:vAlign w:val="bottom"/>
          </w:tcPr>
          <w:p>
            <w:pPr>
              <w:ind w:left="340"/>
              <w:spacing w:after="0"/>
              <w:rPr>
                <w:sz w:val="20"/>
                <w:szCs w:val="20"/>
                <w:color w:val="auto"/>
              </w:rPr>
            </w:pPr>
            <w:r>
              <w:rPr>
                <w:rFonts w:ascii="Arial" w:cs="Arial" w:eastAsia="Arial" w:hAnsi="Arial"/>
                <w:sz w:val="14"/>
                <w:szCs w:val="14"/>
                <w:color w:val="auto"/>
              </w:rPr>
              <w:t>Realized gains on private investments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8,371</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change in unrealized depreciation on private investments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868</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76"/>
        </w:trPr>
        <w:tc>
          <w:tcPr>
            <w:tcW w:w="818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14,003</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w:t>
            </w:r>
          </w:p>
        </w:tc>
      </w:tr>
      <w:tr>
        <w:trPr>
          <w:trHeight w:val="169"/>
        </w:trPr>
        <w:tc>
          <w:tcPr>
            <w:tcW w:w="81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comprehensive income (loss)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7,844,363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7,875,395</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7,844,363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7,927,972</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3"/>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Economic Earnings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17,458</w:t>
            </w:r>
          </w:p>
        </w:tc>
      </w:tr>
      <w:tr>
        <w:trPr>
          <w:trHeight w:val="182"/>
        </w:trPr>
        <w:tc>
          <w:tcPr>
            <w:tcW w:w="8180" w:type="dxa"/>
            <w:vAlign w:val="bottom"/>
          </w:tcPr>
          <w:p>
            <w:pPr>
              <w:spacing w:after="0"/>
              <w:rPr>
                <w:sz w:val="20"/>
                <w:szCs w:val="20"/>
                <w:color w:val="auto"/>
              </w:rPr>
            </w:pPr>
            <w:r>
              <w:rPr>
                <w:rFonts w:ascii="Arial" w:cs="Arial" w:eastAsia="Arial" w:hAnsi="Arial"/>
                <w:sz w:val="14"/>
                <w:szCs w:val="14"/>
                <w:color w:val="auto"/>
              </w:rPr>
              <w:t>Economic EPS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4"/>
                <w:szCs w:val="14"/>
                <w:b w:val="1"/>
                <w:bCs w:val="1"/>
                <w:color w:val="auto"/>
              </w:rPr>
              <w:t>Dividends declared per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2.95</w:t>
            </w:r>
          </w:p>
        </w:tc>
      </w:tr>
    </w:tbl>
    <w:p>
      <w:pPr>
        <w:sectPr>
          <w:pgSz w:w="11900" w:h="16838" w:orient="portrait"/>
          <w:cols w:equalWidth="0" w:num="1">
            <w:col w:w="11220"/>
          </w:cols>
          <w:pgMar w:left="320" w:top="891" w:right="359" w:bottom="1440" w:gutter="0" w:footer="0" w:header="0"/>
        </w:sectPr>
      </w:pPr>
    </w:p>
    <w:bookmarkStart w:id="9" w:name="page10"/>
    <w:bookmarkEnd w:id="9"/>
    <w:p>
      <w:pPr>
        <w:ind w:right="516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15,206</w:t>
            </w: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11,152</w:t>
            </w:r>
          </w:p>
        </w:tc>
      </w:tr>
      <w:tr>
        <w:trPr>
          <w:trHeight w:val="206"/>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Investments, at fair value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65,024</w:t>
            </w:r>
          </w:p>
        </w:tc>
      </w:tr>
      <w:tr>
        <w:trPr>
          <w:trHeight w:val="199"/>
        </w:trPr>
        <w:tc>
          <w:tcPr>
            <w:tcW w:w="8140" w:type="dxa"/>
            <w:vAlign w:val="bottom"/>
          </w:tcPr>
          <w:p>
            <w:pPr>
              <w:ind w:left="360"/>
              <w:spacing w:after="0"/>
              <w:rPr>
                <w:sz w:val="20"/>
                <w:szCs w:val="20"/>
                <w:color w:val="auto"/>
              </w:rPr>
            </w:pPr>
            <w:r>
              <w:rPr>
                <w:rFonts w:ascii="Arial" w:cs="Arial" w:eastAsia="Arial" w:hAnsi="Arial"/>
                <w:sz w:val="15"/>
                <w:szCs w:val="15"/>
                <w:color w:val="auto"/>
              </w:rPr>
              <w:t>Income taxes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06"/>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2,246</w:t>
            </w:r>
          </w:p>
        </w:tc>
      </w:tr>
      <w:tr>
        <w:trPr>
          <w:trHeight w:val="192"/>
        </w:trPr>
        <w:tc>
          <w:tcPr>
            <w:tcW w:w="814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58,038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93,861</w:t>
            </w: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w:t>
            </w: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Noncurrent investments at fair value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9,701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4,513</w:t>
            </w: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16,401</w:t>
            </w: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848</w:t>
            </w: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4,868</w:t>
            </w: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29,352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11,911</w:t>
            </w:r>
          </w:p>
        </w:tc>
      </w:tr>
      <w:tr>
        <w:trPr>
          <w:trHeight w:val="207"/>
        </w:trPr>
        <w:tc>
          <w:tcPr>
            <w:tcW w:w="8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Property and equipment, net of accumulated depreciation of $9,277 and $8,637</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w:t>
            </w:r>
          </w:p>
        </w:tc>
      </w:tr>
      <w:tr>
        <w:trPr>
          <w:trHeight w:val="19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assets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w:t>
            </w:r>
          </w:p>
        </w:tc>
      </w:tr>
      <w:tr>
        <w:trPr>
          <w:trHeight w:val="196"/>
        </w:trPr>
        <w:tc>
          <w:tcPr>
            <w:tcW w:w="81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45,744</w:t>
            </w:r>
          </w:p>
        </w:tc>
      </w:tr>
      <w:tr>
        <w:trPr>
          <w:trHeight w:val="200"/>
        </w:trPr>
        <w:tc>
          <w:tcPr>
            <w:tcW w:w="8140" w:type="dxa"/>
            <w:vAlign w:val="bottom"/>
          </w:tcPr>
          <w:p>
            <w:pPr>
              <w:ind w:left="68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139,605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2,637</w:t>
            </w: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Dividends payable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1,800</w:t>
            </w: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Compensation and benefits payable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9,530</w:t>
            </w: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1,409</w:t>
            </w: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taxes payable</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r>
      <w:tr>
        <w:trPr>
          <w:trHeight w:val="192"/>
        </w:trPr>
        <w:tc>
          <w:tcPr>
            <w:tcW w:w="814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17,422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15,842</w:t>
            </w: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dividends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w:t>
            </w: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Contingent consideration</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12,999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4,724</w:t>
            </w:r>
          </w:p>
        </w:tc>
      </w:tr>
      <w:tr>
        <w:trPr>
          <w:trHeight w:val="192"/>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long-term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5,857</w:t>
            </w:r>
          </w:p>
        </w:tc>
      </w:tr>
      <w:tr>
        <w:trPr>
          <w:trHeight w:val="200"/>
        </w:trPr>
        <w:tc>
          <w:tcPr>
            <w:tcW w:w="814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35,684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21,699</w:t>
            </w:r>
          </w:p>
        </w:tc>
      </w:tr>
      <w:tr>
        <w:trPr>
          <w:trHeight w:val="179"/>
        </w:trPr>
        <w:tc>
          <w:tcPr>
            <w:tcW w:w="814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53"/>
        </w:trPr>
        <w:tc>
          <w:tcPr>
            <w:tcW w:w="814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w w:val="97"/>
              </w:rPr>
              <w:t>Common stock, $0.01 par value, authorized 25,000,000 shares, issued 11,058,937 and outstanding 8,881,831 shares at</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December 31, 2022; issued 10,658,644 and outstanding 8,253,491 shares at December 31, 2021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199,914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195,187</w:t>
            </w: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Treasury stock, at cost – 2,645,713 shares at December 31, 2022; 2,405,154 shares at December 31, 2021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(81,750)</w:t>
            </w:r>
          </w:p>
        </w:tc>
      </w:tr>
      <w:tr>
        <w:trPr>
          <w:trHeight w:val="19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Retained earnings (accumulated deficit)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4,362</w:t>
            </w:r>
          </w:p>
        </w:tc>
      </w:tr>
      <w:tr>
        <w:trPr>
          <w:trHeight w:val="196"/>
        </w:trPr>
        <w:tc>
          <w:tcPr>
            <w:tcW w:w="814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110,648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117,906</w:t>
            </w:r>
          </w:p>
        </w:tc>
      </w:tr>
      <w:tr>
        <w:trPr>
          <w:trHeight w:val="200"/>
        </w:trPr>
        <w:tc>
          <w:tcPr>
            <w:tcW w:w="8140" w:type="dxa"/>
            <w:vAlign w:val="bottom"/>
          </w:tcPr>
          <w:p>
            <w:pPr>
              <w:ind w:left="68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139,605</w:t>
            </w: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1138" w:right="379" w:bottom="1440" w:gutter="0" w:footer="0" w:header="0"/>
        </w:sectPr>
      </w:pPr>
    </w:p>
    <w:bookmarkStart w:id="10" w:name="page11"/>
    <w:bookmarkEnd w:id="10"/>
    <w:p>
      <w:pPr>
        <w:ind w:right="4720"/>
        <w:spacing w:after="0"/>
        <w:rPr>
          <w:sz w:val="20"/>
          <w:szCs w:val="20"/>
          <w:color w:val="auto"/>
        </w:rPr>
      </w:pPr>
      <w:r>
        <w:rPr>
          <w:rFonts w:ascii="Arial" w:cs="Arial" w:eastAsia="Arial" w:hAnsi="Arial"/>
          <w:sz w:val="22"/>
          <w:szCs w:val="22"/>
          <w:b w:val="1"/>
          <w:bCs w:val="1"/>
          <w:color w:val="auto"/>
        </w:rPr>
        <w:t xml:space="preserve">WESTWOOD HOLDINGS GROUP, INC. AND SUBSIDIARIES CONDENSED CONSOLIDATED STATEMENTS OF CASH FLOWS </w:t>
      </w:r>
      <w:r>
        <w:rPr>
          <w:rFonts w:ascii="Arial" w:cs="Arial" w:eastAsia="Arial" w:hAnsi="Arial"/>
          <w:sz w:val="19"/>
          <w:szCs w:val="19"/>
          <w:b w:val="1"/>
          <w:bCs w:val="1"/>
          <w:color w:val="auto"/>
        </w:rPr>
        <w:t>(in thousands)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4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15"/>
                <w:szCs w:val="15"/>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9,763</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1,889</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9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1,845</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Realized gains on private investments</w:t>
            </w:r>
          </w:p>
        </w:tc>
        <w:tc>
          <w:tcPr>
            <w:tcW w:w="9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(8,371)</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6,001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5,835</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Deferred income taxes</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Gain on asset disposition</w:t>
            </w:r>
          </w:p>
        </w:tc>
        <w:tc>
          <w:tcPr>
            <w:tcW w:w="9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Non-cash lease expense</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(purchases) sales of investments – trading securities</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48,977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4,513</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(1,702)</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current assets</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1,009</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Compensation and benefits payable</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w:t>
            </w: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Income taxes payable</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(1,569)</w:t>
            </w:r>
          </w:p>
        </w:tc>
      </w:tr>
      <w:tr>
        <w:trPr>
          <w:trHeight w:val="176"/>
        </w:trPr>
        <w:tc>
          <w:tcPr>
            <w:tcW w:w="8180" w:type="dxa"/>
            <w:vAlign w:val="bottom"/>
          </w:tcPr>
          <w:p>
            <w:pPr>
              <w:ind w:left="98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51,870</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19,385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Acquistion, net of cash acquired</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(33,804)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 of investments</w:t>
            </w:r>
          </w:p>
        </w:tc>
        <w:tc>
          <w:tcPr>
            <w:tcW w:w="9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9,258</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Purchases of investments</w:t>
            </w:r>
          </w:p>
        </w:tc>
        <w:tc>
          <w:tcPr>
            <w:tcW w:w="9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Proceeds on sale of property and equipment</w:t>
            </w:r>
          </w:p>
        </w:tc>
        <w:tc>
          <w:tcPr>
            <w:tcW w:w="9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(34,124)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9,566</w:t>
            </w:r>
          </w:p>
        </w:tc>
      </w:tr>
      <w:tr>
        <w:trPr>
          <w:trHeight w:val="174"/>
        </w:trPr>
        <w:tc>
          <w:tcPr>
            <w:tcW w:w="8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191"/>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Purchases of treasury stock</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(2,990)</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Restricted stock returned for payment of taxes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(884)</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dividends</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(22,932)</w:t>
            </w:r>
          </w:p>
        </w:tc>
      </w:tr>
      <w:tr>
        <w:trPr>
          <w:trHeight w:val="176"/>
        </w:trPr>
        <w:tc>
          <w:tcPr>
            <w:tcW w:w="8180" w:type="dxa"/>
            <w:vAlign w:val="bottom"/>
          </w:tcPr>
          <w:p>
            <w:pPr>
              <w:ind w:left="98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(9,098)</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(26,806)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Effect of currency rate changes on cash</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76"/>
        </w:trPr>
        <w:tc>
          <w:tcPr>
            <w:tcW w:w="8180" w:type="dxa"/>
            <w:vAlign w:val="bottom"/>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8,653</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2,190</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15,206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13,016</w:t>
            </w:r>
          </w:p>
        </w:tc>
      </w:tr>
      <w:tr>
        <w:trPr>
          <w:trHeight w:val="176"/>
        </w:trPr>
        <w:tc>
          <w:tcPr>
            <w:tcW w:w="81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23,859</w:t>
            </w:r>
          </w:p>
        </w:tc>
        <w:tc>
          <w:tcPr>
            <w:tcW w:w="100" w:type="dxa"/>
            <w:vAlign w:val="bottom"/>
          </w:tcPr>
          <w:p>
            <w:pPr>
              <w:spacing w:after="0"/>
              <w:rPr>
                <w:sz w:val="15"/>
                <w:szCs w:val="15"/>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15,206</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2"/>
        </w:trPr>
        <w:tc>
          <w:tcPr>
            <w:tcW w:w="8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182"/>
        </w:trPr>
        <w:tc>
          <w:tcPr>
            <w:tcW w:w="8180" w:type="dxa"/>
            <w:vAlign w:val="bottom"/>
          </w:tcPr>
          <w:p>
            <w:pPr>
              <w:spacing w:after="0"/>
              <w:rPr>
                <w:sz w:val="20"/>
                <w:szCs w:val="20"/>
                <w:color w:val="auto"/>
              </w:rPr>
            </w:pPr>
            <w:r>
              <w:rPr>
                <w:rFonts w:ascii="Arial" w:cs="Arial" w:eastAsia="Arial" w:hAnsi="Arial"/>
                <w:sz w:val="14"/>
                <w:szCs w:val="14"/>
                <w:color w:val="auto"/>
              </w:rPr>
              <w:t>Supplemental cash flow information:</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 income taxes</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1,858</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r>
      <w:tr>
        <w:trPr>
          <w:trHeight w:val="182"/>
        </w:trPr>
        <w:tc>
          <w:tcPr>
            <w:tcW w:w="8180" w:type="dxa"/>
            <w:vAlign w:val="bottom"/>
          </w:tcPr>
          <w:p>
            <w:pPr>
              <w:ind w:left="340"/>
              <w:spacing w:after="0"/>
              <w:rPr>
                <w:sz w:val="20"/>
                <w:szCs w:val="20"/>
                <w:color w:val="auto"/>
              </w:rPr>
            </w:pPr>
            <w:r>
              <w:rPr>
                <w:rFonts w:ascii="Arial" w:cs="Arial" w:eastAsia="Arial" w:hAnsi="Arial"/>
                <w:sz w:val="14"/>
                <w:szCs w:val="14"/>
                <w:color w:val="auto"/>
              </w:rPr>
              <w:t>Accrued dividends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5"/>
                <w:szCs w:val="15"/>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2,933</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Acquired contingent consideration</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20"/>
          </w:cols>
          <w:pgMar w:left="320" w:top="895"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Income (Loss) to Economic Earnings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3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We define Economic Earnings (Loss) as net income (loss) plus non-cash stock-based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3"/>
                <w:szCs w:val="13"/>
                <w:color w:val="auto"/>
              </w:rPr>
            </w:pPr>
          </w:p>
        </w:tc>
        <w:tc>
          <w:tcPr>
            <w:tcW w:w="15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3"/>
        </w:trPr>
        <w:tc>
          <w:tcPr>
            <w:tcW w:w="61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Earnings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3"/>
        </w:trPr>
        <w:tc>
          <w:tcPr>
            <w:tcW w:w="61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benefit from goodwill amortization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EPS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7,775,545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7,794,060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7,910,673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3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0" w:type="dxa"/>
            <w:vAlign w:val="bottom"/>
          </w:tcPr>
          <w:p>
            <w:pPr>
              <w:spacing w:after="0"/>
              <w:rPr>
                <w:sz w:val="1"/>
                <w:szCs w:val="1"/>
                <w:color w:val="auto"/>
              </w:rPr>
            </w:pPr>
          </w:p>
        </w:tc>
      </w:tr>
      <w:tr>
        <w:trPr>
          <w:trHeight w:val="213"/>
        </w:trPr>
        <w:tc>
          <w:tcPr>
            <w:tcW w:w="8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 benefit from goodwill amortization</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Economic Earnings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(loss)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8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 benefit from goodwill amortization</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Economic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7,844,363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7,927,972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9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2023-02-15T15:25:36Z</dcterms:created>
  <dcterms:modified xsi:type="dcterms:W3CDTF">2023-02-15T15:25:36Z</dcterms:modified>
</cp:coreProperties>
</file>