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7"/>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8"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17"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51"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39"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color w:val="auto"/>
        </w:rPr>
        <w:t>Date of Report (Date of earliest event reported): November 18,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71"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22"/>
          <w:szCs w:val="22"/>
          <w:b w:val="1"/>
          <w:bCs w:val="1"/>
          <w:color w:val="auto"/>
        </w:rPr>
        <w:t>WESTWOOD HOLDINGS GROUP, INC.</w:t>
      </w:r>
    </w:p>
    <w:p>
      <w:pPr>
        <w:spacing w:after="0" w:line="23"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08"/>
          </w:cols>
          <w:pgMar w:left="292" w:top="549" w:right="399" w:bottom="1440" w:gutter="0" w:footer="0" w:header="0"/>
        </w:sectPr>
      </w:pPr>
    </w:p>
    <w:p>
      <w:pPr>
        <w:spacing w:after="0" w:line="309" w:lineRule="exact"/>
        <w:rPr>
          <w:sz w:val="24"/>
          <w:szCs w:val="24"/>
          <w:color w:val="auto"/>
        </w:rPr>
      </w:pPr>
    </w:p>
    <w:p>
      <w:pPr>
        <w:jc w:val="center"/>
        <w:ind w:right="672"/>
        <w:spacing w:after="0"/>
        <w:rPr>
          <w:sz w:val="20"/>
          <w:szCs w:val="20"/>
          <w:color w:val="auto"/>
        </w:rPr>
      </w:pPr>
      <w:r>
        <w:rPr>
          <w:rFonts w:ascii="Times New Roman" w:cs="Times New Roman" w:eastAsia="Times New Roman" w:hAnsi="Times New Roman"/>
          <w:sz w:val="12"/>
          <w:szCs w:val="12"/>
          <w:color w:val="auto"/>
        </w:rPr>
        <w:t>Delaware</w:t>
      </w:r>
    </w:p>
    <w:p>
      <w:pPr>
        <w:spacing w:after="0" w:line="17" w:lineRule="exact"/>
        <w:rPr>
          <w:sz w:val="24"/>
          <w:szCs w:val="24"/>
          <w:color w:val="auto"/>
        </w:rPr>
      </w:pPr>
    </w:p>
    <w:p>
      <w:pPr>
        <w:jc w:val="center"/>
        <w:ind w:right="672"/>
        <w:spacing w:after="0"/>
        <w:rPr>
          <w:sz w:val="20"/>
          <w:szCs w:val="20"/>
          <w:color w:val="auto"/>
        </w:rPr>
      </w:pPr>
      <w:r>
        <w:rPr>
          <w:rFonts w:ascii="Times New Roman" w:cs="Times New Roman" w:eastAsia="Times New Roman" w:hAnsi="Times New Roman"/>
          <w:sz w:val="12"/>
          <w:szCs w:val="12"/>
          <w:color w:val="auto"/>
        </w:rPr>
        <w:t>(State or other jurisdiction</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2"/>
          <w:szCs w:val="12"/>
          <w:color w:val="auto"/>
        </w:rPr>
        <w:t>001-31234</w:t>
      </w:r>
    </w:p>
    <w:p>
      <w:pPr>
        <w:spacing w:after="0" w:line="17"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2"/>
          <w:szCs w:val="12"/>
          <w:color w:val="auto"/>
        </w:rPr>
        <w:t>75-2969997</w:t>
      </w:r>
    </w:p>
    <w:p>
      <w:pPr>
        <w:spacing w:after="0" w:line="17"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2"/>
          <w:szCs w:val="12"/>
          <w:color w:val="auto"/>
        </w:rPr>
        <w:t>(IRS Employer Identification No.)</w:t>
      </w:r>
    </w:p>
    <w:p>
      <w:pPr>
        <w:spacing w:after="0" w:line="6" w:lineRule="exact"/>
        <w:rPr>
          <w:sz w:val="24"/>
          <w:szCs w:val="24"/>
          <w:color w:val="auto"/>
        </w:rPr>
      </w:pPr>
    </w:p>
    <w:p>
      <w:pPr>
        <w:sectPr>
          <w:pgSz w:w="11900" w:h="16838" w:orient="portrait"/>
          <w:cols w:equalWidth="0" w:num="3">
            <w:col w:w="4288" w:space="720"/>
            <w:col w:w="2940" w:space="720"/>
            <w:col w:w="2540"/>
          </w:cols>
          <w:pgMar w:left="292" w:top="549" w:right="399" w:bottom="1440" w:gutter="0" w:footer="0" w:header="0"/>
          <w:type w:val="continuous"/>
        </w:sectPr>
      </w:pPr>
    </w:p>
    <w:p>
      <w:pPr>
        <w:ind w:left="1408"/>
        <w:spacing w:after="0"/>
        <w:rPr>
          <w:sz w:val="20"/>
          <w:szCs w:val="20"/>
          <w:color w:val="auto"/>
        </w:rPr>
      </w:pPr>
      <w:r>
        <w:rPr>
          <w:rFonts w:ascii="Times New Roman" w:cs="Times New Roman" w:eastAsia="Times New Roman" w:hAnsi="Times New Roman"/>
          <w:sz w:val="12"/>
          <w:szCs w:val="12"/>
          <w:color w:val="auto"/>
        </w:rPr>
        <w:t>of incorporation)</w:t>
      </w:r>
    </w:p>
    <w:p>
      <w:pPr>
        <w:spacing w:after="0" w:line="139"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color w:val="auto"/>
        </w:rPr>
        <w:t>200 Crescent Court, Suite 1200</w:t>
      </w:r>
    </w:p>
    <w:p>
      <w:pPr>
        <w:spacing w:after="0" w:line="17"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color w:val="auto"/>
        </w:rPr>
        <w:t>Dallas, Texas 75201</w:t>
      </w:r>
    </w:p>
    <w:p>
      <w:pPr>
        <w:spacing w:after="0" w:line="6"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139"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color w:val="auto"/>
        </w:rPr>
        <w:t>(214) 756-6900</w:t>
      </w:r>
    </w:p>
    <w:p>
      <w:pPr>
        <w:spacing w:after="0" w:line="17"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p>
      <w:pPr>
        <w:sectPr>
          <w:pgSz w:w="11900" w:h="16838" w:orient="portrait"/>
          <w:cols w:equalWidth="0" w:num="1">
            <w:col w:w="11208"/>
          </w:cols>
          <w:pgMar w:left="292" w:top="549" w:right="399" w:bottom="1440" w:gutter="0" w:footer="0" w:header="0"/>
          <w:type w:val="continuous"/>
        </w:sectPr>
      </w:pPr>
    </w:p>
    <w:p>
      <w:pPr>
        <w:spacing w:after="0" w:line="14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i w:val="1"/>
          <w:iCs w:val="1"/>
          <w:color w:val="auto"/>
        </w:rPr>
        <w:t>see</w:t>
      </w:r>
      <w:r>
        <w:rPr>
          <w:rFonts w:ascii="Times New Roman" w:cs="Times New Roman" w:eastAsia="Times New Roman" w:hAnsi="Times New Roman"/>
          <w:sz w:val="12"/>
          <w:szCs w:val="12"/>
          <w:color w:val="auto"/>
        </w:rPr>
        <w:t xml:space="preserve"> General Instruction A.2. below):</w:t>
      </w:r>
    </w:p>
    <w:p>
      <w:pPr>
        <w:spacing w:after="0" w:line="152"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50" w:lineRule="exact"/>
        <w:rPr>
          <w:sz w:val="24"/>
          <w:szCs w:val="24"/>
          <w:color w:val="auto"/>
        </w:rPr>
      </w:pPr>
    </w:p>
    <w:tbl>
      <w:tblPr>
        <w:tblLayout w:type="fixed"/>
        <w:tblInd w:w="1268" w:type="dxa"/>
        <w:tblCellMar>
          <w:top w:w="0" w:type="dxa"/>
          <w:left w:w="0" w:type="dxa"/>
          <w:bottom w:w="0" w:type="dxa"/>
          <w:right w:w="0" w:type="dxa"/>
        </w:tblCellMar>
      </w:tblPr>
      <w:tr>
        <w:trPr>
          <w:trHeight w:val="155"/>
        </w:trPr>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72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w w:val="99"/>
              </w:rPr>
              <w:t>Securities registered pursuant to Section 12(b) of the Act:</w:t>
            </w:r>
          </w:p>
        </w:tc>
        <w:tc>
          <w:tcPr>
            <w:tcW w:w="44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261"/>
        </w:trPr>
        <w:tc>
          <w:tcPr>
            <w:tcW w:w="54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Title of Each Class</w:t>
            </w:r>
          </w:p>
        </w:tc>
        <w:tc>
          <w:tcPr>
            <w:tcW w:w="1040" w:type="dxa"/>
            <w:vAlign w:val="bottom"/>
          </w:tcPr>
          <w:p>
            <w:pPr>
              <w:spacing w:after="0"/>
              <w:rPr>
                <w:sz w:val="22"/>
                <w:szCs w:val="22"/>
                <w:color w:val="auto"/>
              </w:rPr>
            </w:pPr>
          </w:p>
        </w:tc>
        <w:tc>
          <w:tcPr>
            <w:tcW w:w="372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2680" w:type="dxa"/>
            <w:vAlign w:val="bottom"/>
            <w:gridSpan w:val="2"/>
          </w:tcPr>
          <w:p>
            <w:pPr>
              <w:jc w:val="center"/>
              <w:ind w:left="380"/>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20"/>
        </w:trPr>
        <w:tc>
          <w:tcPr>
            <w:tcW w:w="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r>
      <w:tr>
        <w:trPr>
          <w:trHeight w:val="151"/>
        </w:trPr>
        <w:tc>
          <w:tcPr>
            <w:tcW w:w="2500" w:type="dxa"/>
            <w:vAlign w:val="bottom"/>
            <w:gridSpan w:val="3"/>
          </w:tcPr>
          <w:p>
            <w:pPr>
              <w:jc w:val="center"/>
              <w:ind w:right="500"/>
              <w:spacing w:after="0"/>
              <w:rPr>
                <w:sz w:val="20"/>
                <w:szCs w:val="20"/>
                <w:color w:val="auto"/>
              </w:rPr>
            </w:pPr>
            <w:r>
              <w:rPr>
                <w:rFonts w:ascii="Times New Roman" w:cs="Times New Roman" w:eastAsia="Times New Roman" w:hAnsi="Times New Roman"/>
                <w:sz w:val="12"/>
                <w:szCs w:val="12"/>
                <w:color w:val="auto"/>
                <w:w w:val="99"/>
              </w:rPr>
              <w:t>Common stock, par value $0.01 per share</w:t>
            </w:r>
          </w:p>
        </w:tc>
        <w:tc>
          <w:tcPr>
            <w:tcW w:w="1440" w:type="dxa"/>
            <w:vAlign w:val="bottom"/>
          </w:tcPr>
          <w:p>
            <w:pPr>
              <w:spacing w:after="0"/>
              <w:rPr>
                <w:sz w:val="13"/>
                <w:szCs w:val="13"/>
                <w:color w:val="auto"/>
              </w:rPr>
            </w:pPr>
          </w:p>
        </w:tc>
        <w:tc>
          <w:tcPr>
            <w:tcW w:w="2280" w:type="dxa"/>
            <w:vAlign w:val="bottom"/>
            <w:gridSpan w:val="2"/>
          </w:tcPr>
          <w:p>
            <w:pPr>
              <w:jc w:val="center"/>
              <w:ind w:right="1380"/>
              <w:spacing w:after="0"/>
              <w:rPr>
                <w:sz w:val="20"/>
                <w:szCs w:val="20"/>
                <w:color w:val="auto"/>
              </w:rPr>
            </w:pPr>
            <w:r>
              <w:rPr>
                <w:rFonts w:ascii="Times New Roman" w:cs="Times New Roman" w:eastAsia="Times New Roman" w:hAnsi="Times New Roman"/>
                <w:sz w:val="12"/>
                <w:szCs w:val="12"/>
                <w:color w:val="auto"/>
              </w:rPr>
              <w:t>WHG</w:t>
            </w:r>
          </w:p>
        </w:tc>
        <w:tc>
          <w:tcPr>
            <w:tcW w:w="4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r>
    </w:tbl>
    <w:p>
      <w:pPr>
        <w:spacing w:after="0" w:line="133" w:lineRule="exact"/>
        <w:rPr>
          <w:sz w:val="24"/>
          <w:szCs w:val="24"/>
          <w:color w:val="auto"/>
        </w:rPr>
      </w:pPr>
    </w:p>
    <w:p>
      <w:pPr>
        <w:ind w:left="8" w:right="120"/>
        <w:spacing w:after="0" w:line="279" w:lineRule="auto"/>
        <w:rPr>
          <w:sz w:val="20"/>
          <w:szCs w:val="20"/>
          <w:color w:val="auto"/>
        </w:rPr>
      </w:pPr>
      <w:r>
        <w:rPr>
          <w:rFonts w:ascii="Times New Roman" w:cs="Times New Roman" w:eastAsia="Times New Roman" w:hAnsi="Times New Roman"/>
          <w:sz w:val="12"/>
          <w:szCs w:val="12"/>
          <w:color w:val="auto"/>
        </w:rPr>
        <w:t>Indicate by checkmark whether the registrant is an emerging growth company as defined in Rule 405 of the Securities Act of 1933 (§230.405 of this chapter) or Rule 12b-2 of the Securities Exchange Act of 1934 (§240.12b-2 of this chapter).</w:t>
      </w:r>
    </w:p>
    <w:p>
      <w:pPr>
        <w:spacing w:after="0" w:line="91"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0" w:lineRule="exact"/>
        <w:rPr>
          <w:sz w:val="24"/>
          <w:szCs w:val="24"/>
          <w:color w:val="auto"/>
        </w:rPr>
      </w:pPr>
    </w:p>
    <w:p>
      <w:pPr>
        <w:ind w:left="8"/>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checkmark if the registrant has elected not to use the extended transition period for complying with any new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71780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398145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08"/>
          </w:cols>
          <w:pgMar w:left="292" w:top="549" w:right="399" w:bottom="1440" w:gutter="0" w:footer="0" w:header="0"/>
          <w:type w:val="continuous"/>
        </w:sectPr>
      </w:pPr>
    </w:p>
    <w:bookmarkStart w:id="1" w:name="page2"/>
    <w:bookmarkEnd w:id="1"/>
    <w:p>
      <w:pPr>
        <w:ind w:left="8"/>
        <w:spacing w:after="0"/>
        <w:rPr>
          <w:sz w:val="20"/>
          <w:szCs w:val="20"/>
          <w:color w:val="auto"/>
        </w:rPr>
      </w:pPr>
      <w:r>
        <w:rPr>
          <w:rFonts w:ascii="Times New Roman" w:cs="Times New Roman" w:eastAsia="Times New Roman" w:hAnsi="Times New Roman"/>
          <w:sz w:val="12"/>
          <w:szCs w:val="12"/>
          <w:b w:val="1"/>
          <w:bCs w:val="1"/>
          <w:color w:val="auto"/>
        </w:rPr>
        <w:t>Item 2.01. Completion of Acquisition or Disposition of Assets.</w:t>
      </w:r>
    </w:p>
    <w:p>
      <w:pPr>
        <w:spacing w:after="0" w:line="154" w:lineRule="exact"/>
        <w:rPr>
          <w:sz w:val="20"/>
          <w:szCs w:val="20"/>
          <w:color w:val="auto"/>
        </w:rPr>
      </w:pPr>
    </w:p>
    <w:p>
      <w:pPr>
        <w:ind w:left="8" w:right="60" w:firstLine="432"/>
        <w:spacing w:after="0" w:line="265" w:lineRule="auto"/>
        <w:rPr>
          <w:sz w:val="20"/>
          <w:szCs w:val="20"/>
          <w:color w:val="auto"/>
        </w:rPr>
      </w:pPr>
      <w:r>
        <w:rPr>
          <w:rFonts w:ascii="Times New Roman" w:cs="Times New Roman" w:eastAsia="Times New Roman" w:hAnsi="Times New Roman"/>
          <w:sz w:val="12"/>
          <w:szCs w:val="12"/>
          <w:color w:val="auto"/>
        </w:rPr>
        <w:t>On November 18, 2022, Westwood Holdings Group, Inc.,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completed its previously announced acquisition of the asset management business (the “</w:t>
      </w:r>
      <w:r>
        <w:rPr>
          <w:rFonts w:ascii="Times New Roman" w:cs="Times New Roman" w:eastAsia="Times New Roman" w:hAnsi="Times New Roman"/>
          <w:sz w:val="12"/>
          <w:szCs w:val="12"/>
          <w:u w:val="single" w:color="auto"/>
          <w:color w:val="auto"/>
        </w:rPr>
        <w:t>Business</w:t>
      </w:r>
      <w:r>
        <w:rPr>
          <w:rFonts w:ascii="Times New Roman" w:cs="Times New Roman" w:eastAsia="Times New Roman" w:hAnsi="Times New Roman"/>
          <w:sz w:val="12"/>
          <w:szCs w:val="12"/>
          <w:color w:val="auto"/>
        </w:rPr>
        <w:t>”) of Salient Partners, L.P., a Delaware limited partnership (“</w:t>
      </w:r>
      <w:r>
        <w:rPr>
          <w:rFonts w:ascii="Times New Roman" w:cs="Times New Roman" w:eastAsia="Times New Roman" w:hAnsi="Times New Roman"/>
          <w:sz w:val="12"/>
          <w:szCs w:val="12"/>
          <w:u w:val="single" w:color="auto"/>
          <w:color w:val="auto"/>
        </w:rPr>
        <w:t>Salient Partners</w:t>
      </w:r>
      <w:r>
        <w:rPr>
          <w:rFonts w:ascii="Times New Roman" w:cs="Times New Roman" w:eastAsia="Times New Roman" w:hAnsi="Times New Roman"/>
          <w:sz w:val="12"/>
          <w:szCs w:val="12"/>
          <w:color w:val="auto"/>
        </w:rPr>
        <w:t>”), pursuant to that certain Purchase Agreement (the “</w:t>
      </w:r>
      <w:r>
        <w:rPr>
          <w:rFonts w:ascii="Times New Roman" w:cs="Times New Roman" w:eastAsia="Times New Roman" w:hAnsi="Times New Roman"/>
          <w:sz w:val="12"/>
          <w:szCs w:val="12"/>
          <w:u w:val="single" w:color="auto"/>
          <w:color w:val="auto"/>
        </w:rPr>
        <w:t>Purchase Agreement</w:t>
      </w:r>
      <w:r>
        <w:rPr>
          <w:rFonts w:ascii="Times New Roman" w:cs="Times New Roman" w:eastAsia="Times New Roman" w:hAnsi="Times New Roman"/>
          <w:sz w:val="12"/>
          <w:szCs w:val="12"/>
          <w:color w:val="auto"/>
        </w:rPr>
        <w:t>”), dated as of May 25, 2022, by and the among the Company, Salient Partners, Salient Capital Management, LLC, a Delaware limited liability company and the other Sellers as listed on Annex A attached thereto (collectively, the “</w:t>
      </w:r>
      <w:r>
        <w:rPr>
          <w:rFonts w:ascii="Times New Roman" w:cs="Times New Roman" w:eastAsia="Times New Roman" w:hAnsi="Times New Roman"/>
          <w:sz w:val="12"/>
          <w:szCs w:val="12"/>
          <w:u w:val="single" w:color="auto"/>
          <w:color w:val="auto"/>
        </w:rPr>
        <w:t>Sellers</w:t>
      </w:r>
      <w:r>
        <w:rPr>
          <w:rFonts w:ascii="Times New Roman" w:cs="Times New Roman" w:eastAsia="Times New Roman" w:hAnsi="Times New Roman"/>
          <w:sz w:val="12"/>
          <w:szCs w:val="12"/>
          <w:color w:val="auto"/>
        </w:rPr>
        <w:t>” and each, individually, a “</w:t>
      </w:r>
      <w:r>
        <w:rPr>
          <w:rFonts w:ascii="Times New Roman" w:cs="Times New Roman" w:eastAsia="Times New Roman" w:hAnsi="Times New Roman"/>
          <w:sz w:val="12"/>
          <w:szCs w:val="12"/>
          <w:u w:val="single" w:color="auto"/>
          <w:color w:val="auto"/>
        </w:rPr>
        <w:t>Seller</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ind w:left="8" w:firstLine="432"/>
        <w:spacing w:after="0" w:line="279" w:lineRule="auto"/>
        <w:rPr>
          <w:sz w:val="20"/>
          <w:szCs w:val="20"/>
          <w:color w:val="auto"/>
        </w:rPr>
      </w:pPr>
      <w:r>
        <w:rPr>
          <w:rFonts w:ascii="Times New Roman" w:cs="Times New Roman" w:eastAsia="Times New Roman" w:hAnsi="Times New Roman"/>
          <w:sz w:val="12"/>
          <w:szCs w:val="12"/>
          <w:color w:val="auto"/>
        </w:rPr>
        <w:t>The purchase price paid by the Company at the closing (the “</w:t>
      </w:r>
      <w:r>
        <w:rPr>
          <w:rFonts w:ascii="Times New Roman" w:cs="Times New Roman" w:eastAsia="Times New Roman" w:hAnsi="Times New Roman"/>
          <w:sz w:val="12"/>
          <w:szCs w:val="12"/>
          <w:u w:val="single" w:color="auto"/>
          <w:color w:val="auto"/>
        </w:rPr>
        <w:t>Closing</w:t>
      </w:r>
      <w:r>
        <w:rPr>
          <w:rFonts w:ascii="Times New Roman" w:cs="Times New Roman" w:eastAsia="Times New Roman" w:hAnsi="Times New Roman"/>
          <w:sz w:val="12"/>
          <w:szCs w:val="12"/>
          <w:color w:val="auto"/>
        </w:rPr>
        <w:t>”) of the transactions contemplated by the Purchase Agreement (the “</w:t>
      </w:r>
      <w:r>
        <w:rPr>
          <w:rFonts w:ascii="Times New Roman" w:cs="Times New Roman" w:eastAsia="Times New Roman" w:hAnsi="Times New Roman"/>
          <w:sz w:val="12"/>
          <w:szCs w:val="12"/>
          <w:u w:val="single" w:color="auto"/>
          <w:color w:val="auto"/>
        </w:rPr>
        <w:t>Salient Acquisition</w:t>
      </w:r>
      <w:r>
        <w:rPr>
          <w:rFonts w:ascii="Times New Roman" w:cs="Times New Roman" w:eastAsia="Times New Roman" w:hAnsi="Times New Roman"/>
          <w:sz w:val="12"/>
          <w:szCs w:val="12"/>
          <w:color w:val="auto"/>
        </w:rPr>
        <w:t>”) was $35 million in cash, subject to certain customary adjustments, including adjustments for working capital and client consents. The Company funded the closing payment with cash on hand.</w:t>
      </w:r>
    </w:p>
    <w:p>
      <w:pPr>
        <w:spacing w:after="0" w:line="111" w:lineRule="exact"/>
        <w:rPr>
          <w:sz w:val="20"/>
          <w:szCs w:val="20"/>
          <w:color w:val="auto"/>
        </w:rPr>
      </w:pPr>
    </w:p>
    <w:p>
      <w:pPr>
        <w:ind w:left="8" w:right="20" w:firstLine="432"/>
        <w:spacing w:after="0" w:line="260" w:lineRule="auto"/>
        <w:rPr>
          <w:sz w:val="20"/>
          <w:szCs w:val="20"/>
          <w:color w:val="auto"/>
        </w:rPr>
      </w:pPr>
      <w:r>
        <w:rPr>
          <w:rFonts w:ascii="Times New Roman" w:cs="Times New Roman" w:eastAsia="Times New Roman" w:hAnsi="Times New Roman"/>
          <w:sz w:val="12"/>
          <w:szCs w:val="12"/>
          <w:color w:val="auto"/>
        </w:rPr>
        <w:t>In addition to the closing payment and the assumption of certain liabilities of the Business, the purchase price also includes contingent earn-out payments of up to an aggregate of $25 million (the “</w:t>
      </w:r>
      <w:r>
        <w:rPr>
          <w:rFonts w:ascii="Times New Roman" w:cs="Times New Roman" w:eastAsia="Times New Roman" w:hAnsi="Times New Roman"/>
          <w:sz w:val="12"/>
          <w:szCs w:val="12"/>
          <w:u w:val="single" w:color="auto"/>
          <w:color w:val="auto"/>
        </w:rPr>
        <w:t>Earn-Out Payments</w:t>
      </w:r>
      <w:r>
        <w:rPr>
          <w:rFonts w:ascii="Times New Roman" w:cs="Times New Roman" w:eastAsia="Times New Roman" w:hAnsi="Times New Roman"/>
          <w:sz w:val="12"/>
          <w:szCs w:val="12"/>
          <w:color w:val="auto"/>
        </w:rPr>
        <w:t>”) based on (x) the retention of a minimum level of net revenue (as calculated under the Purchase Agreement) of the Business in the 15, 18, 21 and 24 months following the Closing (the “</w:t>
      </w:r>
      <w:r>
        <w:rPr>
          <w:rFonts w:ascii="Times New Roman" w:cs="Times New Roman" w:eastAsia="Times New Roman" w:hAnsi="Times New Roman"/>
          <w:sz w:val="12"/>
          <w:szCs w:val="12"/>
          <w:u w:val="single" w:color="auto"/>
          <w:color w:val="auto"/>
        </w:rPr>
        <w:t>Revenue Retention Earnout Payments</w:t>
      </w:r>
      <w:r>
        <w:rPr>
          <w:rFonts w:ascii="Times New Roman" w:cs="Times New Roman" w:eastAsia="Times New Roman" w:hAnsi="Times New Roman"/>
          <w:sz w:val="12"/>
          <w:szCs w:val="12"/>
          <w:color w:val="auto"/>
        </w:rPr>
        <w:t>”) and (y) the growth in net revenue (as calculated under the Purchase Agreement) of the Business in the second and third years following the Closing (the “</w:t>
      </w:r>
      <w:r>
        <w:rPr>
          <w:rFonts w:ascii="Times New Roman" w:cs="Times New Roman" w:eastAsia="Times New Roman" w:hAnsi="Times New Roman"/>
          <w:sz w:val="12"/>
          <w:szCs w:val="12"/>
          <w:u w:val="single" w:color="auto"/>
          <w:color w:val="auto"/>
        </w:rPr>
        <w:t>Revenue Growth Earnout Payments</w:t>
      </w:r>
      <w:r>
        <w:rPr>
          <w:rFonts w:ascii="Times New Roman" w:cs="Times New Roman" w:eastAsia="Times New Roman" w:hAnsi="Times New Roman"/>
          <w:sz w:val="12"/>
          <w:szCs w:val="12"/>
          <w:color w:val="auto"/>
        </w:rPr>
        <w:t>”). The Revenue Retention Earnout Payments, if any, are expected to be paid using cash on hand. The Revenue Growth Earnout Payments, if any, would be paid in shares of the Company’s common stock, par value $0.01 per share.</w:t>
      </w:r>
    </w:p>
    <w:p>
      <w:pPr>
        <w:spacing w:after="0" w:line="122" w:lineRule="exact"/>
        <w:rPr>
          <w:sz w:val="20"/>
          <w:szCs w:val="20"/>
          <w:color w:val="auto"/>
        </w:rPr>
      </w:pPr>
    </w:p>
    <w:p>
      <w:pPr>
        <w:ind w:left="8" w:right="80" w:firstLine="432"/>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foregoing description of the Purchase Agreement in this Item 2.01 does not purport to be complete and is subject to, and qualified in its entirety by, the full text of the Purchase Agreement, a copy of which is incorporated by reference to </w:t>
      </w:r>
      <w:hyperlink r:id="rId15">
        <w:r>
          <w:rPr>
            <w:rFonts w:ascii="Times New Roman" w:cs="Times New Roman" w:eastAsia="Times New Roman" w:hAnsi="Times New Roman"/>
            <w:sz w:val="12"/>
            <w:szCs w:val="12"/>
            <w:u w:val="single" w:color="auto"/>
            <w:color w:val="0000EE"/>
          </w:rPr>
          <w:t>Exhibit 2.1 (as previously filed as Exhibit 2.1 to the Company’s Current Report on Form 8-K, filed with the SEC on May 26, 2022)</w:t>
        </w:r>
      </w:hyperlink>
      <w:r>
        <w:rPr>
          <w:rFonts w:ascii="Times New Roman" w:cs="Times New Roman" w:eastAsia="Times New Roman" w:hAnsi="Times New Roman"/>
          <w:sz w:val="12"/>
          <w:szCs w:val="12"/>
          <w:color w:val="auto"/>
        </w:rPr>
        <w:t>.</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ind w:left="8" w:right="120"/>
        <w:spacing w:after="0" w:line="279" w:lineRule="auto"/>
        <w:rPr>
          <w:sz w:val="20"/>
          <w:szCs w:val="20"/>
          <w:color w:val="auto"/>
        </w:rPr>
      </w:pPr>
      <w:r>
        <w:rPr>
          <w:rFonts w:ascii="Times New Roman" w:cs="Times New Roman" w:eastAsia="Times New Roman" w:hAnsi="Times New Roman"/>
          <w:sz w:val="12"/>
          <w:szCs w:val="12"/>
          <w:color w:val="auto"/>
        </w:rPr>
        <w:t>Attached as Exhibit 99.2 and furnished for purposes of Regulation FD is a presentation that the Company may use from time to time in presentations or discussions with investors, analysts, and other parties. The presentation will also be posted on the Company’s website.</w:t>
      </w:r>
    </w:p>
    <w:p>
      <w:pPr>
        <w:spacing w:after="0" w:line="111" w:lineRule="exact"/>
        <w:rPr>
          <w:sz w:val="20"/>
          <w:szCs w:val="20"/>
          <w:color w:val="auto"/>
        </w:rPr>
      </w:pPr>
    </w:p>
    <w:p>
      <w:pPr>
        <w:ind w:left="8" w:right="160"/>
        <w:spacing w:after="0" w:line="327" w:lineRule="auto"/>
        <w:rPr>
          <w:sz w:val="20"/>
          <w:szCs w:val="20"/>
          <w:color w:val="auto"/>
        </w:rPr>
      </w:pPr>
      <w:r>
        <w:rPr>
          <w:rFonts w:ascii="Times New Roman" w:cs="Times New Roman" w:eastAsia="Times New Roman" w:hAnsi="Times New Roman"/>
          <w:sz w:val="11"/>
          <w:szCs w:val="11"/>
          <w:color w:val="auto"/>
        </w:rPr>
        <w:t>The information in this Item 7.01 (including Exhibit 99.2) is being furnished solely to satisfy the requirements of Regulation FD and shall not be deemed to be “ filed” for the purposes of Section 18 of the Securities Exchange Act of 1934, as amended (the “Exchange Act” ), or otherwise subject to the liabilities of that Section, nor shall it be deemed to be incorporated by reference in any filing under the Securities Act of 1933, as amended, or the Exchange Act.</w:t>
      </w:r>
    </w:p>
    <w:p>
      <w:pPr>
        <w:spacing w:after="0" w:line="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8.01. Other Events.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On November 18, 2022, the Company issued a press release announcing the completion of the Salient Acquisition. A copy of the press release is furnished herewith as Exhibit 99.1 to this Current Report on Form 8-K.</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p>
      <w:pPr>
        <w:ind w:left="208" w:right="380" w:hanging="208"/>
        <w:spacing w:after="0" w:line="279" w:lineRule="auto"/>
        <w:tabs>
          <w:tab w:leader="none" w:pos="20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intends to file the audited financial statements of the Business as required by this Item 9.01(a) under the cover of Form 8-K/A no later than 71 calendar days after the date this Current Report on Form 8-K was required to be filed.</w:t>
      </w:r>
    </w:p>
    <w:p>
      <w:pPr>
        <w:spacing w:after="0" w:line="111" w:lineRule="exact"/>
        <w:rPr>
          <w:rFonts w:ascii="Times New Roman" w:cs="Times New Roman" w:eastAsia="Times New Roman" w:hAnsi="Times New Roman"/>
          <w:sz w:val="12"/>
          <w:szCs w:val="12"/>
          <w:color w:val="auto"/>
        </w:rPr>
      </w:pPr>
    </w:p>
    <w:p>
      <w:pPr>
        <w:ind w:left="208" w:right="120" w:hanging="208"/>
        <w:spacing w:after="0" w:line="279" w:lineRule="auto"/>
        <w:tabs>
          <w:tab w:leader="none" w:pos="20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intends to file unaudited pro forma condensed combined financial information as required by this Item 9.01(b) giving effect to the Salient Acquisition as required by this Item 9.01(b) under cover of Form 8-K/A no later than 71 calendar days after the date this Current Report on Form 8-K was required to be filed.</w:t>
      </w:r>
    </w:p>
    <w:p>
      <w:pPr>
        <w:spacing w:after="0" w:line="255" w:lineRule="exact"/>
        <w:rPr>
          <w:rFonts w:ascii="Times New Roman" w:cs="Times New Roman" w:eastAsia="Times New Roman" w:hAnsi="Times New Roman"/>
          <w:sz w:val="12"/>
          <w:szCs w:val="12"/>
          <w:color w:val="auto"/>
        </w:rPr>
      </w:pPr>
    </w:p>
    <w:p>
      <w:pPr>
        <w:ind w:left="5628" w:hanging="71"/>
        <w:spacing w:after="0"/>
        <w:tabs>
          <w:tab w:leader="none" w:pos="5628"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8"/>
          </w:cols>
          <w:pgMar w:left="292" w:top="647"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44"/>
        </w:trPr>
        <w:tc>
          <w:tcPr>
            <w:tcW w:w="1120" w:type="dxa"/>
            <w:vAlign w:val="bottom"/>
            <w:gridSpan w:val="5"/>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5540" w:type="dxa"/>
            <w:vAlign w:val="bottom"/>
          </w:tcPr>
          <w:p>
            <w:pPr>
              <w:spacing w:after="0"/>
              <w:rPr>
                <w:sz w:val="12"/>
                <w:szCs w:val="12"/>
                <w:color w:val="auto"/>
              </w:rPr>
            </w:pPr>
          </w:p>
        </w:tc>
      </w:tr>
      <w:tr>
        <w:trPr>
          <w:trHeight w:val="159"/>
        </w:trPr>
        <w:tc>
          <w:tcPr>
            <w:tcW w:w="1120" w:type="dxa"/>
            <w:vAlign w:val="bottom"/>
            <w:gridSpan w:val="5"/>
          </w:tcPr>
          <w:p>
            <w:pPr>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1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554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06"/>
        </w:trPr>
        <w:tc>
          <w:tcPr>
            <w:tcW w:w="380" w:type="dxa"/>
            <w:vAlign w:val="bottom"/>
            <w:tcBorders>
              <w:top w:val="single" w:sz="8" w:color="auto"/>
            </w:tcBorders>
            <w:gridSpan w:val="3"/>
          </w:tcPr>
          <w:p>
            <w:pPr>
              <w:ind w:left="160"/>
              <w:spacing w:after="0" w:line="106" w:lineRule="exact"/>
              <w:rPr>
                <w:rFonts w:ascii="Times New Roman" w:cs="Times New Roman" w:eastAsia="Times New Roman" w:hAnsi="Times New Roman"/>
                <w:sz w:val="12"/>
                <w:szCs w:val="12"/>
                <w:color w:val="0000EE"/>
              </w:rPr>
            </w:pPr>
            <w:hyperlink r:id="rId15">
              <w:r>
                <w:rPr>
                  <w:rFonts w:ascii="Times New Roman" w:cs="Times New Roman" w:eastAsia="Times New Roman" w:hAnsi="Times New Roman"/>
                  <w:sz w:val="12"/>
                  <w:szCs w:val="12"/>
                  <w:color w:val="0000EE"/>
                </w:rPr>
                <w:t>2.</w:t>
              </w:r>
              <w:r>
                <w:rPr>
                  <w:rFonts w:ascii="Times New Roman" w:cs="Times New Roman" w:eastAsia="Times New Roman" w:hAnsi="Times New Roman"/>
                  <w:sz w:val="12"/>
                  <w:szCs w:val="12"/>
                  <w:u w:val="single" w:color="auto"/>
                  <w:color w:val="0000EE"/>
                </w:rPr>
                <w:t>1</w:t>
              </w:r>
            </w:hyperlink>
          </w:p>
        </w:tc>
        <w:tc>
          <w:tcPr>
            <w:tcW w:w="5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180" w:type="dxa"/>
            <w:vAlign w:val="bottom"/>
            <w:tcBorders>
              <w:top w:val="single" w:sz="8" w:color="auto"/>
            </w:tcBorders>
            <w:gridSpan w:val="4"/>
          </w:tcPr>
          <w:p>
            <w:pPr>
              <w:spacing w:after="0" w:line="106" w:lineRule="exact"/>
              <w:rPr>
                <w:rFonts w:ascii="Times New Roman" w:cs="Times New Roman" w:eastAsia="Times New Roman" w:hAnsi="Times New Roman"/>
                <w:sz w:val="12"/>
                <w:szCs w:val="12"/>
                <w:color w:val="0000EE"/>
                <w:w w:val="99"/>
              </w:rPr>
            </w:pPr>
            <w:hyperlink r:id="rId15">
              <w:r>
                <w:rPr>
                  <w:rFonts w:ascii="Times New Roman" w:cs="Times New Roman" w:eastAsia="Times New Roman" w:hAnsi="Times New Roman"/>
                  <w:sz w:val="12"/>
                  <w:szCs w:val="12"/>
                  <w:color w:val="0000EE"/>
                  <w:w w:val="99"/>
                </w:rPr>
                <w:t>Purchase Agreement, dated May 25, 2022, by and among Westwood Holdings Group, Inc., Salient Capital Management, LLC, Salient Partners, L.P. and the other Seller parties identified on Annex I (incorporated</w:t>
              </w:r>
            </w:hyperlink>
          </w:p>
        </w:tc>
      </w:tr>
      <w:tr>
        <w:trPr>
          <w:trHeight w:val="124"/>
        </w:trPr>
        <w:tc>
          <w:tcPr>
            <w:tcW w:w="160" w:type="dxa"/>
            <w:vAlign w:val="bottom"/>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180" w:type="dxa"/>
            <w:vAlign w:val="bottom"/>
            <w:tcBorders>
              <w:top w:val="single" w:sz="8" w:color="0000EE"/>
            </w:tcBorders>
            <w:gridSpan w:val="4"/>
          </w:tcPr>
          <w:p>
            <w:pPr>
              <w:spacing w:after="0" w:line="124" w:lineRule="exact"/>
              <w:rPr>
                <w:rFonts w:ascii="Times New Roman" w:cs="Times New Roman" w:eastAsia="Times New Roman" w:hAnsi="Times New Roman"/>
                <w:sz w:val="12"/>
                <w:szCs w:val="12"/>
                <w:color w:val="0000EE"/>
              </w:rPr>
            </w:pPr>
            <w:hyperlink r:id="rId15">
              <w:r>
                <w:rPr>
                  <w:rFonts w:ascii="Times New Roman" w:cs="Times New Roman" w:eastAsia="Times New Roman" w:hAnsi="Times New Roman"/>
                  <w:sz w:val="12"/>
                  <w:szCs w:val="12"/>
                  <w:color w:val="0000EE"/>
                </w:rPr>
                <w:t>by reference to Exhibit 2.1 of the Company’s Current Report on Form 8-K dated May 26, 2022).</w:t>
              </w:r>
            </w:hyperlink>
          </w:p>
        </w:tc>
      </w:tr>
      <w:tr>
        <w:trPr>
          <w:trHeight w:val="124"/>
        </w:trPr>
        <w:tc>
          <w:tcPr>
            <w:tcW w:w="160" w:type="dxa"/>
            <w:vAlign w:val="bottom"/>
          </w:tcPr>
          <w:p>
            <w:pPr>
              <w:spacing w:after="0"/>
              <w:rPr>
                <w:sz w:val="10"/>
                <w:szCs w:val="10"/>
                <w:color w:val="auto"/>
              </w:rPr>
            </w:pPr>
          </w:p>
        </w:tc>
        <w:tc>
          <w:tcPr>
            <w:tcW w:w="22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1</w:t>
            </w: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40" w:type="dxa"/>
            <w:vAlign w:val="bottom"/>
            <w:tcBorders>
              <w:top w:val="single" w:sz="8" w:color="0000EE"/>
            </w:tcBorders>
            <w:gridSpan w:val="3"/>
          </w:tcPr>
          <w:p>
            <w:pPr>
              <w:spacing w:after="0" w:line="124" w:lineRule="exact"/>
              <w:rPr>
                <w:sz w:val="20"/>
                <w:szCs w:val="20"/>
                <w:color w:val="auto"/>
              </w:rPr>
            </w:pPr>
            <w:r>
              <w:rPr>
                <w:rFonts w:ascii="Times New Roman" w:cs="Times New Roman" w:eastAsia="Times New Roman" w:hAnsi="Times New Roman"/>
                <w:sz w:val="12"/>
                <w:szCs w:val="12"/>
                <w:color w:val="0000EE"/>
              </w:rPr>
              <w:t>Press Release Dated November 18, 2022</w:t>
            </w:r>
          </w:p>
        </w:tc>
        <w:tc>
          <w:tcPr>
            <w:tcW w:w="5540" w:type="dxa"/>
            <w:vAlign w:val="bottom"/>
          </w:tcPr>
          <w:p>
            <w:pPr>
              <w:spacing w:after="0"/>
              <w:rPr>
                <w:sz w:val="10"/>
                <w:szCs w:val="10"/>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20" w:type="dxa"/>
            <w:vAlign w:val="bottom"/>
            <w:gridSpan w:val="2"/>
          </w:tcPr>
          <w:p>
            <w:pPr>
              <w:spacing w:after="0" w:line="20" w:lineRule="exact"/>
              <w:rPr>
                <w:sz w:val="1"/>
                <w:szCs w:val="1"/>
                <w:color w:val="auto"/>
              </w:rPr>
            </w:pPr>
          </w:p>
        </w:tc>
      </w:tr>
      <w:tr>
        <w:trPr>
          <w:trHeight w:val="124"/>
        </w:trPr>
        <w:tc>
          <w:tcPr>
            <w:tcW w:w="160" w:type="dxa"/>
            <w:vAlign w:val="bottom"/>
          </w:tcPr>
          <w:p>
            <w:pPr>
              <w:spacing w:after="0"/>
              <w:rPr>
                <w:sz w:val="10"/>
                <w:szCs w:val="10"/>
                <w:color w:val="auto"/>
              </w:rPr>
            </w:pPr>
          </w:p>
        </w:tc>
        <w:tc>
          <w:tcPr>
            <w:tcW w:w="220" w:type="dxa"/>
            <w:vAlign w:val="bottom"/>
            <w:tcBorders>
              <w:bottom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2</w:t>
            </w: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760" w:type="dxa"/>
            <w:vAlign w:val="bottom"/>
            <w:tcBorders>
              <w:bottom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99"/>
              </w:rPr>
              <w:t>Investor Presentation of Westwood Holdings Group, Inc.</w:t>
            </w:r>
          </w:p>
        </w:tc>
        <w:tc>
          <w:tcPr>
            <w:tcW w:w="7420" w:type="dxa"/>
            <w:vAlign w:val="bottom"/>
            <w:gridSpan w:val="2"/>
          </w:tcPr>
          <w:p>
            <w:pPr>
              <w:spacing w:after="0"/>
              <w:rPr>
                <w:sz w:val="10"/>
                <w:szCs w:val="10"/>
                <w:color w:val="auto"/>
              </w:rPr>
            </w:pPr>
          </w:p>
        </w:tc>
      </w:tr>
      <w:tr>
        <w:trPr>
          <w:trHeight w:val="151"/>
        </w:trPr>
        <w:tc>
          <w:tcPr>
            <w:tcW w:w="38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104</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1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432"/>
        </w:trPr>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3"/>
          </w:tcPr>
          <w:p>
            <w:pPr>
              <w:ind w:left="4420"/>
              <w:spacing w:after="0"/>
              <w:rPr>
                <w:sz w:val="20"/>
                <w:szCs w:val="20"/>
                <w:color w:val="auto"/>
              </w:rPr>
            </w:pPr>
            <w:r>
              <w:rPr>
                <w:rFonts w:ascii="Times New Roman" w:cs="Times New Roman" w:eastAsia="Times New Roman" w:hAnsi="Times New Roman"/>
                <w:sz w:val="12"/>
                <w:szCs w:val="12"/>
                <w:color w:val="auto"/>
                <w:w w:val="99"/>
              </w:rPr>
              <w:t>- 3 -</w:t>
            </w:r>
          </w:p>
        </w:tc>
        <w:tc>
          <w:tcPr>
            <w:tcW w:w="55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as amended, the registrant has duly caused this report to be signed on its behalf by the undersigned 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20" w:type="dxa"/>
            <w:vAlign w:val="bottom"/>
          </w:tcPr>
          <w:p>
            <w:pPr>
              <w:spacing w:after="0"/>
              <w:rPr>
                <w:sz w:val="13"/>
                <w:szCs w:val="13"/>
                <w:color w:val="auto"/>
              </w:rPr>
            </w:pPr>
          </w:p>
        </w:tc>
        <w:tc>
          <w:tcPr>
            <w:tcW w:w="7880" w:type="dxa"/>
            <w:vAlign w:val="bottom"/>
            <w:gridSpan w:val="3"/>
          </w:tcPr>
          <w:p>
            <w:pPr>
              <w:ind w:left="2240"/>
              <w:spacing w:after="0"/>
              <w:rPr>
                <w:sz w:val="20"/>
                <w:szCs w:val="20"/>
                <w:color w:val="auto"/>
              </w:rPr>
            </w:pPr>
            <w:r>
              <w:rPr>
                <w:rFonts w:ascii="Times New Roman" w:cs="Times New Roman" w:eastAsia="Times New Roman" w:hAnsi="Times New Roman"/>
                <w:sz w:val="12"/>
                <w:szCs w:val="12"/>
                <w:b w:val="1"/>
                <w:bCs w:val="1"/>
                <w:color w:val="auto"/>
              </w:rPr>
              <w:t>WESTWOOD HOLDINGS GROUP, INC.</w:t>
            </w:r>
          </w:p>
        </w:tc>
      </w:tr>
      <w:tr>
        <w:trPr>
          <w:trHeight w:val="288"/>
        </w:trPr>
        <w:tc>
          <w:tcPr>
            <w:tcW w:w="3420" w:type="dxa"/>
            <w:vAlign w:val="bottom"/>
          </w:tcPr>
          <w:p>
            <w:pPr>
              <w:spacing w:after="0"/>
              <w:rPr>
                <w:sz w:val="20"/>
                <w:szCs w:val="20"/>
                <w:color w:val="auto"/>
              </w:rPr>
            </w:pPr>
            <w:r>
              <w:rPr>
                <w:rFonts w:ascii="Times New Roman" w:cs="Times New Roman" w:eastAsia="Times New Roman" w:hAnsi="Times New Roman"/>
                <w:sz w:val="12"/>
                <w:szCs w:val="12"/>
                <w:color w:val="auto"/>
              </w:rPr>
              <w:t>Dated: November 21, 2022</w:t>
            </w:r>
          </w:p>
        </w:tc>
        <w:tc>
          <w:tcPr>
            <w:tcW w:w="7880" w:type="dxa"/>
            <w:vAlign w:val="bottom"/>
            <w:gridSpan w:val="3"/>
          </w:tcPr>
          <w:p>
            <w:pPr>
              <w:ind w:left="2240"/>
              <w:spacing w:after="0"/>
              <w:rPr>
                <w:sz w:val="20"/>
                <w:szCs w:val="20"/>
                <w:color w:val="auto"/>
              </w:rPr>
            </w:pPr>
            <w:r>
              <w:rPr>
                <w:rFonts w:ascii="Times New Roman" w:cs="Times New Roman" w:eastAsia="Times New Roman" w:hAnsi="Times New Roman"/>
                <w:sz w:val="12"/>
                <w:szCs w:val="12"/>
                <w:color w:val="auto"/>
              </w:rPr>
              <w:t>By:   /s/ Brian O. Casey</w:t>
            </w:r>
          </w:p>
        </w:tc>
      </w:tr>
      <w:tr>
        <w:trPr>
          <w:trHeight w:val="122"/>
        </w:trPr>
        <w:tc>
          <w:tcPr>
            <w:tcW w:w="34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44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4860" w:type="dxa"/>
            <w:vAlign w:val="bottom"/>
            <w:tcBorders>
              <w:top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Brian O. Casey</w:t>
            </w:r>
          </w:p>
        </w:tc>
      </w:tr>
      <w:tr>
        <w:trPr>
          <w:trHeight w:val="155"/>
        </w:trPr>
        <w:tc>
          <w:tcPr>
            <w:tcW w:w="34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r>
        <w:trPr>
          <w:trHeight w:val="432"/>
        </w:trPr>
        <w:tc>
          <w:tcPr>
            <w:tcW w:w="34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rPr>
              <w:t>- 4 -</w:t>
            </w:r>
          </w:p>
        </w:tc>
        <w:tc>
          <w:tcPr>
            <w:tcW w:w="4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Westwood Acquires Salient Partners’ Asset Management Business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Highly Complementary Expansion of Westwood’s Investment and Distribution Capabilities</w:t>
      </w:r>
    </w:p>
    <w:p>
      <w:pPr>
        <w:spacing w:after="0" w:line="150" w:lineRule="exact"/>
        <w:rPr>
          <w:sz w:val="20"/>
          <w:szCs w:val="20"/>
          <w:color w:val="auto"/>
        </w:rPr>
      </w:pPr>
    </w:p>
    <w:p>
      <w:pPr>
        <w:ind w:right="200"/>
        <w:spacing w:after="0" w:line="300" w:lineRule="auto"/>
        <w:rPr>
          <w:sz w:val="20"/>
          <w:szCs w:val="20"/>
          <w:color w:val="auto"/>
        </w:rPr>
      </w:pPr>
      <w:r>
        <w:rPr>
          <w:rFonts w:ascii="Times New Roman" w:cs="Times New Roman" w:eastAsia="Times New Roman" w:hAnsi="Times New Roman"/>
          <w:sz w:val="11"/>
          <w:szCs w:val="11"/>
          <w:color w:val="auto"/>
        </w:rPr>
        <w:t>DALLAS, Nov. 18, 2022 (GLOBE NEWSWIRE) – Westwood Holdings Group, Inc. (NYSE: WHG, “Westwood”), a Dallas-based investment management boutique and wealth management firm, has acquired the asset management business of Salient Partners, L.P. (“Salient”), a Houston-based asset management firm. As a result, Westwood has also acquired a significant minority stake, previously owned by Salient, in Broadmark Asset Management LLC (“Broadmark”). Broadmark is a San Francisco-based asset manager offering hedged equity strategies and serves as sub-adviser to a pair of seasoned mutual funds and separately managed accounts now offered by Westwood.</w:t>
      </w:r>
    </w:p>
    <w:p>
      <w:pPr>
        <w:spacing w:after="0" w:line="102"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color w:val="auto"/>
        </w:rPr>
        <w:t>This strategic acquisition increases Westwood’s total assets under management (“AUM”) by 33% to $16.3 billion, adding specialization and scale across Westwood’s Multi-Asset, Real Assets and Alternative range of strategies. The Westwood, Salient and Broadmark portfolio management and distribution teams will remain unchanged.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Broadened Investment Capabilities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acquisition expands Westwood’s offerings with the addition of four distinct investment capabilities that bolster Westwood’s growing Multi-Asset, Real Assets and Alternatives platform:</w:t>
      </w:r>
    </w:p>
    <w:p>
      <w:pPr>
        <w:spacing w:after="0" w:line="146" w:lineRule="exact"/>
        <w:rPr>
          <w:sz w:val="20"/>
          <w:szCs w:val="20"/>
          <w:color w:val="auto"/>
        </w:rPr>
      </w:pPr>
    </w:p>
    <w:p>
      <w:pPr>
        <w:ind w:left="200" w:right="6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Energy Infrastructure </w:t>
      </w:r>
      <w:r>
        <w:rPr>
          <w:rFonts w:ascii="Times New Roman" w:cs="Times New Roman" w:eastAsia="Times New Roman" w:hAnsi="Times New Roman"/>
          <w:sz w:val="12"/>
          <w:szCs w:val="12"/>
          <w:color w:val="auto"/>
        </w:rPr>
        <w:t>– A recognized leader and innovator in the energy infrastructure and MLP space, the team has worked together for over a decade and is highly regarded for its depth of energy industry expertise and thought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leadership. Energy Infrastructure offerings total $2.1 billion in AUM and are available as separately managed accounts, a mutual fund and private funds.</w:t>
      </w:r>
    </w:p>
    <w:p>
      <w:pPr>
        <w:spacing w:after="0" w:line="103" w:lineRule="exact"/>
        <w:rPr>
          <w:sz w:val="20"/>
          <w:szCs w:val="20"/>
          <w:color w:val="auto"/>
        </w:rPr>
      </w:pPr>
    </w:p>
    <w:p>
      <w:pPr>
        <w:ind w:left="200" w:right="580"/>
        <w:spacing w:after="0" w:line="301" w:lineRule="auto"/>
        <w:rPr>
          <w:sz w:val="20"/>
          <w:szCs w:val="20"/>
          <w:color w:val="auto"/>
        </w:rPr>
      </w:pPr>
      <w:r>
        <w:rPr>
          <w:rFonts w:ascii="Times New Roman" w:cs="Times New Roman" w:eastAsia="Times New Roman" w:hAnsi="Times New Roman"/>
          <w:sz w:val="12"/>
          <w:szCs w:val="12"/>
          <w:b w:val="1"/>
          <w:bCs w:val="1"/>
          <w:color w:val="auto"/>
        </w:rPr>
        <w:t xml:space="preserve">Tactical Equity </w:t>
      </w:r>
      <w:r>
        <w:rPr>
          <w:rFonts w:ascii="Times New Roman" w:cs="Times New Roman" w:eastAsia="Times New Roman" w:hAnsi="Times New Roman"/>
          <w:sz w:val="12"/>
          <w:szCs w:val="12"/>
          <w:color w:val="auto"/>
        </w:rPr>
        <w:t>– With $1.3 billion in AUM, the Long-Short Equity strategies sub-advised by Broadmark are highly scalable and are offered as mutual funds and separately managed accounts. The team has compiled an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exceptional 23-year track record seeking above-average, risk-adjusted returns in all market environments with less downside volatility than the S&amp;P 500</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 xml:space="preserve"> Index.</w:t>
      </w:r>
    </w:p>
    <w:p>
      <w:pPr>
        <w:spacing w:after="0" w:line="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 xml:space="preserve">Real Estate </w:t>
      </w:r>
      <w:r>
        <w:rPr>
          <w:rFonts w:ascii="Times New Roman" w:cs="Times New Roman" w:eastAsia="Times New Roman" w:hAnsi="Times New Roman"/>
          <w:sz w:val="12"/>
          <w:szCs w:val="12"/>
          <w:color w:val="auto"/>
        </w:rPr>
        <w:t>– The team has developed a strong reputation over two decades while offering differentiated approaches to investing in liquid real estate securities for attractive current yield and appropriate risk-adjusted total returns.</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Real Estate strategies total $242 million in AUM and are available as mutual funds and separately managed accounts.</w:t>
      </w:r>
    </w:p>
    <w:p>
      <w:pPr>
        <w:spacing w:after="0" w:line="1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 xml:space="preserve">Private Investments </w:t>
      </w:r>
      <w:r>
        <w:rPr>
          <w:rFonts w:ascii="Times New Roman" w:cs="Times New Roman" w:eastAsia="Times New Roman" w:hAnsi="Times New Roman"/>
          <w:sz w:val="12"/>
          <w:szCs w:val="12"/>
          <w:color w:val="auto"/>
        </w:rPr>
        <w:t>– The team joining Westwood has substantial experience in sourcing and raising assets for private investment vehicles in the energy and real asset spaces. Private investments aggregate $367 million in AUM.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Expanded Distribution Capabilities</w:t>
      </w:r>
    </w:p>
    <w:p>
      <w:pPr>
        <w:spacing w:after="0" w:line="154" w:lineRule="exact"/>
        <w:rPr>
          <w:sz w:val="20"/>
          <w:szCs w:val="20"/>
          <w:color w:val="auto"/>
        </w:rPr>
      </w:pPr>
    </w:p>
    <w:p>
      <w:pPr>
        <w:jc w:val="both"/>
        <w:ind w:right="280"/>
        <w:spacing w:after="0" w:line="265" w:lineRule="auto"/>
        <w:rPr>
          <w:sz w:val="20"/>
          <w:szCs w:val="20"/>
          <w:color w:val="auto"/>
        </w:rPr>
      </w:pPr>
      <w:r>
        <w:rPr>
          <w:rFonts w:ascii="Times New Roman" w:cs="Times New Roman" w:eastAsia="Times New Roman" w:hAnsi="Times New Roman"/>
          <w:sz w:val="12"/>
          <w:szCs w:val="12"/>
          <w:color w:val="auto"/>
        </w:rPr>
        <w:t>The acquisition significantly expands Westwood’s distribution capabilities, combining two highly complementary teams with very little client overlap and uniquely successful histories of focusing on different distribution channels. Salient has developed a broad presence in the wirehouse channel, while Westwood has a strong presence in the independent broker-dealer, RIA and institutional channels. The expanded distribution team is expected to leverage the increased scale and broader product availability to enhance offerings to a wide range of institutional, intermediary and wealth management clients.</w:t>
      </w:r>
    </w:p>
    <w:p>
      <w:pPr>
        <w:spacing w:after="0" w:line="119" w:lineRule="exact"/>
        <w:rPr>
          <w:sz w:val="20"/>
          <w:szCs w:val="20"/>
          <w:color w:val="auto"/>
        </w:rPr>
      </w:pPr>
    </w:p>
    <w:p>
      <w:pPr>
        <w:ind w:right="340"/>
        <w:spacing w:after="0" w:line="279" w:lineRule="auto"/>
        <w:rPr>
          <w:sz w:val="20"/>
          <w:szCs w:val="20"/>
          <w:color w:val="auto"/>
        </w:rPr>
      </w:pPr>
      <w:r>
        <w:rPr>
          <w:rFonts w:ascii="Times New Roman" w:cs="Times New Roman" w:eastAsia="Times New Roman" w:hAnsi="Times New Roman"/>
          <w:sz w:val="12"/>
          <w:szCs w:val="12"/>
          <w:color w:val="auto"/>
        </w:rPr>
        <w:t>“This highly accretive acquisition strengthens Westwood’s business and provides many growth opportunities going forward. Our enhanced investment capabilities will help our investors achieve their objectives, including seeking alternative sources of income, gaining inflation protection by investing in real assets, achieving low correlations with traditional asset classes and mitigating overall 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4572000" cy="1348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4572000" cy="1348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Incorporating these strategies into our product suite allows us to capitalize on the substantial investments we have made over the last several years to strengthen our distribution platform. Together, we are looking forward to serving a wider range of client needs and accelerating the growth of our business,” said Westwood’s Chief Executive Officer, Brian O. Casey.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Transaction Details</w:t>
      </w:r>
    </w:p>
    <w:p>
      <w:pPr>
        <w:spacing w:after="0" w:line="154" w:lineRule="exact"/>
        <w:rPr>
          <w:sz w:val="20"/>
          <w:szCs w:val="20"/>
          <w:color w:val="auto"/>
        </w:rPr>
      </w:pPr>
    </w:p>
    <w:p>
      <w:pPr>
        <w:ind w:left="480" w:right="360" w:hanging="218"/>
        <w:spacing w:after="0" w:line="265" w:lineRule="auto"/>
        <w:tabs>
          <w:tab w:leader="none" w:pos="4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Westwood has acquired Salient’s asset management business for an upfront payment of $35 million in cash, subject to certain customary adjustments, including adjustments for working capital and client consents, with deferred payments of cash and equity of up to $25 million over several years, upon satisfaction of certain revenue retention and growth targets. The transaction is expected to result in significant accretion to economic earnings per share (“EPS”). Westwood expects economic EPS accretion of approximately 100% in 2023, the first full year following the transaction closing.</w:t>
      </w:r>
    </w:p>
    <w:p>
      <w:pPr>
        <w:spacing w:after="0" w:line="118" w:lineRule="exact"/>
        <w:rPr>
          <w:rFonts w:ascii="Times New Roman" w:cs="Times New Roman" w:eastAsia="Times New Roman" w:hAnsi="Times New Roman"/>
          <w:sz w:val="12"/>
          <w:szCs w:val="12"/>
          <w:color w:val="auto"/>
        </w:rPr>
      </w:pPr>
    </w:p>
    <w:p>
      <w:pPr>
        <w:ind w:left="480" w:right="440" w:hanging="218"/>
        <w:spacing w:after="0" w:line="265" w:lineRule="auto"/>
        <w:tabs>
          <w:tab w:leader="none" w:pos="4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Related to the transaction, Westwood will award restricted stock grants aggregating $5 million to six members of the Energy Infrastructure team. The restricted stock awards will be granted pursuant to restricted stock agreements in respect of 468,607 shares of Westwood stock in the aggregate and will vest in five years, provided the individual remains employed through the vesting date. The restricted stock grants are a one-time employment inducement award under Section 303A.08 of the New York Stock Exchange Listed Company Manual.</w:t>
      </w:r>
    </w:p>
    <w:p>
      <w:pPr>
        <w:spacing w:after="0" w:line="118" w:lineRule="exact"/>
        <w:rPr>
          <w:rFonts w:ascii="Times New Roman" w:cs="Times New Roman" w:eastAsia="Times New Roman" w:hAnsi="Times New Roman"/>
          <w:sz w:val="12"/>
          <w:szCs w:val="12"/>
          <w:color w:val="auto"/>
        </w:rPr>
      </w:pPr>
    </w:p>
    <w:p>
      <w:pPr>
        <w:ind w:left="480" w:right="320" w:hanging="218"/>
        <w:spacing w:after="0" w:line="279" w:lineRule="auto"/>
        <w:tabs>
          <w:tab w:leader="none" w:pos="4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newly acquired investment strategies will be marketed under the Westwood Salient and Westwood Broadmark names and will be managed by the same investment teams, with the same stated investment objectives. The strategies will benefit from the additional risk and performance analytics that Westwood provides to its current investment teams.</w:t>
      </w:r>
    </w:p>
    <w:p>
      <w:pPr>
        <w:spacing w:after="0" w:line="111" w:lineRule="exact"/>
        <w:rPr>
          <w:rFonts w:ascii="Times New Roman" w:cs="Times New Roman" w:eastAsia="Times New Roman" w:hAnsi="Times New Roman"/>
          <w:sz w:val="12"/>
          <w:szCs w:val="12"/>
          <w:color w:val="auto"/>
        </w:rPr>
      </w:pPr>
    </w:p>
    <w:p>
      <w:pPr>
        <w:ind w:left="480" w:hanging="218"/>
        <w:spacing w:after="0"/>
        <w:tabs>
          <w:tab w:leader="none" w:pos="4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Westwood will fund the upfront payment using cash on hand and will maintain its debt-free balance sheet.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RBC Capital Markets served as exclusive financial advisor to Westwood Holdings Group, Inc. Willkie Farr &amp; Gallagher LLP acted as external legal counsel.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Note: AUM figures as of 10.31.22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WESTWOOD HOLDINGS GROUP, INC.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Westwood Holdings Group, Inc. is a focused investment management boutique and wealth management firm.</w:t>
      </w:r>
    </w:p>
    <w:p>
      <w:pPr>
        <w:spacing w:after="0" w:line="150"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2"/>
          <w:szCs w:val="12"/>
          <w:color w:val="auto"/>
        </w:rPr>
        <w:t>Westwood offers a broad array of investment solutions to institutional investors, private wealth clients and financial intermediaries. The firm specializes in distinct investment capabilities: U.S. Value Equity and Multi Asset, which includes Asset Allocation, Real Assets and Tactical, and are made available through separate accounts, the Westwood Funds® family of mutual funds and other pooled vehicles. Westwood benefits from significant, broad-based employee ownership and trades on the New York Stock Exchange under the symbol “WHG.” Based in Dallas, Westwood also maintains offices in Houston and San Francisco.</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more information on Westwood, please visit westwoodgroup.com.</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Statements in this press release that are not purely historical facts, including, without limitation, statements about our expected future financial position, results of operations or cash flows, as well as other statements including without limitation, words such as “anticipate,” “believe,” “expect,” “could,” and other similar expressions, constitute forward- looking statements within the meaning of Section 27A of the Securities Act of 1933, as amended and Section 21E of the Securities Exchange Act of 1934, as amended.</w:t>
      </w: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4572000" cy="1348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4572000" cy="1348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Various forward-looking statements in this press release relate to the acquisition by Westwood of Salient’s asset management business, including expected scale opportunities, operating efficiencies and results, growth trajectories, client and stockholder benefits, key assumptions, client retention and revenue realization, cost synergies, financial benefits or returns, including accretion and integration costs.</w:t>
      </w:r>
    </w:p>
    <w:p>
      <w:pPr>
        <w:spacing w:after="0" w:line="11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2"/>
          <w:szCs w:val="12"/>
          <w:color w:val="auto"/>
        </w:rPr>
        <w:t>Forward-looking statements involve various known and unknown risks, uncertainties and other important factors, some of which are listed below, that could cause actual results and outcomes to differ materially from any future results or outcomes expressed or implied by such forward-looking statements. Important transaction-related and other risk factors that may cause such differences include: (i) anticipated benefits of the transaction, including the realization of revenue, accretion, financial benefits or returns, may not be fully realized or may take longer to realize than expected; and (ii) Westwood may be unable to successfully integrate Salient’s businesses with those of Westwood or to integrate the businesses within the anticipated time frame.</w:t>
      </w:r>
    </w:p>
    <w:p>
      <w:pPr>
        <w:spacing w:after="0" w:line="12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1"/>
          <w:szCs w:val="11"/>
          <w:color w:val="auto"/>
        </w:rPr>
        <w:t>Actual results and the timing of some events could differ materially from those projected in or contemplated by the forward-looking statements due to a number of factors, including, without limitation: the composition and market value of our AUM; our ability to maintain our fee structure in light of competitive fee pressures; risks associated with actions of activist stockholders; distributions to our common stockholders have included and may in the future include a return of capital; inclusion of foreign company investments in our AUM; regulations adversely affecting the financial services industry; our ability to maintain effective cyber security; litigation risks; our ability to develop and market new investment strategies; our reputation and our relationships with current and potential customers; our ability to attract and retain qualified personnel; our ability to perform operational tasks; our ability to oversee third-party vendors; our dependence on the operations and funds of our subsidiaries; our ability to maintain effective information systems; our ability to prevent misuse of assets and information in the possession of our employees and third-party vendors that could damage our reputation and result in costly litigation and liability for our clients and us; our stock is thinly traded and may be subject to volatility; our organizational documents contain provisions that may prevent or deter another group from paying a premium over the market price to our stockholders to acquire our stock; competition in the investment management industry; our ability to avoid termination of client agreements and the related investment redemptions; the significant concentration of our revenues in a small number of customers; our relationships with investment consulting firms; the impact of the COVID-19 pandemic; our ability to identify and execute on our strategic initiatives; our ability to pay dividends; our ability to fund future capital requirements on favorable terms; our ability to properly address conflicts of interest; our ability to maintain adequate insurance coverage; our ability to maintain an effective system of internal controls; and the other risks detailed from time to time in Westwood’s SEC filings, including, but not limited to, its annual report on Form 10-K for the year ended Dec. 31, 2021 and its quarterly reports on Form 10-Q for the quarters ended March 31, 2022, June 30, 2022 and Sept. 30, 2022. You are cautioned not to place undue reliance on these forward-looking statements, which speak only as of the date of this press release. Except as required by law, Westwood is not obligated to release any revisions to these forward-looking statements publicly to reflect events or circumstances after the date of this press release or to reflect the occurrence of unanticipated events.</w:t>
      </w:r>
    </w:p>
    <w:p>
      <w:pPr>
        <w:spacing w:after="0" w:line="11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2"/>
          <w:szCs w:val="12"/>
          <w:b w:val="1"/>
          <w:bCs w:val="1"/>
          <w:color w:val="auto"/>
        </w:rPr>
        <w:t>Media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4572000" cy="3880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4572000" cy="3880485"/>
                    </a:xfrm>
                    <a:prstGeom prst="rect">
                      <a:avLst/>
                    </a:prstGeom>
                    <a:noFill/>
                  </pic:spPr>
                </pic:pic>
              </a:graphicData>
            </a:graphic>
          </wp:anchor>
        </w:drawing>
      </w:r>
    </w:p>
    <w:p>
      <w:pPr>
        <w:spacing w:after="0" w:line="13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2"/>
          <w:szCs w:val="12"/>
          <w:b w:val="1"/>
          <w:bCs w:val="1"/>
          <w:color w:val="auto"/>
        </w:rPr>
        <w:t>Tyler Bradford</w:t>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2"/>
          <w:szCs w:val="12"/>
          <w:b w:val="1"/>
          <w:bCs w:val="1"/>
          <w:color w:val="auto"/>
        </w:rPr>
        <w:t>Hewes</w:t>
      </w:r>
    </w:p>
    <w:p>
      <w:pPr>
        <w:spacing w:after="0" w:line="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2"/>
          <w:szCs w:val="12"/>
          <w:b w:val="1"/>
          <w:bCs w:val="1"/>
          <w:color w:val="auto"/>
        </w:rPr>
        <w:t>Communications</w:t>
      </w:r>
    </w:p>
    <w:p>
      <w:pPr>
        <w:spacing w:after="0" w:line="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2"/>
          <w:szCs w:val="12"/>
          <w:b w:val="1"/>
          <w:bCs w:val="1"/>
          <w:color w:val="auto"/>
        </w:rPr>
        <w:t>212.207.9454</w:t>
      </w:r>
    </w:p>
    <w:p>
      <w:pPr>
        <w:spacing w:after="0" w:line="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2"/>
          <w:szCs w:val="12"/>
          <w:u w:val="single" w:color="auto"/>
          <w:color w:val="auto"/>
        </w:rPr>
        <w:t>tyler@hewescomm.com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7" w:name="page8"/>
    <w:bookmarkEnd w:id="7"/>
    <w:p>
      <w:pPr>
        <w:ind w:left="9420"/>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6783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18680" cy="6783705"/>
                    </a:xfrm>
                    <a:prstGeom prst="rect">
                      <a:avLst/>
                    </a:prstGeom>
                    <a:noFill/>
                  </pic:spPr>
                </pic:pic>
              </a:graphicData>
            </a:graphic>
          </wp:anchor>
        </w:drawing>
      </w:r>
    </w:p>
    <w:p>
      <w:pPr>
        <w:sectPr>
          <w:pgSz w:w="11900" w:h="16838" w:orient="portrait"/>
          <w:cols w:equalWidth="0" w:num="1">
            <w:col w:w="10160"/>
          </w:cols>
          <w:pgMar w:left="1440" w:top="281" w:right="29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283210</wp:posOffset>
            </wp:positionV>
            <wp:extent cx="7218680" cy="6783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18680" cy="6783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283210</wp:posOffset>
            </wp:positionV>
            <wp:extent cx="7218680" cy="6783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18680" cy="6783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283210</wp:posOffset>
            </wp:positionV>
            <wp:extent cx="7218680" cy="6783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18680" cy="6783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283210</wp:posOffset>
            </wp:positionV>
            <wp:extent cx="7218680" cy="6783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18680" cy="6783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283210</wp:posOffset>
            </wp:positionV>
            <wp:extent cx="7218680" cy="6783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18680" cy="6783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283210</wp:posOffset>
            </wp:positionV>
            <wp:extent cx="7218680" cy="6783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18680" cy="6783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283210</wp:posOffset>
            </wp:positionV>
            <wp:extent cx="7218680" cy="67894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18680" cy="6789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283210</wp:posOffset>
            </wp:positionV>
            <wp:extent cx="7218680" cy="6783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18680" cy="67837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jpeg"/><Relationship Id="rId19" Type="http://schemas.openxmlformats.org/officeDocument/2006/relationships/image" Target="media/image11.png"/><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5" Type="http://schemas.openxmlformats.org/officeDocument/2006/relationships/hyperlink" Target="https://www.sec.gov/Archives/edgar/data/1165002/000116500222000079/salientpurchase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2022-11-21T08:10:34Z</dcterms:created>
  <dcterms:modified xsi:type="dcterms:W3CDTF">2022-11-21T08:10:34Z</dcterms:modified>
</cp:coreProperties>
</file>