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October 27, 2021</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040"/>
          </w:cols>
          <w:pgMar w:left="320" w:top="1043" w:right="5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2900"/>
          </w:cols>
          <w:pgMar w:left="320" w:top="1043" w:right="5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40"/>
          </w:cols>
          <w:pgMar w:left="320" w:top="1043" w:right="539" w:bottom="1440" w:gutter="0" w:footer="0" w:header="0"/>
          <w:type w:val="continuous"/>
        </w:sectPr>
      </w:pPr>
    </w:p>
    <w:p>
      <w:pPr>
        <w:spacing w:after="0" w:line="274" w:lineRule="exact"/>
        <w:rPr>
          <w:sz w:val="24"/>
          <w:szCs w:val="24"/>
          <w:color w:val="auto"/>
        </w:rPr>
      </w:pPr>
    </w:p>
    <w:p>
      <w:pPr>
        <w:ind w:right="3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80" w:type="dxa"/>
            <w:vAlign w:val="bottom"/>
            <w:gridSpan w:val="5"/>
          </w:tcPr>
          <w:p>
            <w:pPr>
              <w:jc w:val="center"/>
              <w:ind w:right="315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8"/>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3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43"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43"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On October 27, 2021, Westwood Holdings Group, Inc. (“Westwood”) announced its financial results for the quarter ended September 30, 2021, a copy of which is furnished with this Current Report on Form 8-K as Exhibit 99.1.</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8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10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$0.15 per common share, payable on January 3, 2022 to stockholders of record on December 3, 2021.</w:t>
      </w: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4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Exhibit Number</w:t>
      </w:r>
      <w:r>
        <w:rPr>
          <w:sz w:val="20"/>
          <w:szCs w:val="20"/>
          <w:color w:val="auto"/>
        </w:rPr>
        <w:tab/>
      </w:r>
      <w:r>
        <w:rPr>
          <w:rFonts w:ascii="Arial" w:cs="Arial" w:eastAsia="Arial" w:hAnsi="Arial"/>
          <w:sz w:val="18"/>
          <w:szCs w:val="18"/>
          <w:color w:val="auto"/>
        </w:rPr>
        <w:t>Description</w:t>
      </w:r>
    </w:p>
    <w:p>
      <w:pPr>
        <w:spacing w:after="0" w:line="243"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w:anchor="page4">
        <w:r>
          <w:rPr>
            <w:rFonts w:ascii="Arial" w:cs="Arial" w:eastAsia="Arial" w:hAnsi="Arial"/>
            <w:sz w:val="16"/>
            <w:szCs w:val="16"/>
            <w:u w:val="single" w:color="auto"/>
            <w:color w:val="0000FF"/>
          </w:rPr>
          <w:t>Press Release Dated October 27, 2021</w:t>
        </w:r>
      </w:hyperlink>
    </w:p>
    <w:p>
      <w:pPr>
        <w:spacing w:after="0" w:line="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1470660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2"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October 27, 2021</w:t>
      </w:r>
    </w:p>
    <w:p>
      <w:pPr>
        <w:spacing w:after="0" w:line="200" w:lineRule="exact"/>
        <w:rPr>
          <w:sz w:val="20"/>
          <w:szCs w:val="20"/>
          <w:color w:val="auto"/>
        </w:rPr>
      </w:pPr>
    </w:p>
    <w:p>
      <w:pPr>
        <w:spacing w:after="0" w:line="315"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WESTWOOD HOLDINGS GROUP, INC.</w:t>
      </w:r>
    </w:p>
    <w:p>
      <w:pPr>
        <w:spacing w:after="0" w:line="200" w:lineRule="exact"/>
        <w:rPr>
          <w:sz w:val="20"/>
          <w:szCs w:val="20"/>
          <w:color w:val="auto"/>
        </w:rPr>
      </w:pPr>
    </w:p>
    <w:p>
      <w:pPr>
        <w:spacing w:after="0" w:line="37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320" w:top="892"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Third Quarter 2021 Results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Strong performance delivered across multiple products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Increased regular quarterly dividend and repurchased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Dallas, TX, October 27, 2021 – Westwood Holdings Group, Inc. (NYSE: WHG) today reported third quarter 2021 earnings.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Significant items include:</w:t>
      </w:r>
    </w:p>
    <w:p>
      <w:pPr>
        <w:spacing w:after="0" w:line="17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Improved revenues of $17.9 million vs. the second quarter's $17.5 million and $15.5 million a year ago.</w:t>
      </w:r>
    </w:p>
    <w:p>
      <w:pPr>
        <w:spacing w:after="0" w:line="111" w:lineRule="exact"/>
        <w:rPr>
          <w:rFonts w:ascii="Arial" w:cs="Arial" w:eastAsia="Arial" w:hAnsi="Arial"/>
          <w:sz w:val="22"/>
          <w:szCs w:val="22"/>
          <w:color w:val="auto"/>
        </w:rPr>
      </w:pPr>
    </w:p>
    <w:p>
      <w:pPr>
        <w:ind w:left="660" w:right="14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Higher net income of $1.9 million vs. the second quarter's $1.0 million and vs. a $10.3 million net loss in last year's third quarter.</w:t>
      </w:r>
    </w:p>
    <w:p>
      <w:pPr>
        <w:spacing w:after="0" w:line="66" w:lineRule="exact"/>
        <w:rPr>
          <w:rFonts w:ascii="Arial" w:cs="Arial" w:eastAsia="Arial" w:hAnsi="Arial"/>
          <w:sz w:val="22"/>
          <w:szCs w:val="22"/>
          <w:color w:val="auto"/>
        </w:rPr>
      </w:pPr>
    </w:p>
    <w:p>
      <w:pPr>
        <w:ind w:left="660" w:right="6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LargeCap Value, SmidCap, AllCap Value and Alternative Income strategies all beat their primary benchmarks for the quarter.</w:t>
      </w:r>
    </w:p>
    <w:p>
      <w:pPr>
        <w:spacing w:after="0" w:line="66" w:lineRule="exact"/>
        <w:rPr>
          <w:rFonts w:ascii="Arial" w:cs="Arial" w:eastAsia="Arial" w:hAnsi="Arial"/>
          <w:sz w:val="22"/>
          <w:szCs w:val="22"/>
          <w:color w:val="auto"/>
        </w:rPr>
      </w:pPr>
    </w:p>
    <w:p>
      <w:pPr>
        <w:ind w:left="660" w:right="10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peer rankings, Alternative Income and SmidCap achieved top quintile rankings, and AllCap Value achieved a top third ranking.</w:t>
      </w:r>
    </w:p>
    <w:p>
      <w:pPr>
        <w:spacing w:after="0" w:line="66" w:lineRule="exact"/>
        <w:rPr>
          <w:rFonts w:ascii="Arial" w:cs="Arial" w:eastAsia="Arial" w:hAnsi="Arial"/>
          <w:sz w:val="22"/>
          <w:szCs w:val="22"/>
          <w:color w:val="auto"/>
        </w:rPr>
      </w:pPr>
    </w:p>
    <w:p>
      <w:pPr>
        <w:ind w:left="660" w:right="120" w:hanging="328"/>
        <w:spacing w:after="0" w:line="341" w:lineRule="auto"/>
        <w:tabs>
          <w:tab w:leader="none" w:pos="656" w:val="left"/>
        </w:tabs>
        <w:numPr>
          <w:ilvl w:val="0"/>
          <w:numId w:val="2"/>
        </w:numPr>
        <w:rPr>
          <w:rFonts w:ascii="Arial" w:cs="Arial" w:eastAsia="Arial" w:hAnsi="Arial"/>
          <w:sz w:val="19"/>
          <w:szCs w:val="19"/>
          <w:color w:val="auto"/>
        </w:rPr>
      </w:pPr>
      <w:r>
        <w:rPr>
          <w:rFonts w:ascii="Arial" w:cs="Arial" w:eastAsia="Arial" w:hAnsi="Arial"/>
          <w:sz w:val="19"/>
          <w:szCs w:val="19"/>
          <w:color w:val="auto"/>
        </w:rPr>
        <w:t>Westwood held $76.6 million in cash and short-term investments as of September 30, 2021, down $15.7 million from the second quarter after a special dividend payment of $2.50 per common share, or $20.8 million, was paid in August.</w:t>
      </w: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Stockholders' equity was $115.7 million as of September 30, 2021 and we continue to have no debt.</w:t>
      </w:r>
    </w:p>
    <w:p>
      <w:pPr>
        <w:spacing w:after="0" w:line="111" w:lineRule="exact"/>
        <w:rPr>
          <w:rFonts w:ascii="Arial" w:cs="Arial" w:eastAsia="Arial" w:hAnsi="Arial"/>
          <w:sz w:val="22"/>
          <w:szCs w:val="22"/>
          <w:color w:val="auto"/>
        </w:rPr>
      </w:pPr>
    </w:p>
    <w:p>
      <w:pPr>
        <w:ind w:left="660" w:right="30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economic earnings of $3.7 million compared favorably with the second quarter's $2.8 million and a loss of $1.7 million a year ago.</w:t>
      </w:r>
    </w:p>
    <w:p>
      <w:pPr>
        <w:spacing w:after="0" w:line="66" w:lineRule="exact"/>
        <w:rPr>
          <w:rFonts w:ascii="Arial" w:cs="Arial" w:eastAsia="Arial" w:hAnsi="Arial"/>
          <w:sz w:val="22"/>
          <w:szCs w:val="22"/>
          <w:color w:val="auto"/>
        </w:rPr>
      </w:pPr>
    </w:p>
    <w:p>
      <w:pPr>
        <w:ind w:left="660" w:right="74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declared a cash dividend of $0.15 per common share, payable on January 3, 2022 to stockholders of record on December 3, 2021.</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Brian Casey, Westwood’s President and CEO, commented, "This was a quarter in which we made progress across a variety of fronts. We successfully deployed the terrific mandates won by our institutional team earlier in the year and our solid performance story continued to unfold as US Value and Multi-Asset turned in good performances versus benchmarks and peer universes. As the quarter drew to a close, we launched two new mutual funds and rolled out a new client portal to provide our Wealth clients with world-class access to their investments. I’m pleased to report that our financial performance also reflected the improving business environment and, after a special dividend of $2.50 per share was paid in August, the board decided to increase our regular quarterly dividend to $0.15 per share. That action, together with our stock repurchase program, underscore our commitment to protect and enhance shareowner value while continuing to invest in our people, products and processes to generate healthy organic growth for Westwood in the months and years ahead."</w:t>
      </w:r>
    </w:p>
    <w:p>
      <w:pPr>
        <w:spacing w:after="0" w:line="6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Revenues were comparable to the second quarter and higher than last year's third quarter reflecting higher average assets under management ("AUM"), partially offset by lower performance fees.</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AUM of $13.8 billion decreased from $14.4 billion at June 30, 2021, primarily due to net outflows and market depreciation.</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2"/>
          <w:szCs w:val="22"/>
          <w:color w:val="auto"/>
        </w:rPr>
        <w:t>Third quarter net income of $1.9 million exceeded the second quarter's $1.0 million due to the combination of somewhat higher revenues and lower operating expenses. Diluted earnings per share ("EPS") of $0.24 compared with $0.12 for the second quarter. Non-GAAP economic earnings of $3.7 million, or $0.47 per share, compared with economic earnings of $2.8 million, or $0.35 per share, in the second quarter.</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Third quarter net income of $1.9 million compared favorably with last year's third quarter net loss of $10.3 million primarily due to higher revenues on higher average AUM and several non-recurring items impacting the prior third quarter. Diluted EPS of $0.24 compared with a loss of $1.31 per share for last year's third quarter. Non-GAAP economic earnings were $3.7 million, or $0.47 per share, compared with economic losses of $1.7 million, or $0.22 per share, for the third quarter of 2020.</w:t>
      </w:r>
    </w:p>
    <w:p>
      <w:pPr>
        <w:spacing w:after="0" w:line="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Economic earnings (loss) and Economic EPS are non-GAAP performance measures and are explained and reconciled with the most comparable GAAP numbers in the attached tables.</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third quarter 2021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November 3, 2021 by dialing 855-859-2056 (U.S. and Canada) or 404-537-3406 (international) and entering the passcode 2546858.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 HOLDINGS GROUP</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Westwood Holdings Group, Inc. is an investment management boutique and wealth management firm. Westwood offers high-conviction equity and outcome-oriented solutions to institutional investors, private wealth clients and financial intermediaries. The firm specializes in the following distinct investment capabilities: U.S. Value Equity, Multi-Asset, and Liquid Alternatives, available through separate accounts, the Westwood Funds</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family of mutual funds and other pooled vehicles. Westwood benefits from significant, broad-based employee ownership and trades on the New York Stock Exchange under the symbol “WHG.” Based in Dallas, Westwood also maintains offices in Houston.</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w:t>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composition and market value of our AUM; our ability to maintain our fee structure in light of competitive fee pressures; our stockholder rights agreement may make it more difficult for others to obtain control over us, even if it would be beneficial to our stockholders;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w:t>
      </w:r>
    </w:p>
    <w:p>
      <w:pPr>
        <w:sectPr>
          <w:pgSz w:w="11900" w:h="16838" w:orient="portrait"/>
          <w:cols w:equalWidth="0" w:num="1">
            <w:col w:w="11240"/>
          </w:cols>
          <w:pgMar w:left="320" w:top="1009"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9"/>
          <w:szCs w:val="19"/>
          <w:color w:val="auto"/>
        </w:rPr>
        <w:t>traded and may be subject to volatility; in addition to our stockholder rights agreement, our organizational documents contain provisions that may prevent or deter another group from paying a premium over the market price to our stockholders to acquire our stock; competition in the investment management industry; our ability to avoid termination of client agreements and the related investment redemptions; the significant concentration of our revenues in a small number of customers; our relationships with investment consulting firms; the impact of the COVID-19 pandemic;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2020 and its quarterly report on Form 10-Q for the quarters ended March 31, 2021, June 30, 2021 and September 30, 2021.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240"/>
          </w:cols>
          <w:pgMar w:left="320" w:top="88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2021</w:t>
            </w:r>
          </w:p>
        </w:tc>
        <w:tc>
          <w:tcPr>
            <w:tcW w:w="160" w:type="dxa"/>
            <w:vAlign w:val="bottom"/>
          </w:tcPr>
          <w:p>
            <w:pPr>
              <w:spacing w:after="0"/>
              <w:rPr>
                <w:sz w:val="18"/>
                <w:szCs w:val="18"/>
                <w:color w:val="auto"/>
              </w:rPr>
            </w:pPr>
          </w:p>
        </w:tc>
        <w:tc>
          <w:tcPr>
            <w:tcW w:w="1640" w:type="dxa"/>
            <w:vAlign w:val="bottom"/>
          </w:tcPr>
          <w:p>
            <w:pPr>
              <w:jc w:val="right"/>
              <w:ind w:right="148"/>
              <w:spacing w:after="0"/>
              <w:rPr>
                <w:sz w:val="20"/>
                <w:szCs w:val="20"/>
                <w:color w:val="auto"/>
              </w:rPr>
            </w:pPr>
            <w:r>
              <w:rPr>
                <w:rFonts w:ascii="Arial" w:cs="Arial" w:eastAsia="Arial" w:hAnsi="Arial"/>
                <w:sz w:val="16"/>
                <w:szCs w:val="16"/>
                <w:b w:val="1"/>
                <w:bCs w:val="1"/>
                <w:color w:val="auto"/>
                <w:w w:val="93"/>
              </w:rPr>
              <w:t>September 30, 2020</w:t>
            </w:r>
          </w:p>
        </w:tc>
        <w:tc>
          <w:tcPr>
            <w:tcW w:w="0" w:type="dxa"/>
            <w:vAlign w:val="bottom"/>
          </w:tcPr>
          <w:p>
            <w:pPr>
              <w:spacing w:after="0"/>
              <w:rPr>
                <w:sz w:val="1"/>
                <w:szCs w:val="1"/>
                <w:color w:val="auto"/>
              </w:rPr>
            </w:pPr>
          </w:p>
        </w:tc>
      </w:tr>
      <w:tr>
        <w:trPr>
          <w:trHeight w:val="172"/>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40" w:type="dxa"/>
            <w:vAlign w:val="bottom"/>
          </w:tcPr>
          <w:p>
            <w:pPr>
              <w:ind w:left="360"/>
              <w:spacing w:after="0"/>
              <w:rPr>
                <w:sz w:val="20"/>
                <w:szCs w:val="20"/>
                <w:color w:val="auto"/>
              </w:rPr>
            </w:pPr>
            <w:r>
              <w:rPr>
                <w:rFonts w:ascii="Arial" w:cs="Arial" w:eastAsia="Arial" w:hAnsi="Arial"/>
                <w:sz w:val="14"/>
                <w:szCs w:val="14"/>
                <w:color w:val="auto"/>
              </w:rPr>
              <w:t>Advisory fees:</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Asset-based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8,847</w:t>
            </w:r>
          </w:p>
        </w:tc>
        <w:tc>
          <w:tcPr>
            <w:tcW w:w="0" w:type="dxa"/>
            <w:vAlign w:val="bottom"/>
          </w:tcPr>
          <w:p>
            <w:pPr>
              <w:spacing w:after="0"/>
              <w:rPr>
                <w:sz w:val="1"/>
                <w:szCs w:val="1"/>
                <w:color w:val="auto"/>
              </w:rPr>
            </w:pPr>
          </w:p>
        </w:tc>
      </w:tr>
      <w:tr>
        <w:trPr>
          <w:trHeight w:val="186"/>
        </w:trPr>
        <w:tc>
          <w:tcPr>
            <w:tcW w:w="5640" w:type="dxa"/>
            <w:vAlign w:val="bottom"/>
          </w:tcPr>
          <w:p>
            <w:pPr>
              <w:ind w:left="680"/>
              <w:spacing w:after="0"/>
              <w:rPr>
                <w:sz w:val="20"/>
                <w:szCs w:val="20"/>
                <w:color w:val="auto"/>
              </w:rPr>
            </w:pPr>
            <w:r>
              <w:rPr>
                <w:rFonts w:ascii="Arial" w:cs="Arial" w:eastAsia="Arial" w:hAnsi="Arial"/>
                <w:sz w:val="14"/>
                <w:szCs w:val="14"/>
                <w:color w:val="auto"/>
              </w:rPr>
              <w:t>Performance-based</w:t>
            </w:r>
          </w:p>
        </w:tc>
        <w:tc>
          <w:tcPr>
            <w:tcW w:w="160" w:type="dxa"/>
            <w:vAlign w:val="bottom"/>
          </w:tcPr>
          <w:p>
            <w:pPr>
              <w:spacing w:after="0"/>
              <w:rPr>
                <w:sz w:val="16"/>
                <w:szCs w:val="16"/>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Trust fees</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w:t>
            </w:r>
          </w:p>
        </w:tc>
        <w:tc>
          <w:tcPr>
            <w:tcW w:w="0" w:type="dxa"/>
            <w:vAlign w:val="bottom"/>
          </w:tcPr>
          <w:p>
            <w:pPr>
              <w:spacing w:after="0"/>
              <w:rPr>
                <w:sz w:val="1"/>
                <w:szCs w:val="1"/>
                <w:color w:val="auto"/>
              </w:rPr>
            </w:pPr>
          </w:p>
        </w:tc>
      </w:tr>
      <w:tr>
        <w:trPr>
          <w:trHeight w:val="186"/>
        </w:trPr>
        <w:tc>
          <w:tcPr>
            <w:tcW w:w="5640" w:type="dxa"/>
            <w:vAlign w:val="bottom"/>
          </w:tcPr>
          <w:p>
            <w:pPr>
              <w:ind w:left="360"/>
              <w:spacing w:after="0"/>
              <w:rPr>
                <w:sz w:val="20"/>
                <w:szCs w:val="20"/>
                <w:color w:val="auto"/>
              </w:rPr>
            </w:pPr>
            <w:r>
              <w:rPr>
                <w:rFonts w:ascii="Arial" w:cs="Arial" w:eastAsia="Arial" w:hAnsi="Arial"/>
                <w:sz w:val="14"/>
                <w:szCs w:val="14"/>
                <w:color w:val="auto"/>
              </w:rPr>
              <w:t>Trust performance-based fees</w:t>
            </w:r>
          </w:p>
        </w:tc>
        <w:tc>
          <w:tcPr>
            <w:tcW w:w="160" w:type="dxa"/>
            <w:vAlign w:val="bottom"/>
          </w:tcPr>
          <w:p>
            <w:pPr>
              <w:spacing w:after="0"/>
              <w:rPr>
                <w:sz w:val="16"/>
                <w:szCs w:val="16"/>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79"/>
        </w:trPr>
        <w:tc>
          <w:tcPr>
            <w:tcW w:w="564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17,860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17,484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15,454</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40" w:type="dxa"/>
            <w:vAlign w:val="bottom"/>
          </w:tcPr>
          <w:p>
            <w:pPr>
              <w:ind w:left="360"/>
              <w:spacing w:after="0"/>
              <w:rPr>
                <w:sz w:val="20"/>
                <w:szCs w:val="20"/>
                <w:color w:val="auto"/>
              </w:rPr>
            </w:pPr>
            <w:r>
              <w:rPr>
                <w:rFonts w:ascii="Arial" w:cs="Arial" w:eastAsia="Arial" w:hAnsi="Arial"/>
                <w:sz w:val="14"/>
                <w:szCs w:val="14"/>
                <w:color w:val="auto"/>
              </w:rPr>
              <w:t>Employee compensation and benefits</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10,268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10,237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9,515</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Sales and marketing</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86"/>
        </w:trPr>
        <w:tc>
          <w:tcPr>
            <w:tcW w:w="5640" w:type="dxa"/>
            <w:vAlign w:val="bottom"/>
          </w:tcPr>
          <w:p>
            <w:pPr>
              <w:ind w:left="360"/>
              <w:spacing w:after="0"/>
              <w:rPr>
                <w:sz w:val="20"/>
                <w:szCs w:val="20"/>
                <w:color w:val="auto"/>
              </w:rPr>
            </w:pPr>
            <w:r>
              <w:rPr>
                <w:rFonts w:ascii="Arial" w:cs="Arial" w:eastAsia="Arial" w:hAnsi="Arial"/>
                <w:sz w:val="14"/>
                <w:szCs w:val="14"/>
                <w:color w:val="auto"/>
              </w:rPr>
              <w:t>Westwood mutual funds</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Information technology</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2,158</w:t>
            </w:r>
          </w:p>
        </w:tc>
        <w:tc>
          <w:tcPr>
            <w:tcW w:w="0" w:type="dxa"/>
            <w:vAlign w:val="bottom"/>
          </w:tcPr>
          <w:p>
            <w:pPr>
              <w:spacing w:after="0"/>
              <w:rPr>
                <w:sz w:val="1"/>
                <w:szCs w:val="1"/>
                <w:color w:val="auto"/>
              </w:rPr>
            </w:pPr>
          </w:p>
        </w:tc>
      </w:tr>
      <w:tr>
        <w:trPr>
          <w:trHeight w:val="186"/>
        </w:trPr>
        <w:tc>
          <w:tcPr>
            <w:tcW w:w="5640" w:type="dxa"/>
            <w:vAlign w:val="bottom"/>
          </w:tcPr>
          <w:p>
            <w:pPr>
              <w:ind w:left="360"/>
              <w:spacing w:after="0"/>
              <w:rPr>
                <w:sz w:val="20"/>
                <w:szCs w:val="20"/>
                <w:color w:val="auto"/>
              </w:rPr>
            </w:pPr>
            <w:r>
              <w:rPr>
                <w:rFonts w:ascii="Arial" w:cs="Arial" w:eastAsia="Arial" w:hAnsi="Arial"/>
                <w:sz w:val="14"/>
                <w:szCs w:val="14"/>
                <w:color w:val="auto"/>
              </w:rPr>
              <w:t>Professional services</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w:t>
            </w:r>
          </w:p>
        </w:tc>
        <w:tc>
          <w:tcPr>
            <w:tcW w:w="0" w:type="dxa"/>
            <w:vAlign w:val="bottom"/>
          </w:tcPr>
          <w:p>
            <w:pPr>
              <w:spacing w:after="0"/>
              <w:rPr>
                <w:sz w:val="1"/>
                <w:szCs w:val="1"/>
                <w:color w:val="auto"/>
              </w:rPr>
            </w:pPr>
          </w:p>
        </w:tc>
      </w:tr>
      <w:tr>
        <w:trPr>
          <w:trHeight w:val="186"/>
        </w:trPr>
        <w:tc>
          <w:tcPr>
            <w:tcW w:w="5640" w:type="dxa"/>
            <w:vAlign w:val="bottom"/>
          </w:tcPr>
          <w:p>
            <w:pPr>
              <w:ind w:left="360"/>
              <w:spacing w:after="0"/>
              <w:rPr>
                <w:sz w:val="20"/>
                <w:szCs w:val="20"/>
                <w:color w:val="auto"/>
              </w:rPr>
            </w:pPr>
            <w:r>
              <w:rPr>
                <w:rFonts w:ascii="Arial" w:cs="Arial" w:eastAsia="Arial" w:hAnsi="Arial"/>
                <w:sz w:val="14"/>
                <w:szCs w:val="14"/>
                <w:color w:val="auto"/>
              </w:rPr>
              <w:t>Impairment expense</w:t>
            </w:r>
          </w:p>
        </w:tc>
        <w:tc>
          <w:tcPr>
            <w:tcW w:w="160" w:type="dxa"/>
            <w:vAlign w:val="bottom"/>
          </w:tcPr>
          <w:p>
            <w:pPr>
              <w:spacing w:after="0"/>
              <w:rPr>
                <w:sz w:val="16"/>
                <w:szCs w:val="16"/>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3,403</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foreign currency transactions</w:t>
            </w: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79"/>
        </w:trPr>
        <w:tc>
          <w:tcPr>
            <w:tcW w:w="56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15,816</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16,706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19,497</w:t>
            </w:r>
          </w:p>
        </w:tc>
        <w:tc>
          <w:tcPr>
            <w:tcW w:w="0" w:type="dxa"/>
            <w:vAlign w:val="bottom"/>
          </w:tcPr>
          <w:p>
            <w:pPr>
              <w:spacing w:after="0"/>
              <w:rPr>
                <w:sz w:val="1"/>
                <w:szCs w:val="1"/>
                <w:color w:val="auto"/>
              </w:rPr>
            </w:pPr>
          </w:p>
        </w:tc>
      </w:tr>
      <w:tr>
        <w:trPr>
          <w:trHeight w:val="186"/>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 (loss)</w:t>
            </w:r>
          </w:p>
        </w:tc>
        <w:tc>
          <w:tcPr>
            <w:tcW w:w="16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(4,043)</w:t>
            </w:r>
          </w:p>
        </w:tc>
        <w:tc>
          <w:tcPr>
            <w:tcW w:w="0" w:type="dxa"/>
            <w:vAlign w:val="bottom"/>
          </w:tcPr>
          <w:p>
            <w:pPr>
              <w:spacing w:after="0"/>
              <w:rPr>
                <w:sz w:val="1"/>
                <w:szCs w:val="1"/>
                <w:color w:val="auto"/>
              </w:rPr>
            </w:pPr>
          </w:p>
        </w:tc>
      </w:tr>
      <w:tr>
        <w:trPr>
          <w:trHeight w:val="179"/>
        </w:trPr>
        <w:tc>
          <w:tcPr>
            <w:tcW w:w="5640" w:type="dxa"/>
            <w:vAlign w:val="bottom"/>
          </w:tcPr>
          <w:p>
            <w:pPr>
              <w:ind w:left="360"/>
              <w:spacing w:after="0"/>
              <w:rPr>
                <w:sz w:val="20"/>
                <w:szCs w:val="20"/>
                <w:color w:val="auto"/>
              </w:rPr>
            </w:pPr>
            <w:r>
              <w:rPr>
                <w:rFonts w:ascii="Arial" w:cs="Arial" w:eastAsia="Arial" w:hAnsi="Arial"/>
                <w:sz w:val="14"/>
                <w:szCs w:val="14"/>
                <w:color w:val="auto"/>
              </w:rPr>
              <w:t>Realized gains on private investments</w:t>
            </w: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change in unrealized appreciation (depreciation) on private investments</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6"/>
        </w:trPr>
        <w:tc>
          <w:tcPr>
            <w:tcW w:w="5640" w:type="dxa"/>
            <w:vAlign w:val="bottom"/>
          </w:tcPr>
          <w:p>
            <w:pPr>
              <w:ind w:left="360"/>
              <w:spacing w:after="0"/>
              <w:rPr>
                <w:sz w:val="20"/>
                <w:szCs w:val="20"/>
                <w:color w:val="auto"/>
              </w:rPr>
            </w:pPr>
            <w:r>
              <w:rPr>
                <w:rFonts w:ascii="Arial" w:cs="Arial" w:eastAsia="Arial" w:hAnsi="Arial"/>
                <w:sz w:val="14"/>
                <w:szCs w:val="14"/>
                <w:color w:val="auto"/>
              </w:rPr>
              <w:t>Investment income</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5"/>
        </w:trPr>
        <w:tc>
          <w:tcPr>
            <w:tcW w:w="5640" w:type="dxa"/>
            <w:vAlign w:val="bottom"/>
          </w:tcPr>
          <w:p>
            <w:pPr>
              <w:ind w:left="360"/>
              <w:spacing w:after="0" w:line="135" w:lineRule="exact"/>
              <w:rPr>
                <w:sz w:val="20"/>
                <w:szCs w:val="20"/>
                <w:color w:val="auto"/>
              </w:rPr>
            </w:pPr>
            <w:r>
              <w:rPr>
                <w:rFonts w:ascii="Arial" w:cs="Arial" w:eastAsia="Arial" w:hAnsi="Arial"/>
                <w:sz w:val="14"/>
                <w:szCs w:val="14"/>
                <w:color w:val="auto"/>
                <w:w w:val="94"/>
              </w:rPr>
              <w:t>Foreign currency translation adjustments to net income (loss) upon liquidation of a foreign</w:t>
            </w:r>
          </w:p>
        </w:tc>
        <w:tc>
          <w:tcPr>
            <w:tcW w:w="160" w:type="dxa"/>
            <w:vAlign w:val="bottom"/>
          </w:tcPr>
          <w:p>
            <w:pPr>
              <w:spacing w:after="0"/>
              <w:rPr>
                <w:sz w:val="11"/>
                <w:szCs w:val="11"/>
                <w:color w:val="auto"/>
              </w:rPr>
            </w:pP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186"/>
        </w:trPr>
        <w:tc>
          <w:tcPr>
            <w:tcW w:w="5640" w:type="dxa"/>
            <w:vAlign w:val="bottom"/>
          </w:tcPr>
          <w:p>
            <w:pPr>
              <w:ind w:left="360"/>
              <w:spacing w:after="0"/>
              <w:rPr>
                <w:sz w:val="20"/>
                <w:szCs w:val="20"/>
                <w:color w:val="auto"/>
              </w:rPr>
            </w:pPr>
            <w:r>
              <w:rPr>
                <w:rFonts w:ascii="Arial" w:cs="Arial" w:eastAsia="Arial" w:hAnsi="Arial"/>
                <w:sz w:val="14"/>
                <w:szCs w:val="14"/>
                <w:color w:val="auto"/>
              </w:rPr>
              <w:t>subsidiary</w:t>
            </w:r>
          </w:p>
        </w:tc>
        <w:tc>
          <w:tcPr>
            <w:tcW w:w="16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(8,318)</w:t>
            </w:r>
          </w:p>
        </w:tc>
        <w:tc>
          <w:tcPr>
            <w:tcW w:w="0" w:type="dxa"/>
            <w:vAlign w:val="bottom"/>
          </w:tcPr>
          <w:p>
            <w:pPr>
              <w:spacing w:after="0"/>
              <w:rPr>
                <w:sz w:val="1"/>
                <w:szCs w:val="1"/>
                <w:color w:val="auto"/>
              </w:rPr>
            </w:pPr>
          </w:p>
        </w:tc>
      </w:tr>
      <w:tr>
        <w:trPr>
          <w:trHeight w:val="179"/>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Other comprehensive income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Foreign currency translation adjustments</w:t>
            </w: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35"/>
        </w:trPr>
        <w:tc>
          <w:tcPr>
            <w:tcW w:w="5640" w:type="dxa"/>
            <w:vAlign w:val="bottom"/>
          </w:tcPr>
          <w:p>
            <w:pPr>
              <w:ind w:left="360"/>
              <w:spacing w:after="0" w:line="135" w:lineRule="exact"/>
              <w:rPr>
                <w:sz w:val="20"/>
                <w:szCs w:val="20"/>
                <w:color w:val="auto"/>
              </w:rPr>
            </w:pPr>
            <w:r>
              <w:rPr>
                <w:rFonts w:ascii="Arial" w:cs="Arial" w:eastAsia="Arial" w:hAnsi="Arial"/>
                <w:sz w:val="14"/>
                <w:szCs w:val="14"/>
                <w:color w:val="auto"/>
                <w:w w:val="94"/>
              </w:rPr>
              <w:t>Reclassification of cumulative foreign currency translation adjustments to net income upon</w:t>
            </w:r>
          </w:p>
        </w:tc>
        <w:tc>
          <w:tcPr>
            <w:tcW w:w="160" w:type="dxa"/>
            <w:vAlign w:val="bottom"/>
          </w:tcPr>
          <w:p>
            <w:pPr>
              <w:spacing w:after="0"/>
              <w:rPr>
                <w:sz w:val="11"/>
                <w:szCs w:val="11"/>
                <w:color w:val="auto"/>
              </w:rPr>
            </w:pP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186"/>
        </w:trPr>
        <w:tc>
          <w:tcPr>
            <w:tcW w:w="5640" w:type="dxa"/>
            <w:vAlign w:val="bottom"/>
          </w:tcPr>
          <w:p>
            <w:pPr>
              <w:ind w:left="360"/>
              <w:spacing w:after="0"/>
              <w:rPr>
                <w:sz w:val="20"/>
                <w:szCs w:val="20"/>
                <w:color w:val="auto"/>
              </w:rPr>
            </w:pPr>
            <w:r>
              <w:rPr>
                <w:rFonts w:ascii="Arial" w:cs="Arial" w:eastAsia="Arial" w:hAnsi="Arial"/>
                <w:sz w:val="14"/>
                <w:szCs w:val="14"/>
                <w:color w:val="auto"/>
              </w:rPr>
              <w:t>liquidation of a foreign subsidiary</w:t>
            </w:r>
          </w:p>
        </w:tc>
        <w:tc>
          <w:tcPr>
            <w:tcW w:w="16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40" w:type="dxa"/>
            <w:vAlign w:val="bottom"/>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94"/>
        </w:trPr>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40" w:type="dxa"/>
            <w:vAlign w:val="bottom"/>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7,887,259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7,884,774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7,829,478</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7,956,081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7,928,106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7,829,478</w:t>
            </w:r>
          </w:p>
        </w:tc>
        <w:tc>
          <w:tcPr>
            <w:tcW w:w="0" w:type="dxa"/>
            <w:vAlign w:val="bottom"/>
          </w:tcPr>
          <w:p>
            <w:pPr>
              <w:spacing w:after="0"/>
              <w:rPr>
                <w:sz w:val="1"/>
                <w:szCs w:val="1"/>
                <w:color w:val="auto"/>
              </w:rPr>
            </w:pPr>
          </w:p>
        </w:tc>
      </w:tr>
      <w:tr>
        <w:trPr>
          <w:trHeight w:val="95"/>
        </w:trPr>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Economic Earnings (Loss)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186"/>
        </w:trPr>
        <w:tc>
          <w:tcPr>
            <w:tcW w:w="5640" w:type="dxa"/>
            <w:vAlign w:val="bottom"/>
          </w:tcPr>
          <w:p>
            <w:pPr>
              <w:ind w:left="20"/>
              <w:spacing w:after="0"/>
              <w:rPr>
                <w:sz w:val="20"/>
                <w:szCs w:val="20"/>
                <w:color w:val="auto"/>
              </w:rPr>
            </w:pPr>
            <w:r>
              <w:rPr>
                <w:rFonts w:ascii="Arial" w:cs="Arial" w:eastAsia="Arial" w:hAnsi="Arial"/>
                <w:sz w:val="14"/>
                <w:szCs w:val="14"/>
                <w:color w:val="auto"/>
              </w:rPr>
              <w:t>Economic EPS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98"/>
        </w:trPr>
        <w:tc>
          <w:tcPr>
            <w:tcW w:w="56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5640" w:type="dxa"/>
            <w:vAlign w:val="bottom"/>
          </w:tcPr>
          <w:p>
            <w:pPr>
              <w:ind w:left="20"/>
              <w:spacing w:after="0"/>
              <w:rPr>
                <w:sz w:val="20"/>
                <w:szCs w:val="20"/>
                <w:color w:val="auto"/>
              </w:rPr>
            </w:pPr>
            <w:r>
              <w:rPr>
                <w:rFonts w:ascii="Arial" w:cs="Arial" w:eastAsia="Arial" w:hAnsi="Arial"/>
                <w:sz w:val="14"/>
                <w:szCs w:val="14"/>
                <w:color w:val="auto"/>
              </w:rPr>
              <w:t>Dividends declared per share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110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660" w:type="dxa"/>
            <w:vAlign w:val="bottom"/>
          </w:tcPr>
          <w:p>
            <w:pPr>
              <w:jc w:val="right"/>
              <w:ind w:right="168"/>
              <w:spacing w:after="0"/>
              <w:rPr>
                <w:sz w:val="20"/>
                <w:szCs w:val="20"/>
                <w:color w:val="auto"/>
              </w:rPr>
            </w:pPr>
            <w:r>
              <w:rPr>
                <w:rFonts w:ascii="Arial" w:cs="Arial" w:eastAsia="Arial" w:hAnsi="Arial"/>
                <w:sz w:val="16"/>
                <w:szCs w:val="16"/>
                <w:b w:val="1"/>
                <w:bCs w:val="1"/>
                <w:color w:val="auto"/>
                <w:w w:val="93"/>
              </w:rPr>
              <w:t>September 30, 2020</w:t>
            </w:r>
          </w:p>
        </w:tc>
        <w:tc>
          <w:tcPr>
            <w:tcW w:w="0" w:type="dxa"/>
            <w:vAlign w:val="bottom"/>
          </w:tcPr>
          <w:p>
            <w:pPr>
              <w:spacing w:after="0"/>
              <w:rPr>
                <w:sz w:val="1"/>
                <w:szCs w:val="1"/>
                <w:color w:val="auto"/>
              </w:rPr>
            </w:pPr>
          </w:p>
        </w:tc>
      </w:tr>
      <w:tr>
        <w:trPr>
          <w:trHeight w:val="172"/>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480" w:type="dxa"/>
            <w:vAlign w:val="bottom"/>
          </w:tcPr>
          <w:p>
            <w:pPr>
              <w:ind w:left="360"/>
              <w:spacing w:after="0"/>
              <w:rPr>
                <w:sz w:val="20"/>
                <w:szCs w:val="20"/>
                <w:color w:val="auto"/>
              </w:rPr>
            </w:pPr>
            <w:r>
              <w:rPr>
                <w:rFonts w:ascii="Arial" w:cs="Arial" w:eastAsia="Arial" w:hAnsi="Arial"/>
                <w:sz w:val="14"/>
                <w:szCs w:val="14"/>
                <w:color w:val="auto"/>
              </w:rPr>
              <w:t>Advisory fees:</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Asset-based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29,277</w:t>
            </w:r>
          </w:p>
        </w:tc>
        <w:tc>
          <w:tcPr>
            <w:tcW w:w="0" w:type="dxa"/>
            <w:vAlign w:val="bottom"/>
          </w:tcPr>
          <w:p>
            <w:pPr>
              <w:spacing w:after="0"/>
              <w:rPr>
                <w:sz w:val="1"/>
                <w:szCs w:val="1"/>
                <w:color w:val="auto"/>
              </w:rPr>
            </w:pPr>
          </w:p>
        </w:tc>
      </w:tr>
      <w:tr>
        <w:trPr>
          <w:trHeight w:val="186"/>
        </w:trPr>
        <w:tc>
          <w:tcPr>
            <w:tcW w:w="7480" w:type="dxa"/>
            <w:vAlign w:val="bottom"/>
          </w:tcPr>
          <w:p>
            <w:pPr>
              <w:ind w:left="680"/>
              <w:spacing w:after="0"/>
              <w:rPr>
                <w:sz w:val="20"/>
                <w:szCs w:val="20"/>
                <w:color w:val="auto"/>
              </w:rPr>
            </w:pPr>
            <w:r>
              <w:rPr>
                <w:rFonts w:ascii="Arial" w:cs="Arial" w:eastAsia="Arial" w:hAnsi="Arial"/>
                <w:sz w:val="14"/>
                <w:szCs w:val="14"/>
                <w:color w:val="auto"/>
              </w:rPr>
              <w:t>Performance-based</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Trust fees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17,395</w:t>
            </w:r>
          </w:p>
        </w:tc>
        <w:tc>
          <w:tcPr>
            <w:tcW w:w="0" w:type="dxa"/>
            <w:vAlign w:val="bottom"/>
          </w:tcPr>
          <w:p>
            <w:pPr>
              <w:spacing w:after="0"/>
              <w:rPr>
                <w:sz w:val="1"/>
                <w:szCs w:val="1"/>
                <w:color w:val="auto"/>
              </w:rPr>
            </w:pPr>
          </w:p>
        </w:tc>
      </w:tr>
      <w:tr>
        <w:trPr>
          <w:trHeight w:val="186"/>
        </w:trPr>
        <w:tc>
          <w:tcPr>
            <w:tcW w:w="7480" w:type="dxa"/>
            <w:vAlign w:val="bottom"/>
          </w:tcPr>
          <w:p>
            <w:pPr>
              <w:ind w:left="360"/>
              <w:spacing w:after="0"/>
              <w:rPr>
                <w:sz w:val="20"/>
                <w:szCs w:val="20"/>
                <w:color w:val="auto"/>
              </w:rPr>
            </w:pPr>
            <w:r>
              <w:rPr>
                <w:rFonts w:ascii="Arial" w:cs="Arial" w:eastAsia="Arial" w:hAnsi="Arial"/>
                <w:sz w:val="14"/>
                <w:szCs w:val="14"/>
                <w:color w:val="auto"/>
              </w:rPr>
              <w:t>Trust performance-based fees</w:t>
            </w:r>
          </w:p>
        </w:tc>
        <w:tc>
          <w:tcPr>
            <w:tcW w:w="160" w:type="dxa"/>
            <w:vAlign w:val="bottom"/>
          </w:tcPr>
          <w:p>
            <w:pPr>
              <w:spacing w:after="0"/>
              <w:rPr>
                <w:sz w:val="16"/>
                <w:szCs w:val="16"/>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79"/>
        </w:trPr>
        <w:tc>
          <w:tcPr>
            <w:tcW w:w="748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53,663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47,998</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80" w:type="dxa"/>
            <w:vAlign w:val="bottom"/>
          </w:tcPr>
          <w:p>
            <w:pPr>
              <w:ind w:left="360"/>
              <w:spacing w:after="0"/>
              <w:rPr>
                <w:sz w:val="20"/>
                <w:szCs w:val="20"/>
                <w:color w:val="auto"/>
              </w:rPr>
            </w:pPr>
            <w:r>
              <w:rPr>
                <w:rFonts w:ascii="Arial" w:cs="Arial" w:eastAsia="Arial" w:hAnsi="Arial"/>
                <w:sz w:val="14"/>
                <w:szCs w:val="14"/>
                <w:color w:val="auto"/>
              </w:rPr>
              <w:t>Employee compensation and benefits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32,053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32,970</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Sales and marketing</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86"/>
        </w:trPr>
        <w:tc>
          <w:tcPr>
            <w:tcW w:w="7480" w:type="dxa"/>
            <w:vAlign w:val="bottom"/>
          </w:tcPr>
          <w:p>
            <w:pPr>
              <w:ind w:left="360"/>
              <w:spacing w:after="0"/>
              <w:rPr>
                <w:sz w:val="20"/>
                <w:szCs w:val="20"/>
                <w:color w:val="auto"/>
              </w:rPr>
            </w:pPr>
            <w:r>
              <w:rPr>
                <w:rFonts w:ascii="Arial" w:cs="Arial" w:eastAsia="Arial" w:hAnsi="Arial"/>
                <w:sz w:val="14"/>
                <w:szCs w:val="14"/>
                <w:color w:val="auto"/>
              </w:rPr>
              <w:t>Westwood mutual funds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1,573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Information technology</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6,219</w:t>
            </w:r>
          </w:p>
        </w:tc>
        <w:tc>
          <w:tcPr>
            <w:tcW w:w="0" w:type="dxa"/>
            <w:vAlign w:val="bottom"/>
          </w:tcPr>
          <w:p>
            <w:pPr>
              <w:spacing w:after="0"/>
              <w:rPr>
                <w:sz w:val="1"/>
                <w:szCs w:val="1"/>
                <w:color w:val="auto"/>
              </w:rPr>
            </w:pPr>
          </w:p>
        </w:tc>
      </w:tr>
      <w:tr>
        <w:trPr>
          <w:trHeight w:val="186"/>
        </w:trPr>
        <w:tc>
          <w:tcPr>
            <w:tcW w:w="7480" w:type="dxa"/>
            <w:vAlign w:val="bottom"/>
          </w:tcPr>
          <w:p>
            <w:pPr>
              <w:ind w:left="360"/>
              <w:spacing w:after="0"/>
              <w:rPr>
                <w:sz w:val="20"/>
                <w:szCs w:val="20"/>
                <w:color w:val="auto"/>
              </w:rPr>
            </w:pPr>
            <w:r>
              <w:rPr>
                <w:rFonts w:ascii="Arial" w:cs="Arial" w:eastAsia="Arial" w:hAnsi="Arial"/>
                <w:sz w:val="14"/>
                <w:szCs w:val="14"/>
                <w:color w:val="auto"/>
              </w:rPr>
              <w:t>Professional services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3,471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3,217</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6,830</w:t>
            </w:r>
          </w:p>
        </w:tc>
        <w:tc>
          <w:tcPr>
            <w:tcW w:w="0" w:type="dxa"/>
            <w:vAlign w:val="bottom"/>
          </w:tcPr>
          <w:p>
            <w:pPr>
              <w:spacing w:after="0"/>
              <w:rPr>
                <w:sz w:val="1"/>
                <w:szCs w:val="1"/>
                <w:color w:val="auto"/>
              </w:rPr>
            </w:pPr>
          </w:p>
        </w:tc>
      </w:tr>
      <w:tr>
        <w:trPr>
          <w:trHeight w:val="186"/>
        </w:trPr>
        <w:tc>
          <w:tcPr>
            <w:tcW w:w="7480" w:type="dxa"/>
            <w:vAlign w:val="bottom"/>
          </w:tcPr>
          <w:p>
            <w:pPr>
              <w:ind w:left="360"/>
              <w:spacing w:after="0"/>
              <w:rPr>
                <w:sz w:val="20"/>
                <w:szCs w:val="20"/>
                <w:color w:val="auto"/>
              </w:rPr>
            </w:pPr>
            <w:r>
              <w:rPr>
                <w:rFonts w:ascii="Arial" w:cs="Arial" w:eastAsia="Arial" w:hAnsi="Arial"/>
                <w:sz w:val="14"/>
                <w:szCs w:val="14"/>
                <w:color w:val="auto"/>
              </w:rPr>
              <w:t>Impairment expense</w:t>
            </w:r>
          </w:p>
        </w:tc>
        <w:tc>
          <w:tcPr>
            <w:tcW w:w="160" w:type="dxa"/>
            <w:vAlign w:val="bottom"/>
          </w:tcPr>
          <w:p>
            <w:pPr>
              <w:spacing w:after="0"/>
              <w:rPr>
                <w:sz w:val="16"/>
                <w:szCs w:val="16"/>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3,403</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foreign currency transactions</w:t>
            </w:r>
          </w:p>
        </w:tc>
        <w:tc>
          <w:tcPr>
            <w:tcW w:w="1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179"/>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50,072</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53,759</w:t>
            </w:r>
          </w:p>
        </w:tc>
        <w:tc>
          <w:tcPr>
            <w:tcW w:w="0" w:type="dxa"/>
            <w:vAlign w:val="bottom"/>
          </w:tcPr>
          <w:p>
            <w:pPr>
              <w:spacing w:after="0"/>
              <w:rPr>
                <w:sz w:val="1"/>
                <w:szCs w:val="1"/>
                <w:color w:val="auto"/>
              </w:rPr>
            </w:pPr>
          </w:p>
        </w:tc>
      </w:tr>
      <w:tr>
        <w:trPr>
          <w:trHeight w:val="186"/>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 (loss)</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(5,761)</w:t>
            </w:r>
          </w:p>
        </w:tc>
        <w:tc>
          <w:tcPr>
            <w:tcW w:w="0" w:type="dxa"/>
            <w:vAlign w:val="bottom"/>
          </w:tcPr>
          <w:p>
            <w:pPr>
              <w:spacing w:after="0"/>
              <w:rPr>
                <w:sz w:val="1"/>
                <w:szCs w:val="1"/>
                <w:color w:val="auto"/>
              </w:rPr>
            </w:pPr>
          </w:p>
        </w:tc>
      </w:tr>
      <w:tr>
        <w:trPr>
          <w:trHeight w:val="179"/>
        </w:trPr>
        <w:tc>
          <w:tcPr>
            <w:tcW w:w="7480" w:type="dxa"/>
            <w:vAlign w:val="bottom"/>
          </w:tcPr>
          <w:p>
            <w:pPr>
              <w:ind w:left="360"/>
              <w:spacing w:after="0"/>
              <w:rPr>
                <w:sz w:val="20"/>
                <w:szCs w:val="20"/>
                <w:color w:val="auto"/>
              </w:rPr>
            </w:pPr>
            <w:r>
              <w:rPr>
                <w:rFonts w:ascii="Arial" w:cs="Arial" w:eastAsia="Arial" w:hAnsi="Arial"/>
                <w:sz w:val="14"/>
                <w:szCs w:val="14"/>
                <w:color w:val="auto"/>
              </w:rPr>
              <w:t>Realized gains on private investments</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8,371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change in unrealized appreciation (depreciation) on private investments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86"/>
        </w:trPr>
        <w:tc>
          <w:tcPr>
            <w:tcW w:w="7480" w:type="dxa"/>
            <w:vAlign w:val="bottom"/>
          </w:tcPr>
          <w:p>
            <w:pPr>
              <w:ind w:left="360"/>
              <w:spacing w:after="0"/>
              <w:rPr>
                <w:sz w:val="20"/>
                <w:szCs w:val="20"/>
                <w:color w:val="auto"/>
              </w:rPr>
            </w:pPr>
            <w:r>
              <w:rPr>
                <w:rFonts w:ascii="Arial" w:cs="Arial" w:eastAsia="Arial" w:hAnsi="Arial"/>
                <w:sz w:val="14"/>
                <w:szCs w:val="14"/>
                <w:color w:val="auto"/>
              </w:rPr>
              <w:t>Investment income</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6"/>
        </w:trPr>
        <w:tc>
          <w:tcPr>
            <w:tcW w:w="7480" w:type="dxa"/>
            <w:vAlign w:val="bottom"/>
          </w:tcPr>
          <w:p>
            <w:pPr>
              <w:ind w:left="360"/>
              <w:spacing w:after="0"/>
              <w:rPr>
                <w:sz w:val="20"/>
                <w:szCs w:val="20"/>
                <w:color w:val="auto"/>
              </w:rPr>
            </w:pPr>
            <w:r>
              <w:rPr>
                <w:rFonts w:ascii="Arial" w:cs="Arial" w:eastAsia="Arial" w:hAnsi="Arial"/>
                <w:sz w:val="14"/>
                <w:szCs w:val="14"/>
                <w:color w:val="auto"/>
              </w:rPr>
              <w:t>Foreign currency translation adjustments to net income (loss) upon liquidation of a foreign subsidiary</w:t>
            </w:r>
          </w:p>
        </w:tc>
        <w:tc>
          <w:tcPr>
            <w:tcW w:w="160" w:type="dxa"/>
            <w:vAlign w:val="bottom"/>
          </w:tcPr>
          <w:p>
            <w:pPr>
              <w:spacing w:after="0"/>
              <w:rPr>
                <w:sz w:val="16"/>
                <w:szCs w:val="16"/>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186"/>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(10,136)</w:t>
            </w:r>
          </w:p>
        </w:tc>
        <w:tc>
          <w:tcPr>
            <w:tcW w:w="0" w:type="dxa"/>
            <w:vAlign w:val="bottom"/>
          </w:tcPr>
          <w:p>
            <w:pPr>
              <w:spacing w:after="0"/>
              <w:rPr>
                <w:sz w:val="1"/>
                <w:szCs w:val="1"/>
                <w:color w:val="auto"/>
              </w:rPr>
            </w:pPr>
          </w:p>
        </w:tc>
      </w:tr>
      <w:tr>
        <w:trPr>
          <w:trHeight w:val="179"/>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20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(11,762)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Other comprehensive income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4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Foreign currency translation adjustments</w:t>
            </w:r>
          </w:p>
        </w:tc>
        <w:tc>
          <w:tcPr>
            <w:tcW w:w="1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35"/>
        </w:trPr>
        <w:tc>
          <w:tcPr>
            <w:tcW w:w="7480" w:type="dxa"/>
            <w:vAlign w:val="bottom"/>
          </w:tcPr>
          <w:p>
            <w:pPr>
              <w:ind w:left="340"/>
              <w:spacing w:after="0" w:line="135" w:lineRule="exact"/>
              <w:rPr>
                <w:sz w:val="20"/>
                <w:szCs w:val="20"/>
                <w:color w:val="auto"/>
              </w:rPr>
            </w:pPr>
            <w:r>
              <w:rPr>
                <w:rFonts w:ascii="Arial" w:cs="Arial" w:eastAsia="Arial" w:hAnsi="Arial"/>
                <w:sz w:val="14"/>
                <w:szCs w:val="14"/>
                <w:color w:val="auto"/>
                <w:w w:val="96"/>
              </w:rPr>
              <w:t>Reclassification of cumulative foreign currency translation adjustments to net income (loss) upon liquidation of a foreign</w:t>
            </w:r>
          </w:p>
        </w:tc>
        <w:tc>
          <w:tcPr>
            <w:tcW w:w="160" w:type="dxa"/>
            <w:vAlign w:val="bottom"/>
          </w:tcPr>
          <w:p>
            <w:pPr>
              <w:spacing w:after="0"/>
              <w:rPr>
                <w:sz w:val="11"/>
                <w:szCs w:val="11"/>
                <w:color w:val="auto"/>
              </w:rPr>
            </w:pPr>
          </w:p>
        </w:tc>
        <w:tc>
          <w:tcPr>
            <w:tcW w:w="1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186"/>
        </w:trPr>
        <w:tc>
          <w:tcPr>
            <w:tcW w:w="7480" w:type="dxa"/>
            <w:vAlign w:val="bottom"/>
          </w:tcPr>
          <w:p>
            <w:pPr>
              <w:ind w:left="340"/>
              <w:spacing w:after="0"/>
              <w:rPr>
                <w:sz w:val="20"/>
                <w:szCs w:val="20"/>
                <w:color w:val="auto"/>
              </w:rPr>
            </w:pPr>
            <w:r>
              <w:rPr>
                <w:rFonts w:ascii="Arial" w:cs="Arial" w:eastAsia="Arial" w:hAnsi="Arial"/>
                <w:sz w:val="14"/>
                <w:szCs w:val="14"/>
                <w:color w:val="auto"/>
              </w:rPr>
              <w:t>subsidiary</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(8,819)</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80" w:type="dxa"/>
            <w:vAlign w:val="bottom"/>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0.88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95"/>
        </w:trPr>
        <w:tc>
          <w:tcPr>
            <w:tcW w:w="7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80" w:type="dxa"/>
            <w:vAlign w:val="bottom"/>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7,886,359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8,040,417</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7,933,860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8,040,417</w:t>
            </w:r>
          </w:p>
        </w:tc>
        <w:tc>
          <w:tcPr>
            <w:tcW w:w="0" w:type="dxa"/>
            <w:vAlign w:val="bottom"/>
          </w:tcPr>
          <w:p>
            <w:pPr>
              <w:spacing w:after="0"/>
              <w:rPr>
                <w:sz w:val="1"/>
                <w:szCs w:val="1"/>
                <w:color w:val="auto"/>
              </w:rPr>
            </w:pPr>
          </w:p>
        </w:tc>
      </w:tr>
      <w:tr>
        <w:trPr>
          <w:trHeight w:val="95"/>
        </w:trPr>
        <w:tc>
          <w:tcPr>
            <w:tcW w:w="7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Economic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86"/>
        </w:trPr>
        <w:tc>
          <w:tcPr>
            <w:tcW w:w="7480" w:type="dxa"/>
            <w:vAlign w:val="bottom"/>
          </w:tcPr>
          <w:p>
            <w:pPr>
              <w:ind w:left="20"/>
              <w:spacing w:after="0"/>
              <w:rPr>
                <w:sz w:val="20"/>
                <w:szCs w:val="20"/>
                <w:color w:val="auto"/>
              </w:rPr>
            </w:pPr>
            <w:r>
              <w:rPr>
                <w:rFonts w:ascii="Arial" w:cs="Arial" w:eastAsia="Arial" w:hAnsi="Arial"/>
                <w:sz w:val="14"/>
                <w:szCs w:val="14"/>
                <w:color w:val="auto"/>
              </w:rPr>
              <w:t>Economic EPS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98"/>
        </w:trPr>
        <w:tc>
          <w:tcPr>
            <w:tcW w:w="7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480" w:type="dxa"/>
            <w:vAlign w:val="bottom"/>
          </w:tcPr>
          <w:p>
            <w:pPr>
              <w:ind w:left="20"/>
              <w:spacing w:after="0"/>
              <w:rPr>
                <w:sz w:val="20"/>
                <w:szCs w:val="20"/>
                <w:color w:val="auto"/>
              </w:rPr>
            </w:pPr>
            <w:r>
              <w:rPr>
                <w:rFonts w:ascii="Arial" w:cs="Arial" w:eastAsia="Arial" w:hAnsi="Arial"/>
                <w:sz w:val="14"/>
                <w:szCs w:val="14"/>
                <w:color w:val="auto"/>
              </w:rPr>
              <w:t>Dividends declared per share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38" w:right="339" w:bottom="1440" w:gutter="0" w:footer="0" w:header="0"/>
        </w:sectPr>
      </w:pPr>
    </w:p>
    <w:bookmarkStart w:id="8" w:name="page9"/>
    <w:bookmarkEnd w:id="8"/>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w:t>
      </w:r>
    </w:p>
    <w:p>
      <w:pPr>
        <w:spacing w:after="0"/>
        <w:rPr>
          <w:sz w:val="20"/>
          <w:szCs w:val="20"/>
          <w:color w:val="auto"/>
        </w:rPr>
      </w:pPr>
      <w:r>
        <w:rPr>
          <w:rFonts w:ascii="Arial" w:cs="Arial" w:eastAsia="Arial" w:hAnsi="Arial"/>
          <w:sz w:val="20"/>
          <w:szCs w:val="20"/>
          <w:b w:val="1"/>
          <w:bCs w:val="1"/>
          <w:color w:val="auto"/>
        </w:rPr>
        <w:t>(in thousands, except par value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1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9,785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at fair value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69,542</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88,870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96,314</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Noncurrent investments at fair value</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12,317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13,535</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$8,456 and $8,056</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52,838</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149,152</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 payable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stock repurchases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Accrued dividends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Common stock, $0.01 par value, authorized 25,000,000 shares, issued 10,658,681 and outstanding</w:t>
            </w: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8,296,864 shares at September 30, 2021; issued 10,500,549 and outstanding 8,326,948 shares at</w:t>
            </w:r>
          </w:p>
        </w:tc>
        <w:tc>
          <w:tcPr>
            <w:tcW w:w="20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2020</w:t>
            </w:r>
          </w:p>
        </w:tc>
        <w:tc>
          <w:tcPr>
            <w:tcW w:w="20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193,901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210,268</w:t>
            </w:r>
          </w:p>
        </w:tc>
        <w:tc>
          <w:tcPr>
            <w:tcW w:w="0" w:type="dxa"/>
            <w:vAlign w:val="bottom"/>
          </w:tcPr>
          <w:p>
            <w:pPr>
              <w:spacing w:after="0"/>
              <w:rPr>
                <w:sz w:val="1"/>
                <w:szCs w:val="1"/>
                <w:color w:val="auto"/>
              </w:rPr>
            </w:pPr>
          </w:p>
        </w:tc>
      </w:tr>
      <w:tr>
        <w:trPr>
          <w:trHeight w:val="175"/>
        </w:trPr>
        <w:tc>
          <w:tcPr>
            <w:tcW w:w="74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Treasury stock, at cost - 2,361,817 shares at September 30, 2021; 2,173,559 shares at December 31,</w:t>
            </w:r>
          </w:p>
        </w:tc>
        <w:tc>
          <w:tcPr>
            <w:tcW w:w="20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(77,967)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130,711</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149,152</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rPr>
          <w:sz w:val="20"/>
          <w:szCs w:val="20"/>
          <w:color w:val="auto"/>
        </w:rPr>
      </w:pPr>
      <w:r>
        <w:rPr>
          <w:rFonts w:ascii="Arial" w:cs="Arial" w:eastAsia="Arial" w:hAnsi="Arial"/>
          <w:sz w:val="20"/>
          <w:szCs w:val="20"/>
          <w:b w:val="1"/>
          <w:bCs w:val="1"/>
          <w:color w:val="auto"/>
        </w:rPr>
        <w:t>(in thousands)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0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6,950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(11,762)</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Depreciation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Net change in unrealized (appreciation) depreciation on investments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1,132</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on private investments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5,409</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Non-cash lease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1,253</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asset disposition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Impairment of goodwill</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3,403</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Currency translation adjustment reclassification</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(purchases) sales of trading securities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(11,891)</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3,634</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Compensation and benefits payable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Income taxes payable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r>
      <w:tr>
        <w:trPr>
          <w:trHeight w:val="207"/>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operating activities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(7,082)</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Sale of investments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 of property and equipment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investments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Purchases of treasury stock</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(12,952)</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treasury stock for employee stock plans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Restricted stock returned for payment of taxes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(1,120)</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(22,125)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(11,043)</w:t>
            </w:r>
          </w:p>
        </w:tc>
      </w:tr>
      <w:tr>
        <w:trPr>
          <w:trHeight w:val="206"/>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(25,173)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(25,812)</w:t>
            </w:r>
          </w:p>
        </w:tc>
      </w:tr>
      <w:tr>
        <w:trPr>
          <w:trHeight w:val="213"/>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currency rate changes on cash</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w:t>
            </w:r>
          </w:p>
        </w:tc>
      </w:tr>
      <w:tr>
        <w:trPr>
          <w:trHeight w:val="20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(34,173)</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49,766</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15,593</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Cash paid during the period for income taxes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1,294</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dividends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r>
      <w:tr>
        <w:trPr>
          <w:trHeight w:val="210"/>
        </w:trPr>
        <w:tc>
          <w:tcPr>
            <w:tcW w:w="8000" w:type="dxa"/>
            <w:vAlign w:val="bottom"/>
          </w:tcPr>
          <w:p>
            <w:pPr>
              <w:ind w:left="360"/>
              <w:spacing w:after="0"/>
              <w:rPr>
                <w:sz w:val="20"/>
                <w:szCs w:val="20"/>
                <w:color w:val="auto"/>
              </w:rPr>
            </w:pPr>
            <w:r>
              <w:rPr>
                <w:rFonts w:ascii="Arial" w:cs="Arial" w:eastAsia="Arial" w:hAnsi="Arial"/>
                <w:sz w:val="16"/>
                <w:szCs w:val="16"/>
                <w:color w:val="auto"/>
              </w:rPr>
              <w:t>Accrued purchases of treasury stock</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Net Income (Loss) to Economic Earnings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(Loss) and Economic EPS. We provide these measures in addition to, not as a substitute for, net income (loss)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We define Economic Earnings (Loss) as net income (loss) plus non-cash equity-based compensation expense, impairment expense, amortization of intangible assets, currency translation adjustment reclassification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In addition, we do not adjust Economic Earnings (Loss) for tax deductions related to restricted stock expense or amortization of intangible assets. Economic EPS represents Economic Earnings (Loss) divided by diluted weighted average shares outstanding.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26"/>
        </w:trPr>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2021</w:t>
            </w:r>
          </w:p>
        </w:tc>
        <w:tc>
          <w:tcPr>
            <w:tcW w:w="200" w:type="dxa"/>
            <w:vAlign w:val="bottom"/>
          </w:tcPr>
          <w:p>
            <w:pPr>
              <w:spacing w:after="0"/>
              <w:rPr>
                <w:sz w:val="19"/>
                <w:szCs w:val="19"/>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 2020</w:t>
            </w: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Impairment expense</w:t>
            </w: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Add: Intangible amortization</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Currency translation adjustment reclassification</w:t>
            </w: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7,956,081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7,829,478</w:t>
            </w:r>
          </w:p>
        </w:tc>
      </w:tr>
      <w:tr>
        <w:trPr>
          <w:trHeight w:val="234"/>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Economic EPS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481"/>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jc w:val="right"/>
              <w:ind w:right="12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2021</w:t>
            </w:r>
          </w:p>
        </w:tc>
        <w:tc>
          <w:tcPr>
            <w:tcW w:w="200" w:type="dxa"/>
            <w:vAlign w:val="bottom"/>
          </w:tcPr>
          <w:p>
            <w:pPr>
              <w:spacing w:after="0"/>
              <w:rPr>
                <w:sz w:val="19"/>
                <w:szCs w:val="19"/>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 2020</w:t>
            </w: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(11,762)</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5,409</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Impairment expense</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Add: Intangible amortization</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Currency translation adjustment reclassification</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18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8,040,417</w:t>
            </w:r>
          </w:p>
        </w:tc>
      </w:tr>
      <w:tr>
        <w:trPr>
          <w:trHeight w:val="234"/>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Economic EPS</w:t>
            </w: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0.34</w:t>
            </w:r>
          </w:p>
        </w:tc>
      </w:tr>
    </w:tbl>
    <w:p>
      <w:pPr>
        <w:spacing w:after="0" w:line="1" w:lineRule="exact"/>
        <w:rPr>
          <w:sz w:val="20"/>
          <w:szCs w:val="20"/>
          <w:color w:val="auto"/>
        </w:rPr>
      </w:pP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2021-10-27T15:23:06Z</dcterms:created>
  <dcterms:modified xsi:type="dcterms:W3CDTF">2021-10-27T15:23:06Z</dcterms:modified>
</cp:coreProperties>
</file>