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2567305</wp:posOffset>
            </wp:positionH>
            <wp:positionV relativeFrom="page">
              <wp:posOffset>157480</wp:posOffset>
            </wp:positionV>
            <wp:extent cx="2426970"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26970" cy="634365"/>
                    </a:xfrm>
                    <a:prstGeom prst="rect">
                      <a:avLst/>
                    </a:prstGeom>
                    <a:noFill/>
                  </pic:spPr>
                </pic:pic>
              </a:graphicData>
            </a:graphic>
          </wp:anchor>
        </w:drawing>
        <w:t>August 25,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 xml:space="preserve">Via </w:t>
      </w:r>
      <w:r>
        <w:rPr>
          <w:rFonts w:ascii="Arial" w:cs="Arial" w:eastAsia="Arial" w:hAnsi="Arial"/>
          <w:sz w:val="18"/>
          <w:szCs w:val="18"/>
          <w:b w:val="1"/>
          <w:bCs w:val="1"/>
          <w:u w:val="single" w:color="auto"/>
          <w:color w:val="auto"/>
        </w:rPr>
        <w:t>EDGAR</w:t>
      </w:r>
      <w:r>
        <w:rPr>
          <w:rFonts w:ascii="Arial" w:cs="Arial" w:eastAsia="Arial" w:hAnsi="Arial"/>
          <w:sz w:val="18"/>
          <w:szCs w:val="18"/>
          <w:b w:val="1"/>
          <w:bCs w:val="1"/>
          <w:i w:val="1"/>
          <w:iCs w:val="1"/>
          <w:u w:val="single" w:color="auto"/>
          <w:color w:val="auto"/>
        </w:rPr>
        <w:t xml:space="preserve"> and </w:t>
      </w:r>
      <w:r>
        <w:rPr>
          <w:rFonts w:ascii="Arial" w:cs="Arial" w:eastAsia="Arial" w:hAnsi="Arial"/>
          <w:sz w:val="18"/>
          <w:szCs w:val="18"/>
          <w:b w:val="1"/>
          <w:bCs w:val="1"/>
          <w:u w:val="single" w:color="auto"/>
          <w:color w:val="auto"/>
        </w:rPr>
        <w:t>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Ms. Jenn Do</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Westwood Holdings Group, Inc.</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Form 10-K for the Fiscal Year Ended December 31, 2009</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February 25, 2010</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1-31234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Do:</w:t>
      </w:r>
    </w:p>
    <w:p>
      <w:pPr>
        <w:spacing w:after="0" w:line="165" w:lineRule="exact"/>
        <w:rPr>
          <w:sz w:val="24"/>
          <w:szCs w:val="24"/>
          <w:color w:val="auto"/>
        </w:rPr>
      </w:pPr>
    </w:p>
    <w:p>
      <w:pPr>
        <w:ind w:right="140" w:firstLine="456"/>
        <w:spacing w:after="0" w:line="258" w:lineRule="auto"/>
        <w:rPr>
          <w:sz w:val="20"/>
          <w:szCs w:val="20"/>
          <w:color w:val="auto"/>
        </w:rPr>
      </w:pPr>
      <w:r>
        <w:rPr>
          <w:rFonts w:ascii="Arial" w:cs="Arial" w:eastAsia="Arial" w:hAnsi="Arial"/>
          <w:sz w:val="18"/>
          <w:szCs w:val="18"/>
          <w:color w:val="auto"/>
        </w:rPr>
        <w:t>This letter sets forth the responses of Westwood Holdings Group,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to the comments of the staff of the Division of Corporation Finance (the “</w:t>
      </w:r>
      <w:r>
        <w:rPr>
          <w:rFonts w:ascii="Arial" w:cs="Arial" w:eastAsia="Arial" w:hAnsi="Arial"/>
          <w:sz w:val="18"/>
          <w:szCs w:val="18"/>
          <w:b w:val="1"/>
          <w:bCs w:val="1"/>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received by letter dated August 17, 2010 (the “</w:t>
      </w:r>
      <w:r>
        <w:rPr>
          <w:rFonts w:ascii="Arial" w:cs="Arial" w:eastAsia="Arial" w:hAnsi="Arial"/>
          <w:sz w:val="18"/>
          <w:szCs w:val="18"/>
          <w:b w:val="1"/>
          <w:bCs w:val="1"/>
          <w:u w:val="single" w:color="auto"/>
          <w:color w:val="auto"/>
        </w:rPr>
        <w:t>Comment Letter</w:t>
      </w:r>
      <w:r>
        <w:rPr>
          <w:rFonts w:ascii="Arial" w:cs="Arial" w:eastAsia="Arial" w:hAnsi="Arial"/>
          <w:sz w:val="18"/>
          <w:szCs w:val="18"/>
          <w:color w:val="auto"/>
        </w:rPr>
        <w:t>”), with respect to the above-referenced filings. For the convenience of the Staff, we have set forth below, in boldface type, the number and text of each comment in the Comment Letter followed by the Company’s responses thereto.</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page 19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 page 20</w:t>
      </w:r>
    </w:p>
    <w:p>
      <w:pPr>
        <w:spacing w:after="0" w:line="212" w:lineRule="exact"/>
        <w:rPr>
          <w:sz w:val="24"/>
          <w:szCs w:val="24"/>
          <w:color w:val="auto"/>
        </w:rPr>
      </w:pPr>
    </w:p>
    <w:p>
      <w:pPr>
        <w:ind w:left="460" w:right="340" w:hanging="452"/>
        <w:spacing w:after="0" w:line="35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note your response to prior comment 1. We believe that if there are significant changes in one or more of the asset categories or the information is otherwise material to investors, you should provide appropriate disclosure in future filings. Please confirm your understanding. </w:t>
      </w: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57" w:lineRule="exact"/>
        <w:rPr>
          <w:sz w:val="24"/>
          <w:szCs w:val="24"/>
          <w:color w:val="auto"/>
        </w:rPr>
      </w:pPr>
    </w:p>
    <w:p>
      <w:pPr>
        <w:ind w:left="460" w:right="140"/>
        <w:spacing w:after="0" w:line="268" w:lineRule="auto"/>
        <w:rPr>
          <w:sz w:val="20"/>
          <w:szCs w:val="20"/>
          <w:color w:val="auto"/>
        </w:rPr>
      </w:pPr>
      <w:r>
        <w:rPr>
          <w:rFonts w:ascii="Arial" w:cs="Arial" w:eastAsia="Arial" w:hAnsi="Arial"/>
          <w:sz w:val="18"/>
          <w:szCs w:val="18"/>
          <w:color w:val="auto"/>
        </w:rPr>
        <w:t>The Company confirms that if there are significant changes in one or more of the asset categories or the information is otherwise material to investors, the Company will provide appropriate disclosure in future filings.</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In addition, pursuant to your request, the Company acknowledges that (i) the Company is responsible for the adequacy and accuracy of the disclosure in the filings; (ii) Staff comments or changes to disclosure in response to Staff comments do not foreclose the Commission from taking any action with respect to the filings; and (iii) the Company may not assert Staff comments as a defense in any proceeding initiated by the Commission or any person under the federal securities laws of the United States.</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40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Should any member of the Staff have any questions or additional comments regarding the Company’s responses to the Staff’s comments set forth above, please do not hesitate to contact me by phone at (214) 756-6383 or by facsimile at (214) 756-6920, or you may contact our outside legal counsel, Bryn A. Sappington, Fulbright &amp; Jaworski L.L.P., at (214) 855-7180.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R. Hardcastle,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R. Hardcastle,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Westwood Holdings Group, Inc.</w:t>
      </w:r>
    </w:p>
    <w:p>
      <w:pPr>
        <w:spacing w:after="0" w:line="300" w:lineRule="exact"/>
        <w:rPr>
          <w:sz w:val="20"/>
          <w:szCs w:val="20"/>
          <w:color w:val="auto"/>
        </w:rPr>
      </w:pPr>
    </w:p>
    <w:p>
      <w:pPr>
        <w:ind w:left="460" w:right="6780" w:hanging="452"/>
        <w:spacing w:after="0" w:line="302"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Terence O’Brien, Securities and Exchange Commission Al Pavot, Securities and Exchange Commission Sherry Haywood, Securities and Exchange Commission Pam Long, Securities and Exchange Commission Brian O. Casey, Westwood Holdings Group, Inc.</w:t>
      </w:r>
    </w:p>
    <w:p>
      <w:pPr>
        <w:spacing w:after="0" w:line="1" w:lineRule="exact"/>
        <w:rPr>
          <w:rFonts w:ascii="Arial" w:cs="Arial" w:eastAsia="Arial" w:hAnsi="Arial"/>
          <w:sz w:val="15"/>
          <w:szCs w:val="15"/>
          <w:color w:val="auto"/>
        </w:rPr>
      </w:pPr>
    </w:p>
    <w:p>
      <w:pPr>
        <w:ind w:left="460" w:right="7260"/>
        <w:spacing w:after="0" w:line="302" w:lineRule="auto"/>
        <w:rPr>
          <w:rFonts w:ascii="Arial" w:cs="Arial" w:eastAsia="Arial" w:hAnsi="Arial"/>
          <w:sz w:val="15"/>
          <w:szCs w:val="15"/>
          <w:color w:val="auto"/>
        </w:rPr>
      </w:pPr>
      <w:r>
        <w:rPr>
          <w:rFonts w:ascii="Arial" w:cs="Arial" w:eastAsia="Arial" w:hAnsi="Arial"/>
          <w:sz w:val="16"/>
          <w:szCs w:val="16"/>
          <w:color w:val="auto"/>
        </w:rPr>
        <w:t>Julie Gerron, Westwood Holdings Group, Inc. Bryn A. Sappington, Fulbright &amp; Jaworski L.L.P. Glen J. Hettinger, Fulbright &amp; Jaworski L.L.P.</w:t>
      </w:r>
    </w:p>
    <w:sectPr>
      <w:pgSz w:w="11900" w:h="16838" w:orient="portrait"/>
      <w:cols w:equalWidth="0" w:num="1">
        <w:col w:w="11180"/>
      </w:cols>
      <w:pgMar w:left="24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2019-12-10T21:22:30Z</dcterms:created>
  <dcterms:modified xsi:type="dcterms:W3CDTF">2019-12-10T21:22:30Z</dcterms:modified>
</cp:coreProperties>
</file>