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5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WESTWOOD HLDGS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851535</wp:posOffset>
            </wp:positionH>
            <wp:positionV relativeFrom="paragraph">
              <wp:posOffset>77470</wp:posOffset>
            </wp:positionV>
            <wp:extent cx="43072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7205" cy="215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to designate the rule pursuant to which this Schedule is filed:</w:t>
      </w:r>
    </w:p>
    <w:p>
      <w:pPr>
        <w:spacing w:after="0" w:line="272"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139"/>
          </w:cols>
          <w:pgMar w:left="320" w:top="1440" w:right="1440" w:bottom="154"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19"/>
          </w:cols>
          <w:pgMar w:left="320" w:top="1440" w:right="1440" w:bottom="154"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69" w:lineRule="exact"/>
        <w:rPr>
          <w:sz w:val="24"/>
          <w:szCs w:val="24"/>
          <w:color w:val="auto"/>
        </w:rPr>
      </w:pPr>
    </w:p>
    <w:p>
      <w:pPr>
        <w:sectPr>
          <w:pgSz w:w="11900" w:h="16838" w:orient="portrait"/>
          <w:cols w:equalWidth="0" w:num="2">
            <w:col w:w="200" w:space="420"/>
            <w:col w:w="9519"/>
          </w:cols>
          <w:pgMar w:left="320" w:top="1440" w:right="1440" w:bottom="154" w:gutter="0" w:footer="0" w:header="0"/>
          <w:type w:val="continuous"/>
        </w:sectPr>
      </w:pPr>
    </w:p>
    <w:p>
      <w:pPr>
        <w:jc w:val="both"/>
        <w:ind w:left="20" w:right="117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ind w:left="20" w:right="117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09" w:lineRule="exact"/>
        <w:rPr>
          <w:sz w:val="24"/>
          <w:szCs w:val="24"/>
          <w:color w:val="auto"/>
        </w:rPr>
      </w:pPr>
    </w:p>
    <w:p>
      <w:pPr>
        <w:ind w:left="700" w:right="6619" w:hanging="436"/>
        <w:spacing w:after="0" w:line="282" w:lineRule="auto"/>
        <w:tabs>
          <w:tab w:leader="none" w:pos="70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&amp; Company</w:t>
      </w:r>
    </w:p>
    <w:p>
      <w:pPr>
        <w:spacing w:after="0" w:line="27" w:lineRule="exact"/>
        <w:rPr>
          <w:sz w:val="24"/>
          <w:szCs w:val="24"/>
          <w:color w:val="auto"/>
        </w:rPr>
      </w:pPr>
    </w:p>
    <w:p>
      <w:pPr>
        <w:ind w:left="700" w:right="8399" w:hanging="4"/>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41-0449260</w:t>
      </w:r>
    </w:p>
    <w:p>
      <w:pPr>
        <w:spacing w:after="0" w:line="377" w:lineRule="exact"/>
        <w:rPr>
          <w:rFonts w:ascii="Times New Roman" w:cs="Times New Roman" w:eastAsia="Times New Roman" w:hAnsi="Times New Roman"/>
          <w:sz w:val="21"/>
          <w:szCs w:val="21"/>
          <w:color w:val="auto"/>
        </w:rPr>
      </w:pPr>
    </w:p>
    <w:p>
      <w:pPr>
        <w:ind w:left="700" w:hanging="436"/>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4"/>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4"/>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7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ectPr>
          <w:pgSz w:w="11900" w:h="16838" w:orient="portrait"/>
          <w:cols w:equalWidth="0" w:num="1">
            <w:col w:w="10139"/>
          </w:cols>
          <w:pgMar w:left="320" w:top="1440" w:right="1440" w:bottom="154" w:gutter="0" w:footer="0" w:header="0"/>
          <w:type w:val="continuous"/>
        </w:sectPr>
      </w:pPr>
    </w:p>
    <w:bookmarkStart w:id="1" w:name="page2"/>
    <w:bookmarkEnd w:id="1"/>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18,330</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119,547</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18,330</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-996950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-996950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-551180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-551180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-105410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-105410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1"/>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594,207</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612,537</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7.32 %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2737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73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HLDGS GROUP INC</w:t>
      </w:r>
    </w:p>
    <w:p>
      <w:pPr>
        <w:spacing w:after="0" w:line="74" w:lineRule="exact"/>
        <w:rPr>
          <w:rFonts w:ascii="Times New Roman" w:cs="Times New Roman" w:eastAsia="Times New Roman" w:hAnsi="Times New Roman"/>
          <w:sz w:val="22"/>
          <w:szCs w:val="22"/>
          <w:color w:val="auto"/>
        </w:rPr>
      </w:pPr>
    </w:p>
    <w:p>
      <w:pPr>
        <w:ind w:left="700" w:right="5019" w:hanging="374"/>
        <w:spacing w:after="0" w:line="346" w:lineRule="auto"/>
        <w:tabs>
          <w:tab w:leader="none" w:pos="7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200 Crescent Court, Suite 1200, Dallas, TX 75201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right="723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Person Filing Wells Fargo &amp; Company</w:t>
      </w:r>
    </w:p>
    <w:p>
      <w:pPr>
        <w:spacing w:after="0" w:line="26" w:lineRule="exact"/>
        <w:rPr>
          <w:rFonts w:ascii="Times New Roman" w:cs="Times New Roman" w:eastAsia="Times New Roman" w:hAnsi="Times New Roman"/>
          <w:sz w:val="21"/>
          <w:szCs w:val="21"/>
          <w:color w:val="auto"/>
        </w:rPr>
      </w:pPr>
    </w:p>
    <w:p>
      <w:pPr>
        <w:ind w:left="700" w:right="425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420 Montgomery Street, San Francisco, CA 94163</w:t>
      </w:r>
    </w:p>
    <w:p>
      <w:pPr>
        <w:spacing w:after="0" w:line="26" w:lineRule="exact"/>
        <w:rPr>
          <w:rFonts w:ascii="Times New Roman" w:cs="Times New Roman" w:eastAsia="Times New Roman" w:hAnsi="Times New Roman"/>
          <w:sz w:val="21"/>
          <w:szCs w:val="21"/>
          <w:color w:val="auto"/>
        </w:rPr>
      </w:pPr>
    </w:p>
    <w:p>
      <w:pPr>
        <w:ind w:left="700" w:right="839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19" w:hanging="374"/>
        <w:spacing w:after="0" w:line="282" w:lineRule="auto"/>
        <w:tabs>
          <w:tab w:leader="none" w:pos="70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1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19" w:hanging="816"/>
        <w:spacing w:after="0" w:line="258" w:lineRule="auto"/>
        <w:tabs>
          <w:tab w:leader="none" w:pos="78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240.13d-1(b)(1)(ii)(E);</w:t>
      </w:r>
    </w:p>
    <w:p>
      <w:pPr>
        <w:spacing w:after="0" w:line="260"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ectPr>
          <w:pgSz w:w="11900" w:h="16838" w:orient="portrait"/>
          <w:cols w:equalWidth="0" w:num="1">
            <w:col w:w="10079"/>
          </w:cols>
          <w:pgMar w:left="380" w:top="111" w:right="1440" w:bottom="0" w:gutter="0" w:footer="0" w:header="0"/>
        </w:sectPr>
      </w:pPr>
    </w:p>
    <w:bookmarkStart w:id="2" w:name="page3"/>
    <w:bookmarkEnd w:id="2"/>
    <w:p>
      <w:pPr>
        <w:ind w:left="780" w:hanging="476"/>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240.13d-1(b)(1)(ii)(G);</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1120" w:right="1479" w:hanging="816"/>
        <w:spacing w:after="0" w:line="258" w:lineRule="auto"/>
        <w:tabs>
          <w:tab w:leader="none" w:pos="78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759" w:hanging="768"/>
        <w:spacing w:after="0" w:line="241" w:lineRule="auto"/>
        <w:tabs>
          <w:tab w:leader="none" w:pos="78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spacing w:after="0" w:line="1"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25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69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800" w:hanging="434"/>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612,537</w:t>
      </w:r>
    </w:p>
    <w:p>
      <w:pPr>
        <w:spacing w:after="0" w:line="98" w:lineRule="exact"/>
        <w:rPr>
          <w:rFonts w:ascii="Times New Roman" w:cs="Times New Roman" w:eastAsia="Times New Roman" w:hAnsi="Times New Roman"/>
          <w:sz w:val="22"/>
          <w:szCs w:val="22"/>
          <w:color w:val="auto"/>
        </w:rPr>
      </w:pPr>
    </w:p>
    <w:p>
      <w:pPr>
        <w:ind w:left="800" w:hanging="434"/>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7.32%</w:t>
      </w:r>
    </w:p>
    <w:p>
      <w:pPr>
        <w:spacing w:after="0" w:line="98" w:lineRule="exact"/>
        <w:rPr>
          <w:rFonts w:ascii="Times New Roman" w:cs="Times New Roman" w:eastAsia="Times New Roman" w:hAnsi="Times New Roman"/>
          <w:sz w:val="22"/>
          <w:szCs w:val="22"/>
          <w:color w:val="auto"/>
        </w:rPr>
      </w:pPr>
    </w:p>
    <w:p>
      <w:pPr>
        <w:ind w:left="800" w:hanging="434"/>
        <w:spacing w:after="0"/>
        <w:tabs>
          <w:tab w:leader="none" w:pos="8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18,330</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119,547</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18,330</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594,207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368935</wp:posOffset>
            </wp:positionV>
            <wp:extent cx="56273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6921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09" w:lineRule="exact"/>
        <w:rPr>
          <w:sz w:val="20"/>
          <w:szCs w:val="20"/>
          <w:color w:val="auto"/>
        </w:rPr>
      </w:pP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Names of Reporting Persons.</w:t>
      </w:r>
    </w:p>
    <w:p>
      <w:pPr>
        <w:spacing w:after="0" w:line="14" w:lineRule="exact"/>
        <w:rPr>
          <w:rFonts w:ascii="Times New Roman" w:cs="Times New Roman" w:eastAsia="Times New Roman" w:hAnsi="Times New Roman"/>
          <w:sz w:val="22"/>
          <w:szCs w:val="22"/>
          <w:color w:val="auto"/>
        </w:rPr>
      </w:pP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Capital Management Incorporated</w:t>
      </w:r>
    </w:p>
    <w:p>
      <w:pPr>
        <w:spacing w:after="0" w:line="74" w:lineRule="exact"/>
        <w:rPr>
          <w:sz w:val="20"/>
          <w:szCs w:val="20"/>
          <w:color w:val="auto"/>
        </w:rPr>
      </w:pPr>
    </w:p>
    <w:p>
      <w:pPr>
        <w:ind w:left="640" w:right="8399" w:hanging="4"/>
        <w:spacing w:after="0" w:line="282" w:lineRule="auto"/>
        <w:tabs>
          <w:tab w:leader="none" w:pos="94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-1190625</wp:posOffset>
            </wp:positionV>
            <wp:extent cx="562737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200"/>
        <w:spacing w:after="0"/>
        <w:tabs>
          <w:tab w:leader="none" w:pos="620" w:val="left"/>
        </w:tabs>
        <w:rPr>
          <w:sz w:val="20"/>
          <w:szCs w:val="20"/>
          <w:color w:val="auto"/>
        </w:rPr>
      </w:pPr>
      <w:r>
        <w:rPr>
          <w:rFonts w:ascii="Times New Roman" w:cs="Times New Roman" w:eastAsia="Times New Roman" w:hAnsi="Times New Roman"/>
          <w:sz w:val="22"/>
          <w:szCs w:val="22"/>
          <w:color w:val="auto"/>
        </w:rPr>
        <w:t>4.</w:t>
        <w:tab/>
        <w:t>Citizenship or Place of Organization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0</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565,841</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0</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 593,302</w:t>
            </w: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4"/>
                <w:szCs w:val="24"/>
                <w:color w:val="auto"/>
              </w:rPr>
            </w:pPr>
          </w:p>
        </w:tc>
        <w:tc>
          <w:tcPr>
            <w:tcW w:w="76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-1202690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-1202690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-756920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-756920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-311150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-311150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562737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ectPr>
          <w:pgSz w:w="11900" w:h="16838" w:orient="portrait"/>
          <w:cols w:equalWidth="0" w:num="1">
            <w:col w:w="10079"/>
          </w:cols>
          <w:pgMar w:left="380" w:top="328" w:right="1440" w:bottom="71" w:gutter="0" w:footer="0" w:header="0"/>
        </w:sectPr>
      </w:pPr>
    </w:p>
    <w:p>
      <w:pPr>
        <w:spacing w:after="0" w:line="200" w:lineRule="exact"/>
        <w:rPr>
          <w:sz w:val="20"/>
          <w:szCs w:val="20"/>
          <w:color w:val="auto"/>
        </w:rPr>
      </w:pPr>
    </w:p>
    <w:p>
      <w:pPr>
        <w:spacing w:after="0" w:line="220" w:lineRule="exact"/>
        <w:rPr>
          <w:sz w:val="20"/>
          <w:szCs w:val="20"/>
          <w:color w:val="auto"/>
        </w:rPr>
      </w:pPr>
    </w:p>
    <w:p>
      <w:pPr>
        <w:ind w:left="640" w:hanging="436"/>
        <w:spacing w:after="0"/>
        <w:tabs>
          <w:tab w:leader="none" w:pos="6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Amount Beneficially Owned by Each Reporting Person 593,302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562737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ectPr>
          <w:pgSz w:w="11900" w:h="16838" w:orient="portrait"/>
          <w:cols w:equalWidth="0" w:num="1">
            <w:col w:w="10079"/>
          </w:cols>
          <w:pgMar w:left="380" w:top="328" w:right="1440" w:bottom="71" w:gutter="0" w:footer="0" w:header="0"/>
          <w:type w:val="continuous"/>
        </w:sectPr>
      </w:pPr>
    </w:p>
    <w:bookmarkStart w:id="3" w:name="page4"/>
    <w:bookmarkEnd w:id="3"/>
    <w:p>
      <w:pPr>
        <w:ind w:left="640" w:hanging="436"/>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7.09 %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HLDGS GROUP INC</w:t>
      </w:r>
    </w:p>
    <w:p>
      <w:pPr>
        <w:spacing w:after="0" w:line="74"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200 Crescent Court, Suite 1200, Dallas, TX 75201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Capital Management Incorporated</w:t>
      </w:r>
    </w:p>
    <w:p>
      <w:pPr>
        <w:spacing w:after="0" w:line="74" w:lineRule="exact"/>
        <w:rPr>
          <w:rFonts w:ascii="Times New Roman" w:cs="Times New Roman" w:eastAsia="Times New Roman" w:hAnsi="Times New Roman"/>
          <w:sz w:val="22"/>
          <w:szCs w:val="22"/>
          <w:color w:val="auto"/>
        </w:rPr>
      </w:pPr>
    </w:p>
    <w:p>
      <w:pPr>
        <w:ind w:left="700" w:right="425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Principal Business Office or, if none, Residence 525 Market St, 10th Floor, San Francisco, CA 94105</w:t>
      </w:r>
    </w:p>
    <w:p>
      <w:pPr>
        <w:spacing w:after="0" w:line="26" w:lineRule="exact"/>
        <w:rPr>
          <w:rFonts w:ascii="Times New Roman" w:cs="Times New Roman" w:eastAsia="Times New Roman" w:hAnsi="Times New Roman"/>
          <w:sz w:val="21"/>
          <w:szCs w:val="21"/>
          <w:color w:val="auto"/>
        </w:rPr>
      </w:pPr>
    </w:p>
    <w:p>
      <w:pPr>
        <w:ind w:left="700" w:right="839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California</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19" w:hanging="374"/>
        <w:spacing w:after="0" w:line="282" w:lineRule="auto"/>
        <w:tabs>
          <w:tab w:leader="none" w:pos="7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1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19" w:hanging="816"/>
        <w:spacing w:after="0" w:line="258" w:lineRule="auto"/>
        <w:tabs>
          <w:tab w:leader="none" w:pos="78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pacing w:after="0" w:line="271" w:lineRule="exact"/>
        <w:rPr>
          <w:rFonts w:ascii="Times New Roman" w:cs="Times New Roman" w:eastAsia="Times New Roman" w:hAnsi="Times New Roman"/>
          <w:sz w:val="21"/>
          <w:szCs w:val="21"/>
          <w:color w:val="auto"/>
        </w:rPr>
      </w:pPr>
    </w:p>
    <w:p>
      <w:pPr>
        <w:ind w:left="780" w:hanging="476"/>
        <w:spacing w:after="0"/>
        <w:tabs>
          <w:tab w:leader="none" w:pos="7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120" w:right="1479" w:hanging="816"/>
        <w:spacing w:after="0" w:line="258" w:lineRule="auto"/>
        <w:tabs>
          <w:tab w:leader="none" w:pos="78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759" w:hanging="768"/>
        <w:spacing w:after="0" w:line="241" w:lineRule="auto"/>
        <w:tabs>
          <w:tab w:leader="none" w:pos="78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spacing w:after="0" w:line="1"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25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w:t>
      </w:r>
    </w:p>
    <w:p>
      <w:pPr>
        <w:sectPr>
          <w:pgSz w:w="11900" w:h="16838" w:orient="portrait"/>
          <w:cols w:equalWidth="0" w:num="1">
            <w:col w:w="10079"/>
          </w:cols>
          <w:pgMar w:left="380" w:top="112" w:right="1440"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securities of the issuer identified in Item 1.</w:t>
      </w:r>
    </w:p>
    <w:p>
      <w:pPr>
        <w:spacing w:after="0" w:line="99" w:lineRule="exact"/>
        <w:rPr>
          <w:sz w:val="20"/>
          <w:szCs w:val="20"/>
          <w:color w:val="auto"/>
        </w:rPr>
      </w:pPr>
    </w:p>
    <w:p>
      <w:pPr>
        <w:ind w:left="800" w:hanging="434"/>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593,302</w:t>
      </w:r>
    </w:p>
    <w:p>
      <w:pPr>
        <w:spacing w:after="0" w:line="98" w:lineRule="exact"/>
        <w:rPr>
          <w:rFonts w:ascii="Times New Roman" w:cs="Times New Roman" w:eastAsia="Times New Roman" w:hAnsi="Times New Roman"/>
          <w:sz w:val="22"/>
          <w:szCs w:val="22"/>
          <w:color w:val="auto"/>
        </w:rPr>
      </w:pPr>
    </w:p>
    <w:p>
      <w:pPr>
        <w:ind w:left="800" w:hanging="434"/>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7.09%</w:t>
      </w:r>
    </w:p>
    <w:p>
      <w:pPr>
        <w:spacing w:after="0" w:line="98" w:lineRule="exact"/>
        <w:rPr>
          <w:rFonts w:ascii="Times New Roman" w:cs="Times New Roman" w:eastAsia="Times New Roman" w:hAnsi="Times New Roman"/>
          <w:sz w:val="22"/>
          <w:szCs w:val="22"/>
          <w:color w:val="auto"/>
        </w:rPr>
      </w:pPr>
    </w:p>
    <w:p>
      <w:pPr>
        <w:ind w:left="800" w:hanging="434"/>
        <w:spacing w:after="0"/>
        <w:tabs>
          <w:tab w:leader="none" w:pos="8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565,841</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593,302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368935</wp:posOffset>
            </wp:positionV>
            <wp:extent cx="562737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6921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09" w:lineRule="exact"/>
        <w:rPr>
          <w:sz w:val="20"/>
          <w:szCs w:val="20"/>
          <w:color w:val="auto"/>
        </w:rPr>
      </w:pPr>
    </w:p>
    <w:p>
      <w:pPr>
        <w:ind w:left="640" w:right="6119" w:hanging="436"/>
        <w:spacing w:after="0" w:line="282" w:lineRule="auto"/>
        <w:tabs>
          <w:tab w:leader="none" w:pos="6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Wells Fargo Funds Management, LLC</w:t>
      </w:r>
    </w:p>
    <w:p>
      <w:pPr>
        <w:spacing w:after="0" w:line="27" w:lineRule="exact"/>
        <w:rPr>
          <w:sz w:val="20"/>
          <w:szCs w:val="20"/>
          <w:color w:val="auto"/>
        </w:rPr>
      </w:pPr>
    </w:p>
    <w:p>
      <w:pPr>
        <w:ind w:left="640" w:right="8399" w:hanging="4"/>
        <w:spacing w:after="0" w:line="282" w:lineRule="auto"/>
        <w:tabs>
          <w:tab w:leader="none" w:pos="94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94-3382001</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2737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0</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438,883</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0</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-996950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-996950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-551180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-551180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-105410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-105410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 w:lineRule="exact"/>
        <w:rPr>
          <w:sz w:val="20"/>
          <w:szCs w:val="20"/>
          <w:color w:val="auto"/>
        </w:rPr>
      </w:pPr>
    </w:p>
    <w:p>
      <w:pPr>
        <w:ind w:left="1640" w:hanging="221"/>
        <w:spacing w:after="0"/>
        <w:tabs>
          <w:tab w:leader="none" w:pos="16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438,936</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438,936</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5.24 %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2737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737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HLDGS GROUP INC</w:t>
      </w:r>
    </w:p>
    <w:p>
      <w:pPr>
        <w:spacing w:after="0" w:line="74"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200 Crescent Court, Suite 1200, Dallas, TX 75201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ectPr>
          <w:pgSz w:w="11900" w:h="16838" w:orient="portrait"/>
          <w:cols w:equalWidth="0" w:num="1">
            <w:col w:w="10079"/>
          </w:cols>
          <w:pgMar w:left="380" w:top="112" w:right="1440" w:bottom="0" w:gutter="0" w:footer="0" w:header="0"/>
        </w:sectPr>
      </w:pPr>
    </w:p>
    <w:bookmarkStart w:id="5" w:name="page6"/>
    <w:bookmarkEnd w:id="5"/>
    <w:p>
      <w:pPr>
        <w:ind w:left="700" w:hanging="374"/>
        <w:spacing w:after="0"/>
        <w:tabs>
          <w:tab w:leader="none" w:pos="7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Wells Fargo Funds Management, LLC</w:t>
      </w:r>
    </w:p>
    <w:p>
      <w:pPr>
        <w:spacing w:after="0" w:line="74" w:lineRule="exact"/>
        <w:rPr>
          <w:rFonts w:ascii="Times New Roman" w:cs="Times New Roman" w:eastAsia="Times New Roman" w:hAnsi="Times New Roman"/>
          <w:sz w:val="22"/>
          <w:szCs w:val="22"/>
          <w:color w:val="auto"/>
        </w:rPr>
      </w:pPr>
    </w:p>
    <w:p>
      <w:pPr>
        <w:ind w:left="700" w:right="4259" w:hanging="374"/>
        <w:spacing w:after="0" w:line="258" w:lineRule="auto"/>
        <w:tabs>
          <w:tab w:leader="none" w:pos="7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 525 Market Street, San Francisco, CA 94105</w:t>
      </w:r>
    </w:p>
    <w:p>
      <w:pPr>
        <w:spacing w:after="0" w:line="50" w:lineRule="exact"/>
        <w:rPr>
          <w:rFonts w:ascii="Times New Roman" w:cs="Times New Roman" w:eastAsia="Times New Roman" w:hAnsi="Times New Roman"/>
          <w:sz w:val="22"/>
          <w:szCs w:val="22"/>
          <w:color w:val="auto"/>
        </w:rPr>
      </w:pPr>
    </w:p>
    <w:p>
      <w:pPr>
        <w:ind w:left="700" w:right="8399" w:hanging="374"/>
        <w:spacing w:after="0" w:line="282" w:lineRule="auto"/>
        <w:tabs>
          <w:tab w:leader="none" w:pos="7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Citizenship Delaware</w:t>
      </w:r>
    </w:p>
    <w:p>
      <w:pPr>
        <w:spacing w:after="0" w:line="26" w:lineRule="exact"/>
        <w:rPr>
          <w:rFonts w:ascii="Times New Roman" w:cs="Times New Roman" w:eastAsia="Times New Roman" w:hAnsi="Times New Roman"/>
          <w:sz w:val="21"/>
          <w:szCs w:val="21"/>
          <w:color w:val="auto"/>
        </w:rPr>
      </w:pPr>
    </w:p>
    <w:p>
      <w:pPr>
        <w:ind w:left="700" w:hanging="374"/>
        <w:spacing w:after="0"/>
        <w:tabs>
          <w:tab w:leader="none" w:pos="7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w:t>
      </w:r>
    </w:p>
    <w:p>
      <w:pPr>
        <w:spacing w:after="0" w:line="74" w:lineRule="exact"/>
        <w:rPr>
          <w:rFonts w:ascii="Times New Roman" w:cs="Times New Roman" w:eastAsia="Times New Roman" w:hAnsi="Times New Roman"/>
          <w:sz w:val="22"/>
          <w:szCs w:val="22"/>
          <w:color w:val="auto"/>
        </w:rPr>
      </w:pPr>
    </w:p>
    <w:p>
      <w:pPr>
        <w:ind w:left="700" w:right="8019" w:hanging="374"/>
        <w:spacing w:after="0" w:line="282" w:lineRule="auto"/>
        <w:tabs>
          <w:tab w:leader="none" w:pos="70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1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120" w:right="1319" w:hanging="816"/>
        <w:spacing w:after="0" w:line="258" w:lineRule="auto"/>
        <w:tabs>
          <w:tab w:leader="none" w:pos="78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14" w:lineRule="exact"/>
        <w:rPr>
          <w:rFonts w:ascii="Times New Roman" w:cs="Times New Roman" w:eastAsia="Times New Roman" w:hAnsi="Times New Roman"/>
          <w:sz w:val="22"/>
          <w:szCs w:val="22"/>
          <w:color w:val="auto"/>
        </w:rPr>
      </w:pPr>
    </w:p>
    <w:p>
      <w:pPr>
        <w:ind w:left="7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74" w:lineRule="exact"/>
        <w:rPr>
          <w:rFonts w:ascii="Times New Roman" w:cs="Times New Roman" w:eastAsia="Times New Roman" w:hAnsi="Times New Roman"/>
          <w:sz w:val="22"/>
          <w:szCs w:val="22"/>
          <w:color w:val="auto"/>
        </w:rPr>
      </w:pPr>
    </w:p>
    <w:p>
      <w:pPr>
        <w:ind w:left="780" w:hanging="440"/>
        <w:spacing w:after="0"/>
        <w:tabs>
          <w:tab w:leader="none" w:pos="7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An employee benefit plan or endowment fund in accordance with 240.13d-1(b)(1)(ii)(F);</w:t>
      </w:r>
    </w:p>
    <w:p>
      <w:pPr>
        <w:spacing w:after="0" w:line="271" w:lineRule="exact"/>
        <w:rPr>
          <w:rFonts w:ascii="Times New Roman" w:cs="Times New Roman" w:eastAsia="Times New Roman" w:hAnsi="Times New Roman"/>
          <w:sz w:val="21"/>
          <w:szCs w:val="21"/>
          <w:color w:val="auto"/>
        </w:rPr>
      </w:pPr>
    </w:p>
    <w:p>
      <w:pPr>
        <w:ind w:left="780" w:hanging="476"/>
        <w:spacing w:after="0"/>
        <w:tabs>
          <w:tab w:leader="none" w:pos="78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120" w:right="1479" w:hanging="816"/>
        <w:spacing w:after="0" w:line="258" w:lineRule="auto"/>
        <w:tabs>
          <w:tab w:leader="none" w:pos="78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associations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120" w:right="1759" w:hanging="768"/>
        <w:spacing w:after="0" w:line="241" w:lineRule="auto"/>
        <w:tabs>
          <w:tab w:leader="none" w:pos="78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spacing w:after="0" w:line="1"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120" w:right="125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69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800" w:hanging="434"/>
        <w:spacing w:after="0"/>
        <w:tabs>
          <w:tab w:leader="none" w:pos="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438,936</w:t>
      </w:r>
    </w:p>
    <w:p>
      <w:pPr>
        <w:spacing w:after="0" w:line="98" w:lineRule="exact"/>
        <w:rPr>
          <w:rFonts w:ascii="Times New Roman" w:cs="Times New Roman" w:eastAsia="Times New Roman" w:hAnsi="Times New Roman"/>
          <w:sz w:val="22"/>
          <w:szCs w:val="22"/>
          <w:color w:val="auto"/>
        </w:rPr>
      </w:pPr>
    </w:p>
    <w:p>
      <w:pPr>
        <w:ind w:left="800" w:hanging="434"/>
        <w:spacing w:after="0"/>
        <w:tabs>
          <w:tab w:leader="none" w:pos="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5.24%</w:t>
      </w:r>
    </w:p>
    <w:p>
      <w:pPr>
        <w:spacing w:after="0" w:line="98" w:lineRule="exact"/>
        <w:rPr>
          <w:rFonts w:ascii="Times New Roman" w:cs="Times New Roman" w:eastAsia="Times New Roman" w:hAnsi="Times New Roman"/>
          <w:sz w:val="22"/>
          <w:szCs w:val="22"/>
          <w:color w:val="auto"/>
        </w:rPr>
      </w:pPr>
    </w:p>
    <w:p>
      <w:pPr>
        <w:ind w:left="800" w:hanging="434"/>
        <w:spacing w:after="0"/>
        <w:tabs>
          <w:tab w:leader="none" w:pos="8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438,883</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98" w:lineRule="exact"/>
        <w:rPr>
          <w:rFonts w:ascii="Times New Roman" w:cs="Times New Roman" w:eastAsia="Times New Roman" w:hAnsi="Times New Roman"/>
          <w:sz w:val="22"/>
          <w:szCs w:val="22"/>
          <w:color w:val="auto"/>
        </w:rPr>
      </w:pPr>
    </w:p>
    <w:p>
      <w:pPr>
        <w:ind w:left="1260" w:hanging="462"/>
        <w:spacing w:after="0"/>
        <w:tabs>
          <w:tab w:leader="none" w:pos="12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438,936</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69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079"/>
          </w:cols>
          <w:pgMar w:left="380" w:top="111" w:right="1440" w:bottom="0" w:gutter="0" w:footer="0" w:header="0"/>
        </w:sectPr>
      </w:pPr>
    </w:p>
    <w:bookmarkStart w:id="6" w:name="page7"/>
    <w:bookmarkEnd w:id="6"/>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ind w:left="860" w:right="1299" w:hanging="863"/>
        <w:spacing w:after="0" w:line="262" w:lineRule="auto"/>
        <w:tabs>
          <w:tab w:leader="none" w:pos="8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Exhibit B</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48" w:lineRule="exact"/>
        <w:rPr>
          <w:sz w:val="20"/>
          <w:szCs w:val="20"/>
          <w:color w:val="auto"/>
        </w:rPr>
      </w:pPr>
    </w:p>
    <w:p>
      <w:pPr>
        <w:jc w:val="both"/>
        <w:ind w:left="480" w:right="189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07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February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 Patricia 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Patricia Arce,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Name/Title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ind w:right="1299"/>
        <w:spacing w:after="0" w:line="239" w:lineRule="auto"/>
        <w:rPr>
          <w:sz w:val="20"/>
          <w:szCs w:val="20"/>
          <w:color w:val="auto"/>
        </w:rPr>
      </w:pPr>
      <w:r>
        <w:rPr>
          <w:rFonts w:ascii="Times New Roman" w:cs="Times New Roman" w:eastAsia="Times New Roman" w:hAnsi="Times New Roman"/>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right="1219"/>
        <w:spacing w:after="0" w:line="258" w:lineRule="auto"/>
        <w:rPr>
          <w:sz w:val="20"/>
          <w:szCs w:val="20"/>
          <w:color w:val="auto"/>
        </w:rPr>
      </w:pPr>
      <w:r>
        <w:rPr>
          <w:rFonts w:ascii="Times New Roman" w:cs="Times New Roman" w:eastAsia="Times New Roman" w:hAnsi="Times New Roman"/>
          <w:sz w:val="22"/>
          <w:szCs w:val="22"/>
          <w:color w:val="auto"/>
        </w:rPr>
        <w:t>The Schedule 13G to which this attachment is appended is filed by Wells Fargo &amp; Company on behalf of the following subsidiaries: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Clearing Services, LLC (1)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National Association (2)</w:t>
      </w:r>
    </w:p>
    <w:p>
      <w:pPr>
        <w:spacing w:after="0" w:line="230" w:lineRule="auto"/>
        <w:rPr>
          <w:sz w:val="20"/>
          <w:szCs w:val="20"/>
          <w:color w:val="auto"/>
        </w:rPr>
      </w:pPr>
      <w:r>
        <w:rPr>
          <w:rFonts w:ascii="Times New Roman" w:cs="Times New Roman" w:eastAsia="Times New Roman" w:hAnsi="Times New Roman"/>
          <w:sz w:val="22"/>
          <w:szCs w:val="22"/>
          <w:color w:val="auto"/>
        </w:rPr>
        <w:t>Wells Fargo Advisors Financial Network, LLC (1)</w:t>
      </w:r>
    </w:p>
    <w:p>
      <w:pPr>
        <w:spacing w:after="0" w:line="231" w:lineRule="auto"/>
        <w:rPr>
          <w:sz w:val="20"/>
          <w:szCs w:val="20"/>
          <w:color w:val="auto"/>
        </w:rPr>
      </w:pPr>
      <w:r>
        <w:rPr>
          <w:rFonts w:ascii="Times New Roman" w:cs="Times New Roman" w:eastAsia="Times New Roman" w:hAnsi="Times New Roman"/>
          <w:sz w:val="22"/>
          <w:szCs w:val="22"/>
          <w:color w:val="auto"/>
        </w:rPr>
        <w:t>Wells Fargo Funds Management, LLC (3)</w:t>
      </w:r>
    </w:p>
    <w:p>
      <w:pPr>
        <w:spacing w:after="0"/>
        <w:rPr>
          <w:sz w:val="20"/>
          <w:szCs w:val="20"/>
          <w:color w:val="auto"/>
        </w:rPr>
      </w:pPr>
      <w:r>
        <w:rPr>
          <w:rFonts w:ascii="Times New Roman" w:cs="Times New Roman" w:eastAsia="Times New Roman" w:hAnsi="Times New Roman"/>
          <w:sz w:val="22"/>
          <w:szCs w:val="22"/>
          <w:color w:val="auto"/>
        </w:rPr>
        <w:t>Wells Capital Management Incorporated (3)</w:t>
      </w:r>
    </w:p>
    <w:p>
      <w:pPr>
        <w:spacing w:after="0" w:line="209" w:lineRule="exact"/>
        <w:rPr>
          <w:sz w:val="20"/>
          <w:szCs w:val="20"/>
          <w:color w:val="auto"/>
        </w:rPr>
      </w:pP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broker dealer in accordance with Regulation 13d-1(b)(1)(ii)(A).</w:t>
      </w:r>
    </w:p>
    <w:p>
      <w:pPr>
        <w:spacing w:after="0" w:line="14" w:lineRule="exact"/>
        <w:rPr>
          <w:rFonts w:ascii="Times New Roman" w:cs="Times New Roman" w:eastAsia="Times New Roman" w:hAnsi="Times New Roman"/>
          <w:sz w:val="22"/>
          <w:szCs w:val="22"/>
          <w:color w:val="auto"/>
        </w:rPr>
      </w:pPr>
    </w:p>
    <w:p>
      <w:pPr>
        <w:ind w:left="300" w:hanging="298"/>
        <w:spacing w:after="0" w:line="230" w:lineRule="auto"/>
        <w:tabs>
          <w:tab w:leader="none" w:pos="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bank in accordance with Regulation 13d-1(b)(1)(ii)(B).</w:t>
      </w:r>
    </w:p>
    <w:p>
      <w:pPr>
        <w:ind w:left="300" w:hanging="298"/>
        <w:spacing w:after="0"/>
        <w:tabs>
          <w:tab w:leader="none" w:pos="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Classified as a registered investment advisor in accordance with Regulation 13d-1(b)(1)(ii)(E).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60" w:right="1299" w:hanging="1079"/>
        <w:spacing w:after="0" w:line="262" w:lineRule="auto"/>
        <w:tabs>
          <w:tab w:leader="none" w:pos="104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sectPr>
      <w:pgSz w:w="11900" w:h="16838" w:orient="portrait"/>
      <w:cols w:equalWidth="0" w:num="1">
        <w:col w:w="10079"/>
      </w:cols>
      <w:pgMar w:left="380" w:top="459" w:right="1440" w:bottom="3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1)"/>
      <w:numFmt w:val="lowerLetter"/>
      <w:start w:val="7"/>
    </w:lvl>
  </w:abstractNum>
  <w:abstractNum w:abstractNumId="11">
    <w:nsid w:val="333AB105"/>
    <w:multiLevelType w:val="hybridMultilevel"/>
    <w:lvl w:ilvl="0">
      <w:lvlJc w:val="left"/>
      <w:lvlText w:val="(%1)"/>
      <w:numFmt w:val="lowerLetter"/>
      <w:start w:val="1"/>
    </w:lvl>
    <w:lvl w:ilvl="1">
      <w:lvlJc w:val="left"/>
      <w:lvlText w:val="(%2)"/>
      <w:numFmt w:val="lowerRoman"/>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lvl w:ilvl="1">
      <w:lvlJc w:val="left"/>
      <w:lvlText w:val="(%2)"/>
      <w:numFmt w:val="lowerLetter"/>
      <w:start w:val="2"/>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lvl w:ilvl="1">
      <w:lvlJc w:val="left"/>
      <w:lvlText w:val="(%2)"/>
      <w:numFmt w:val="lowerRoman"/>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lowerLetter"/>
      <w:start w:val="2"/>
    </w:lvl>
  </w:abstractNum>
  <w:abstractNum w:abstractNumId="23">
    <w:nsid w:val="71F32454"/>
    <w:multiLevelType w:val="hybridMultilevel"/>
    <w:lvl w:ilvl="0">
      <w:lvlJc w:val="left"/>
      <w:lvlText w:val="%1."/>
      <w:numFmt w:val="decimal"/>
      <w:start w:val="2"/>
    </w:lvl>
    <w:lvl w:ilvl="1">
      <w:lvlJc w:val="left"/>
      <w:lvlText w:val="(%2)"/>
      <w:numFmt w:val="lowerLetter"/>
      <w:start w:val="1"/>
    </w:lvl>
  </w:abstractNum>
  <w:abstractNum w:abstractNumId="24">
    <w:nsid w:val="2CA88611"/>
    <w:multiLevelType w:val="hybridMultilevel"/>
    <w:lvl w:ilvl="0">
      <w:lvlJc w:val="left"/>
      <w:lvlText w:val="%1"/>
      <w:numFmt w:val="decimal"/>
      <w:start w:val="1"/>
    </w:lvl>
    <w:lvl w:ilvl="1">
      <w:lvlJc w:val="left"/>
      <w:lvlText w:val="%2."/>
      <w:numFmt w:val="decimal"/>
      <w:start w:val="8"/>
    </w:lvl>
  </w:abstractNum>
  <w:abstractNum w:abstractNumId="25">
    <w:nsid w:val="836C40E"/>
    <w:multiLevelType w:val="hybridMultilevel"/>
    <w:lvl w:ilvl="0">
      <w:lvlJc w:val="left"/>
      <w:lvlText w:val="%1."/>
      <w:numFmt w:val="decimal"/>
      <w:start w:val="9"/>
    </w:lvl>
    <w:lvl w:ilvl="1">
      <w:lvlJc w:val="left"/>
      <w:lvlText w:val="%2"/>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2021-02-12T08:28:15Z</dcterms:created>
  <dcterms:modified xsi:type="dcterms:W3CDTF">2021-02-12T08:28:15Z</dcterms:modified>
</cp:coreProperties>
</file>