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BYRNE SUSAN M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205" w:lineRule="exact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WESTWOOD HOLDINGS GROUP INC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WHG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9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3860" w:type="dxa"/>
            <w:vAlign w:val="bottom"/>
          </w:tcPr>
          <w:p>
            <w:pPr>
              <w:ind w:left="10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4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of the Board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20.275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252,293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Amended footnote to reflect purchase. Price reflected is the weighted-average purchase price for shares purchased. The range of purchase prices for the transactions reported was $20.05 to $20.50 per share. Full information regarding the number of shares purchased at each separate price will be provided to the Commission staff, the issuer, or a security holder of the issuer upon request.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Julie K. Gerron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04/30/2020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71441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2020-04-30T15:19:54Z</dcterms:created>
  <dcterms:modified xsi:type="dcterms:W3CDTF">2020-04-30T15:19:54Z</dcterms:modified>
</cp:coreProperties>
</file>