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BYRNE SUSAN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 CRESCENT COURT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1200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75201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WESTWOOD HOLDINGS GROUP INC </w:t>
              </w:r>
            </w:hyperlink>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3900" w:type="dxa"/>
            <w:vAlign w:val="bottom"/>
            <w:gridSpan w:val="2"/>
          </w:tcPr>
          <w:p>
            <w:pPr>
              <w:spacing w:after="0"/>
              <w:rPr>
                <w:sz w:val="3"/>
                <w:szCs w:val="3"/>
                <w:color w:val="auto"/>
              </w:rPr>
            </w:pPr>
          </w:p>
        </w:tc>
        <w:tc>
          <w:tcPr>
            <w:tcW w:w="520" w:type="dxa"/>
            <w:vAlign w:val="bottom"/>
            <w:vMerge w:val="restart"/>
          </w:tcPr>
          <w:p>
            <w:pPr>
              <w:ind w:left="280"/>
              <w:spacing w:after="0" w:line="55" w:lineRule="exact"/>
              <w:rPr>
                <w:sz w:val="20"/>
                <w:szCs w:val="20"/>
                <w:color w:val="auto"/>
              </w:rPr>
            </w:pPr>
            <w:r>
              <w:rPr>
                <w:rFonts w:ascii="Arial" w:cs="Arial" w:eastAsia="Arial" w:hAnsi="Arial"/>
                <w:sz w:val="5"/>
                <w:szCs w:val="5"/>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3"/>
                <w:szCs w:val="3"/>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
        </w:trPr>
        <w:tc>
          <w:tcPr>
            <w:tcW w:w="80" w:type="dxa"/>
            <w:vAlign w:val="bottom"/>
          </w:tcPr>
          <w:p>
            <w:pPr>
              <w:spacing w:after="0" w:line="20" w:lineRule="exact"/>
              <w:rPr>
                <w:sz w:val="1"/>
                <w:szCs w:val="1"/>
                <w:color w:val="auto"/>
              </w:rPr>
            </w:pPr>
          </w:p>
        </w:tc>
        <w:tc>
          <w:tcPr>
            <w:tcW w:w="362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WHG </w:t>
              </w:r>
              <w:r>
                <w:rPr>
                  <w:rFonts w:ascii="Arial" w:cs="Arial" w:eastAsia="Arial" w:hAnsi="Arial"/>
                  <w:sz w:val="1"/>
                  <w:szCs w:val="1"/>
                  <w:color w:val="000000"/>
                </w:rPr>
                <w:t>]</w:t>
              </w:r>
            </w:hyperlink>
          </w:p>
        </w:tc>
        <w:tc>
          <w:tcPr>
            <w:tcW w:w="28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3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20" w:type="dxa"/>
            <w:vAlign w:val="bottom"/>
          </w:tcPr>
          <w:p>
            <w:pPr>
              <w:spacing w:after="0"/>
              <w:rPr>
                <w:sz w:val="10"/>
                <w:szCs w:val="10"/>
                <w:color w:val="auto"/>
              </w:rPr>
            </w:pPr>
          </w:p>
        </w:tc>
        <w:tc>
          <w:tcPr>
            <w:tcW w:w="1240" w:type="dxa"/>
            <w:vAlign w:val="bottom"/>
          </w:tcPr>
          <w:p>
            <w:pPr>
              <w:ind w:left="100"/>
              <w:spacing w:after="0" w:line="102" w:lineRule="exact"/>
              <w:rPr>
                <w:sz w:val="20"/>
                <w:szCs w:val="20"/>
                <w:color w:val="auto"/>
              </w:rPr>
            </w:pPr>
            <w:r>
              <w:rPr>
                <w:rFonts w:ascii="Arial" w:cs="Arial" w:eastAsia="Arial" w:hAnsi="Arial"/>
                <w:sz w:val="11"/>
                <w:szCs w:val="11"/>
                <w:color w:val="auto"/>
              </w:rPr>
              <w:t>below)</w:t>
            </w:r>
          </w:p>
        </w:tc>
        <w:tc>
          <w:tcPr>
            <w:tcW w:w="380" w:type="dxa"/>
            <w:vAlign w:val="bottom"/>
            <w:vMerge w:val="continue"/>
          </w:tcPr>
          <w:p>
            <w:pPr>
              <w:spacing w:after="0"/>
              <w:rPr>
                <w:sz w:val="10"/>
                <w:szCs w:val="10"/>
                <w:color w:val="auto"/>
              </w:rPr>
            </w:pPr>
          </w:p>
        </w:tc>
        <w:tc>
          <w:tcPr>
            <w:tcW w:w="1280" w:type="dxa"/>
            <w:vAlign w:val="bottom"/>
          </w:tcPr>
          <w:p>
            <w:pPr>
              <w:ind w:left="120"/>
              <w:spacing w:after="0" w:line="102"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9"/>
                <w:szCs w:val="19"/>
                <w:color w:val="auto"/>
              </w:rPr>
            </w:pPr>
          </w:p>
        </w:tc>
        <w:tc>
          <w:tcPr>
            <w:tcW w:w="2900" w:type="dxa"/>
            <w:vAlign w:val="bottom"/>
            <w:gridSpan w:val="3"/>
          </w:tcPr>
          <w:p>
            <w:pPr>
              <w:ind w:left="200"/>
              <w:spacing w:after="0"/>
              <w:rPr>
                <w:sz w:val="20"/>
                <w:szCs w:val="20"/>
                <w:color w:val="auto"/>
              </w:rPr>
            </w:pPr>
            <w:r>
              <w:rPr>
                <w:rFonts w:ascii="Arial" w:cs="Arial" w:eastAsia="Arial" w:hAnsi="Arial"/>
                <w:sz w:val="18"/>
                <w:szCs w:val="18"/>
                <w:color w:val="0000FF"/>
              </w:rPr>
              <w:t>Vice Chairman of the Board</w:t>
            </w:r>
          </w:p>
        </w:tc>
        <w:tc>
          <w:tcPr>
            <w:tcW w:w="0" w:type="dxa"/>
            <w:vAlign w:val="bottom"/>
          </w:tcPr>
          <w:p>
            <w:pPr>
              <w:spacing w:after="0"/>
              <w:rPr>
                <w:sz w:val="1"/>
                <w:szCs w:val="1"/>
                <w:color w:val="auto"/>
              </w:rPr>
            </w:pPr>
          </w:p>
        </w:tc>
      </w:tr>
      <w:tr>
        <w:trPr>
          <w:trHeight w:val="222"/>
        </w:trPr>
        <w:tc>
          <w:tcPr>
            <w:tcW w:w="3700" w:type="dxa"/>
            <w:vAlign w:val="bottom"/>
            <w:gridSpan w:val="2"/>
          </w:tcPr>
          <w:p>
            <w:pPr>
              <w:ind w:left="80"/>
              <w:spacing w:after="0"/>
              <w:rPr>
                <w:sz w:val="20"/>
                <w:szCs w:val="20"/>
                <w:color w:val="auto"/>
              </w:rPr>
            </w:pPr>
            <w:r>
              <w:rPr>
                <w:rFonts w:ascii="Arial" w:cs="Arial" w:eastAsia="Arial" w:hAnsi="Arial"/>
                <w:sz w:val="18"/>
                <w:szCs w:val="18"/>
                <w:color w:val="0000FF"/>
              </w:rPr>
              <w:t>04/03/2012</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80" w:type="dxa"/>
            <w:vAlign w:val="bottom"/>
            <w:tcBorders>
              <w:bottom w:val="single" w:sz="8" w:color="2C2C2C"/>
            </w:tcBorders>
          </w:tcPr>
          <w:p>
            <w:pPr>
              <w:spacing w:after="0"/>
              <w:rPr>
                <w:sz w:val="14"/>
                <w:szCs w:val="14"/>
                <w:color w:val="auto"/>
              </w:rPr>
            </w:pPr>
          </w:p>
        </w:tc>
        <w:tc>
          <w:tcPr>
            <w:tcW w:w="36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420" w:type="dxa"/>
            <w:vAlign w:val="bottom"/>
            <w:tcBorders>
              <w:bottom w:val="single" w:sz="8" w:color="2C2C2C"/>
            </w:tcBorders>
            <w:gridSpan w:val="4"/>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370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04/05/2012</w:t>
            </w:r>
          </w:p>
        </w:tc>
        <w:tc>
          <w:tcPr>
            <w:tcW w:w="28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Line)</w:t>
            </w: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20" w:type="dxa"/>
            <w:vAlign w:val="bottom"/>
            <w:gridSpan w:val="4"/>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60" w:type="dxa"/>
            <w:vAlign w:val="bottom"/>
            <w:gridSpan w:val="2"/>
            <w:vMerge w:val="restart"/>
          </w:tcPr>
          <w:p>
            <w:pPr>
              <w:ind w:left="520"/>
              <w:spacing w:after="0"/>
              <w:rPr>
                <w:sz w:val="20"/>
                <w:szCs w:val="20"/>
                <w:color w:val="auto"/>
              </w:rPr>
            </w:pPr>
            <w:r>
              <w:rPr>
                <w:rFonts w:ascii="Arial" w:cs="Arial" w:eastAsia="Arial" w:hAnsi="Arial"/>
                <w:sz w:val="18"/>
                <w:szCs w:val="18"/>
                <w:color w:val="0000FF"/>
                <w:w w:val="94"/>
              </w:rPr>
              <w:t>04/03/2012</w:t>
            </w:r>
            <w:r>
              <w:rPr>
                <w:rFonts w:ascii="Arial" w:cs="Arial" w:eastAsia="Arial" w:hAnsi="Arial"/>
                <w:sz w:val="22"/>
                <w:szCs w:val="22"/>
                <w:color w:val="008000"/>
                <w:w w:val="94"/>
                <w:vertAlign w:val="superscript"/>
              </w:rPr>
              <w:t>(1)</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800" w:type="dxa"/>
            <w:vAlign w:val="bottom"/>
            <w:vMerge w:val="restart"/>
          </w:tcPr>
          <w:p>
            <w:pPr>
              <w:jc w:val="center"/>
              <w:ind w:right="76"/>
              <w:spacing w:after="0"/>
              <w:rPr>
                <w:sz w:val="20"/>
                <w:szCs w:val="20"/>
                <w:color w:val="auto"/>
              </w:rPr>
            </w:pPr>
            <w:r>
              <w:rPr>
                <w:rFonts w:ascii="Arial" w:cs="Arial" w:eastAsia="Arial" w:hAnsi="Arial"/>
                <w:sz w:val="18"/>
                <w:szCs w:val="18"/>
                <w:color w:val="0000FF"/>
                <w:w w:val="98"/>
              </w:rPr>
              <w:t>1,440</w:t>
            </w:r>
            <w:r>
              <w:rPr>
                <w:rFonts w:ascii="Arial" w:cs="Arial" w:eastAsia="Arial" w:hAnsi="Arial"/>
                <w:sz w:val="22"/>
                <w:szCs w:val="22"/>
                <w:color w:val="008000"/>
                <w:w w:val="98"/>
                <w:vertAlign w:val="superscript"/>
              </w:rPr>
              <w:t>(3)</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9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38.8611</w:t>
            </w:r>
            <w:r>
              <w:rPr>
                <w:rFonts w:ascii="Arial" w:cs="Arial" w:eastAsia="Arial" w:hAnsi="Arial"/>
                <w:sz w:val="22"/>
                <w:szCs w:val="22"/>
                <w:color w:val="008000"/>
                <w:w w:val="92"/>
                <w:vertAlign w:val="superscript"/>
              </w:rPr>
              <w:t>(4)</w:t>
            </w:r>
          </w:p>
        </w:tc>
        <w:tc>
          <w:tcPr>
            <w:tcW w:w="340" w:type="dxa"/>
            <w:vAlign w:val="bottom"/>
          </w:tcPr>
          <w:p>
            <w:pPr>
              <w:spacing w:after="0"/>
              <w:rPr>
                <w:sz w:val="22"/>
                <w:szCs w:val="22"/>
                <w:color w:val="auto"/>
              </w:rPr>
            </w:pPr>
          </w:p>
        </w:tc>
        <w:tc>
          <w:tcPr>
            <w:tcW w:w="900" w:type="dxa"/>
            <w:vAlign w:val="bottom"/>
            <w:vMerge w:val="restart"/>
          </w:tcPr>
          <w:p>
            <w:pPr>
              <w:ind w:left="20"/>
              <w:spacing w:after="0"/>
              <w:rPr>
                <w:sz w:val="20"/>
                <w:szCs w:val="20"/>
                <w:color w:val="auto"/>
              </w:rPr>
            </w:pPr>
            <w:r>
              <w:rPr>
                <w:rFonts w:ascii="Arial" w:cs="Arial" w:eastAsia="Arial" w:hAnsi="Arial"/>
                <w:sz w:val="18"/>
                <w:szCs w:val="18"/>
                <w:color w:val="0000FF"/>
              </w:rPr>
              <w:t>43,120</w:t>
            </w:r>
          </w:p>
        </w:tc>
        <w:tc>
          <w:tcPr>
            <w:tcW w:w="90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560" w:type="dxa"/>
            <w:vAlign w:val="bottom"/>
            <w:gridSpan w:val="2"/>
            <w:vMerge w:val="restart"/>
          </w:tcPr>
          <w:p>
            <w:pPr>
              <w:ind w:left="520"/>
              <w:spacing w:after="0"/>
              <w:rPr>
                <w:sz w:val="20"/>
                <w:szCs w:val="20"/>
                <w:color w:val="auto"/>
              </w:rPr>
            </w:pPr>
            <w:r>
              <w:rPr>
                <w:rFonts w:ascii="Arial" w:cs="Arial" w:eastAsia="Arial" w:hAnsi="Arial"/>
                <w:sz w:val="18"/>
                <w:szCs w:val="18"/>
                <w:color w:val="0000FF"/>
                <w:w w:val="94"/>
              </w:rPr>
              <w:t>06/21/2012</w:t>
            </w:r>
            <w:r>
              <w:rPr>
                <w:rFonts w:ascii="Arial" w:cs="Arial" w:eastAsia="Arial" w:hAnsi="Arial"/>
                <w:sz w:val="22"/>
                <w:szCs w:val="22"/>
                <w:color w:val="008000"/>
                <w:w w:val="94"/>
                <w:vertAlign w:val="superscript"/>
              </w:rPr>
              <w:t>(2)</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800" w:type="dxa"/>
            <w:vAlign w:val="bottom"/>
            <w:vMerge w:val="restart"/>
          </w:tcPr>
          <w:p>
            <w:pPr>
              <w:jc w:val="center"/>
              <w:ind w:right="136"/>
              <w:spacing w:after="0"/>
              <w:rPr>
                <w:sz w:val="20"/>
                <w:szCs w:val="20"/>
                <w:color w:val="auto"/>
              </w:rPr>
            </w:pPr>
            <w:r>
              <w:rPr>
                <w:rFonts w:ascii="Arial" w:cs="Arial" w:eastAsia="Arial" w:hAnsi="Arial"/>
                <w:sz w:val="35"/>
                <w:szCs w:val="35"/>
                <w:color w:val="0000FF"/>
                <w:vertAlign w:val="subscript"/>
              </w:rPr>
              <w:t>273</w:t>
            </w:r>
            <w:r>
              <w:rPr>
                <w:rFonts w:ascii="Arial" w:cs="Arial" w:eastAsia="Arial" w:hAnsi="Arial"/>
                <w:sz w:val="11"/>
                <w:szCs w:val="11"/>
                <w:color w:val="008000"/>
              </w:rPr>
              <w:t>(3)</w:t>
            </w:r>
          </w:p>
        </w:tc>
        <w:tc>
          <w:tcPr>
            <w:tcW w:w="480" w:type="dxa"/>
            <w:vAlign w:val="bottom"/>
            <w:vMerge w:val="restart"/>
          </w:tcPr>
          <w:p>
            <w:pPr>
              <w:ind w:left="180"/>
              <w:spacing w:after="0"/>
              <w:rPr>
                <w:sz w:val="20"/>
                <w:szCs w:val="20"/>
                <w:color w:val="auto"/>
              </w:rPr>
            </w:pPr>
            <w:r>
              <w:rPr>
                <w:rFonts w:ascii="Arial" w:cs="Arial" w:eastAsia="Arial" w:hAnsi="Arial"/>
                <w:sz w:val="18"/>
                <w:szCs w:val="18"/>
                <w:color w:val="0000FF"/>
              </w:rPr>
              <w:t>D</w:t>
            </w:r>
          </w:p>
        </w:tc>
        <w:tc>
          <w:tcPr>
            <w:tcW w:w="66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37</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vMerge w:val="restart"/>
          </w:tcPr>
          <w:p>
            <w:pPr>
              <w:ind w:left="20"/>
              <w:spacing w:after="0"/>
              <w:rPr>
                <w:sz w:val="20"/>
                <w:szCs w:val="20"/>
                <w:color w:val="auto"/>
              </w:rPr>
            </w:pPr>
            <w:r>
              <w:rPr>
                <w:rFonts w:ascii="Arial" w:cs="Arial" w:eastAsia="Arial" w:hAnsi="Arial"/>
                <w:sz w:val="18"/>
                <w:szCs w:val="18"/>
                <w:color w:val="0000FF"/>
              </w:rPr>
              <w:t>37,759</w:t>
            </w:r>
          </w:p>
        </w:tc>
        <w:tc>
          <w:tcPr>
            <w:tcW w:w="90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32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original Form 4 for this transaction was filed on April 5,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original Form 4 for this transaction was filed on June 22, 2012.</w:t>
      </w:r>
    </w:p>
    <w:p>
      <w:pPr>
        <w:spacing w:after="0" w:line="41" w:lineRule="exact"/>
        <w:rPr>
          <w:rFonts w:ascii="Arial" w:cs="Arial" w:eastAsia="Arial" w:hAnsi="Arial"/>
          <w:sz w:val="14"/>
          <w:szCs w:val="14"/>
          <w:color w:val="008000"/>
        </w:rPr>
      </w:pPr>
    </w:p>
    <w:p>
      <w:pPr>
        <w:ind w:left="40" w:right="6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on this Form 4/A were effected pursuant to a Rule 10b5-1 trading plan adopted by the reporting person's spouse on March 9, 2012. The transactions are being amended to correct inaccurate data previously given to the reporting person by the executing broker.</w:t>
      </w:r>
    </w:p>
    <w:p>
      <w:pPr>
        <w:spacing w:after="0" w:line="30"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Price reflected is the weighted-average sale price for shares sold. The range of sale prices for the transaction reported was $38.75 to $39.00 per share. Full information regarding the number of shares sold at each separate price will be provided to the Commission staff, the issuer, or a security holder of the issuer upon request.</w:t>
      </w:r>
    </w:p>
    <w:p>
      <w:pPr>
        <w:sectPr>
          <w:pgSz w:w="11900" w:h="16838" w:orient="portrait"/>
          <w:cols w:equalWidth="0" w:num="1">
            <w:col w:w="11420"/>
          </w:cols>
          <w:pgMar w:left="240" w:top="226" w:right="239" w:bottom="1440" w:gutter="0" w:footer="0" w:header="0"/>
          <w:type w:val="continuous"/>
        </w:sectPr>
      </w:pP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Julie K. Gerron as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52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525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0000FF"/>
        </w:rPr>
        <w:t>04/26/2018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1441" TargetMode="External"/><Relationship Id="rId13" Type="http://schemas.openxmlformats.org/officeDocument/2006/relationships/hyperlink" Target="http://www.sec.gov/cgi-bin/browse-edgar?action=getcompany&amp;CIK=00011650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2019-12-04T00:53:29Z</dcterms:created>
  <dcterms:modified xsi:type="dcterms:W3CDTF">2019-12-04T00:53:29Z</dcterms:modified>
</cp:coreProperties>
</file>