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4"/>
          <w:szCs w:val="14"/>
          <w:color w:val="auto"/>
        </w:rPr>
        <w:t>As filed with the Securities and Exchange Commission on May 11, 2018</w:t>
      </w:r>
    </w:p>
    <w:p>
      <w:pPr>
        <w:spacing w:after="0" w:line="13" w:lineRule="exact"/>
        <w:rPr>
          <w:sz w:val="24"/>
          <w:szCs w:val="24"/>
          <w:color w:val="auto"/>
        </w:rPr>
      </w:pPr>
    </w:p>
    <w:p>
      <w:pPr>
        <w:jc w:val="right"/>
        <w:spacing w:after="0"/>
        <w:rPr>
          <w:sz w:val="20"/>
          <w:szCs w:val="20"/>
          <w:color w:val="auto"/>
        </w:rPr>
      </w:pPr>
      <w:r>
        <w:rPr>
          <w:rFonts w:ascii="Arial" w:cs="Arial" w:eastAsia="Arial" w:hAnsi="Arial"/>
          <w:sz w:val="14"/>
          <w:szCs w:val="14"/>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60960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70"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UNITED STATES</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Washington, D.C. 20549</w:t>
      </w:r>
    </w:p>
    <w:p>
      <w:pPr>
        <w:spacing w:after="0" w:line="93" w:lineRule="exact"/>
        <w:rPr>
          <w:sz w:val="24"/>
          <w:szCs w:val="24"/>
          <w:color w:val="auto"/>
        </w:rPr>
      </w:pPr>
    </w:p>
    <w:p>
      <w:pPr>
        <w:ind w:left="5340"/>
        <w:spacing w:after="0"/>
        <w:rPr>
          <w:sz w:val="20"/>
          <w:szCs w:val="20"/>
          <w:color w:val="auto"/>
        </w:rPr>
      </w:pPr>
      <w:r>
        <w:rPr>
          <w:rFonts w:ascii="Arial" w:cs="Arial" w:eastAsia="Arial" w:hAnsi="Arial"/>
          <w:sz w:val="14"/>
          <w:szCs w:val="14"/>
          <w:b w:val="1"/>
          <w:bCs w:val="1"/>
          <w:color w:val="auto"/>
        </w:rPr>
        <w:t>FORM S-8</w:t>
      </w:r>
    </w:p>
    <w:p>
      <w:pPr>
        <w:spacing w:after="0" w:line="109" w:lineRule="exact"/>
        <w:rPr>
          <w:sz w:val="24"/>
          <w:szCs w:val="24"/>
          <w:color w:val="auto"/>
        </w:rPr>
      </w:pPr>
    </w:p>
    <w:p>
      <w:pPr>
        <w:ind w:left="3320"/>
        <w:spacing w:after="0"/>
        <w:rPr>
          <w:sz w:val="20"/>
          <w:szCs w:val="20"/>
          <w:color w:val="auto"/>
        </w:rPr>
      </w:pPr>
      <w:r>
        <w:rPr>
          <w:rFonts w:ascii="Arial" w:cs="Arial" w:eastAsia="Arial" w:hAnsi="Arial"/>
          <w:sz w:val="14"/>
          <w:szCs w:val="14"/>
          <w:b w:val="1"/>
          <w:bCs w:val="1"/>
          <w:color w:val="auto"/>
        </w:rPr>
        <w:t>REGISTRATION STATEMENT UNDER THE SECURITIES ACT OF 1933</w:t>
      </w:r>
    </w:p>
    <w:p>
      <w:pPr>
        <w:spacing w:after="0" w:line="109" w:lineRule="exact"/>
        <w:rPr>
          <w:sz w:val="24"/>
          <w:szCs w:val="24"/>
          <w:color w:val="auto"/>
        </w:rPr>
      </w:pPr>
    </w:p>
    <w:p>
      <w:pPr>
        <w:ind w:left="4360"/>
        <w:spacing w:after="0"/>
        <w:rPr>
          <w:sz w:val="20"/>
          <w:szCs w:val="20"/>
          <w:color w:val="auto"/>
        </w:rPr>
      </w:pPr>
      <w:r>
        <w:rPr>
          <w:rFonts w:ascii="Arial" w:cs="Arial" w:eastAsia="Arial" w:hAnsi="Arial"/>
          <w:sz w:val="14"/>
          <w:szCs w:val="14"/>
          <w:b w:val="1"/>
          <w:bCs w:val="1"/>
          <w:color w:val="auto"/>
        </w:rPr>
        <w:t>WESTWOOD HOLDINGS GROUP, INC.</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(Exact name of registrant as specified in its charter)</w:t>
      </w:r>
    </w:p>
    <w:p>
      <w:pPr>
        <w:spacing w:after="0" w:line="260" w:lineRule="exact"/>
        <w:rPr>
          <w:sz w:val="24"/>
          <w:szCs w:val="24"/>
          <w:color w:val="auto"/>
        </w:rPr>
      </w:pPr>
    </w:p>
    <w:tbl>
      <w:tblPr>
        <w:tblLayout w:type="fixed"/>
        <w:tblInd w:w="1460" w:type="dxa"/>
        <w:tblCellMar>
          <w:top w:w="0" w:type="dxa"/>
          <w:left w:w="0" w:type="dxa"/>
          <w:bottom w:w="0" w:type="dxa"/>
          <w:right w:w="0" w:type="dxa"/>
        </w:tblCellMar>
      </w:tblPr>
      <w:tr>
        <w:trPr>
          <w:trHeight w:val="161"/>
        </w:trPr>
        <w:tc>
          <w:tcPr>
            <w:tcW w:w="4600" w:type="dxa"/>
            <w:vAlign w:val="bottom"/>
          </w:tcPr>
          <w:p>
            <w:pPr>
              <w:jc w:val="center"/>
              <w:ind w:right="2028"/>
              <w:spacing w:after="0"/>
              <w:rPr>
                <w:sz w:val="20"/>
                <w:szCs w:val="20"/>
                <w:color w:val="auto"/>
              </w:rPr>
            </w:pPr>
            <w:r>
              <w:rPr>
                <w:rFonts w:ascii="Arial" w:cs="Arial" w:eastAsia="Arial" w:hAnsi="Arial"/>
                <w:sz w:val="14"/>
                <w:szCs w:val="14"/>
                <w:b w:val="1"/>
                <w:bCs w:val="1"/>
                <w:color w:val="auto"/>
                <w:w w:val="94"/>
              </w:rPr>
              <w:t>Delaware</w:t>
            </w:r>
          </w:p>
        </w:tc>
        <w:tc>
          <w:tcPr>
            <w:tcW w:w="3180" w:type="dxa"/>
            <w:vAlign w:val="bottom"/>
          </w:tcPr>
          <w:p>
            <w:pPr>
              <w:jc w:val="right"/>
              <w:ind w:right="128"/>
              <w:spacing w:after="0"/>
              <w:rPr>
                <w:sz w:val="20"/>
                <w:szCs w:val="20"/>
                <w:color w:val="auto"/>
              </w:rPr>
            </w:pPr>
            <w:r>
              <w:rPr>
                <w:rFonts w:ascii="Arial" w:cs="Arial" w:eastAsia="Arial" w:hAnsi="Arial"/>
                <w:sz w:val="14"/>
                <w:szCs w:val="14"/>
                <w:b w:val="1"/>
                <w:bCs w:val="1"/>
                <w:color w:val="auto"/>
              </w:rPr>
              <w:t>75-2969997</w:t>
            </w:r>
          </w:p>
        </w:tc>
      </w:tr>
      <w:tr>
        <w:trPr>
          <w:trHeight w:val="149"/>
        </w:trPr>
        <w:tc>
          <w:tcPr>
            <w:tcW w:w="4600" w:type="dxa"/>
            <w:vAlign w:val="bottom"/>
          </w:tcPr>
          <w:p>
            <w:pPr>
              <w:jc w:val="center"/>
              <w:ind w:right="2028"/>
              <w:spacing w:after="0" w:line="149" w:lineRule="exact"/>
              <w:rPr>
                <w:sz w:val="20"/>
                <w:szCs w:val="20"/>
                <w:color w:val="auto"/>
              </w:rPr>
            </w:pPr>
            <w:r>
              <w:rPr>
                <w:rFonts w:ascii="Arial" w:cs="Arial" w:eastAsia="Arial" w:hAnsi="Arial"/>
                <w:sz w:val="14"/>
                <w:szCs w:val="14"/>
                <w:color w:val="auto"/>
                <w:w w:val="96"/>
              </w:rPr>
              <w:t>(State or other jurisdiction of incorporation</w:t>
            </w:r>
          </w:p>
        </w:tc>
        <w:tc>
          <w:tcPr>
            <w:tcW w:w="3180" w:type="dxa"/>
            <w:vAlign w:val="bottom"/>
          </w:tcPr>
          <w:p>
            <w:pPr>
              <w:jc w:val="center"/>
              <w:ind w:left="2028"/>
              <w:spacing w:after="0" w:line="149" w:lineRule="exact"/>
              <w:rPr>
                <w:sz w:val="20"/>
                <w:szCs w:val="20"/>
                <w:color w:val="auto"/>
              </w:rPr>
            </w:pPr>
            <w:r>
              <w:rPr>
                <w:rFonts w:ascii="Arial" w:cs="Arial" w:eastAsia="Arial" w:hAnsi="Arial"/>
                <w:sz w:val="14"/>
                <w:szCs w:val="14"/>
                <w:color w:val="auto"/>
                <w:w w:val="97"/>
              </w:rPr>
              <w:t>(I.R.S. Employer</w:t>
            </w:r>
          </w:p>
        </w:tc>
      </w:tr>
      <w:tr>
        <w:trPr>
          <w:trHeight w:val="182"/>
        </w:trPr>
        <w:tc>
          <w:tcPr>
            <w:tcW w:w="4600" w:type="dxa"/>
            <w:vAlign w:val="bottom"/>
          </w:tcPr>
          <w:p>
            <w:pPr>
              <w:jc w:val="center"/>
              <w:ind w:right="2048"/>
              <w:spacing w:after="0"/>
              <w:rPr>
                <w:sz w:val="20"/>
                <w:szCs w:val="20"/>
                <w:color w:val="auto"/>
              </w:rPr>
            </w:pPr>
            <w:r>
              <w:rPr>
                <w:rFonts w:ascii="Arial" w:cs="Arial" w:eastAsia="Arial" w:hAnsi="Arial"/>
                <w:sz w:val="14"/>
                <w:szCs w:val="14"/>
                <w:color w:val="auto"/>
                <w:w w:val="94"/>
              </w:rPr>
              <w:t>or organization)</w:t>
            </w:r>
          </w:p>
        </w:tc>
        <w:tc>
          <w:tcPr>
            <w:tcW w:w="3180" w:type="dxa"/>
            <w:vAlign w:val="bottom"/>
          </w:tcPr>
          <w:p>
            <w:pPr>
              <w:jc w:val="center"/>
              <w:ind w:left="2028"/>
              <w:spacing w:after="0"/>
              <w:rPr>
                <w:sz w:val="20"/>
                <w:szCs w:val="20"/>
                <w:color w:val="auto"/>
              </w:rPr>
            </w:pPr>
            <w:r>
              <w:rPr>
                <w:rFonts w:ascii="Arial" w:cs="Arial" w:eastAsia="Arial" w:hAnsi="Arial"/>
                <w:sz w:val="14"/>
                <w:szCs w:val="14"/>
                <w:color w:val="auto"/>
                <w:w w:val="99"/>
              </w:rPr>
              <w:t>Identification No.)</w:t>
            </w:r>
          </w:p>
        </w:tc>
      </w:tr>
      <w:tr>
        <w:trPr>
          <w:trHeight w:val="286"/>
        </w:trPr>
        <w:tc>
          <w:tcPr>
            <w:tcW w:w="4600" w:type="dxa"/>
            <w:vAlign w:val="bottom"/>
          </w:tcPr>
          <w:p>
            <w:pPr>
              <w:jc w:val="center"/>
              <w:ind w:right="2028"/>
              <w:spacing w:after="0"/>
              <w:rPr>
                <w:sz w:val="20"/>
                <w:szCs w:val="20"/>
                <w:color w:val="auto"/>
              </w:rPr>
            </w:pPr>
            <w:r>
              <w:rPr>
                <w:rFonts w:ascii="Arial" w:cs="Arial" w:eastAsia="Arial" w:hAnsi="Arial"/>
                <w:sz w:val="14"/>
                <w:szCs w:val="14"/>
                <w:b w:val="1"/>
                <w:bCs w:val="1"/>
                <w:color w:val="auto"/>
                <w:w w:val="92"/>
              </w:rPr>
              <w:t>200 Crescent Court, Suite 1200</w:t>
            </w:r>
          </w:p>
        </w:tc>
        <w:tc>
          <w:tcPr>
            <w:tcW w:w="3180" w:type="dxa"/>
            <w:vAlign w:val="bottom"/>
          </w:tcPr>
          <w:p>
            <w:pPr>
              <w:jc w:val="right"/>
              <w:ind w:right="288"/>
              <w:spacing w:after="0"/>
              <w:rPr>
                <w:sz w:val="20"/>
                <w:szCs w:val="20"/>
                <w:color w:val="auto"/>
              </w:rPr>
            </w:pPr>
            <w:r>
              <w:rPr>
                <w:rFonts w:ascii="Arial" w:cs="Arial" w:eastAsia="Arial" w:hAnsi="Arial"/>
                <w:sz w:val="14"/>
                <w:szCs w:val="14"/>
                <w:b w:val="1"/>
                <w:bCs w:val="1"/>
                <w:color w:val="auto"/>
              </w:rPr>
              <w:t>75201</w:t>
            </w:r>
          </w:p>
        </w:tc>
      </w:tr>
      <w:tr>
        <w:trPr>
          <w:trHeight w:val="153"/>
        </w:trPr>
        <w:tc>
          <w:tcPr>
            <w:tcW w:w="4600" w:type="dxa"/>
            <w:vAlign w:val="bottom"/>
          </w:tcPr>
          <w:p>
            <w:pPr>
              <w:jc w:val="center"/>
              <w:ind w:right="2028"/>
              <w:spacing w:after="0" w:line="153" w:lineRule="exact"/>
              <w:rPr>
                <w:sz w:val="20"/>
                <w:szCs w:val="20"/>
                <w:color w:val="auto"/>
              </w:rPr>
            </w:pPr>
            <w:r>
              <w:rPr>
                <w:rFonts w:ascii="Arial" w:cs="Arial" w:eastAsia="Arial" w:hAnsi="Arial"/>
                <w:sz w:val="14"/>
                <w:szCs w:val="14"/>
                <w:b w:val="1"/>
                <w:bCs w:val="1"/>
                <w:color w:val="auto"/>
                <w:w w:val="92"/>
              </w:rPr>
              <w:t>Dallas, Texas</w:t>
            </w:r>
          </w:p>
        </w:tc>
        <w:tc>
          <w:tcPr>
            <w:tcW w:w="3180" w:type="dxa"/>
            <w:vAlign w:val="bottom"/>
          </w:tcPr>
          <w:p>
            <w:pPr>
              <w:jc w:val="center"/>
              <w:ind w:left="2028"/>
              <w:spacing w:after="0" w:line="153" w:lineRule="exact"/>
              <w:rPr>
                <w:sz w:val="20"/>
                <w:szCs w:val="20"/>
                <w:color w:val="auto"/>
              </w:rPr>
            </w:pPr>
            <w:r>
              <w:rPr>
                <w:rFonts w:ascii="Arial" w:cs="Arial" w:eastAsia="Arial" w:hAnsi="Arial"/>
                <w:sz w:val="14"/>
                <w:szCs w:val="14"/>
                <w:color w:val="auto"/>
                <w:w w:val="96"/>
              </w:rPr>
              <w:t>(Zip Code)</w:t>
            </w:r>
          </w:p>
        </w:tc>
      </w:tr>
      <w:tr>
        <w:trPr>
          <w:trHeight w:val="182"/>
        </w:trPr>
        <w:tc>
          <w:tcPr>
            <w:tcW w:w="4600" w:type="dxa"/>
            <w:vAlign w:val="bottom"/>
          </w:tcPr>
          <w:p>
            <w:pPr>
              <w:jc w:val="center"/>
              <w:ind w:right="2028"/>
              <w:spacing w:after="0"/>
              <w:rPr>
                <w:sz w:val="20"/>
                <w:szCs w:val="20"/>
                <w:color w:val="auto"/>
              </w:rPr>
            </w:pPr>
            <w:r>
              <w:rPr>
                <w:rFonts w:ascii="Arial" w:cs="Arial" w:eastAsia="Arial" w:hAnsi="Arial"/>
                <w:sz w:val="14"/>
                <w:szCs w:val="14"/>
                <w:color w:val="auto"/>
                <w:w w:val="95"/>
              </w:rPr>
              <w:t>(Address of Principal Executive Offices)</w:t>
            </w:r>
          </w:p>
        </w:tc>
        <w:tc>
          <w:tcPr>
            <w:tcW w:w="3180" w:type="dxa"/>
            <w:vAlign w:val="bottom"/>
          </w:tcPr>
          <w:p>
            <w:pPr>
              <w:spacing w:after="0"/>
              <w:rPr>
                <w:sz w:val="15"/>
                <w:szCs w:val="15"/>
                <w:color w:val="auto"/>
              </w:rPr>
            </w:pPr>
          </w:p>
        </w:tc>
      </w:tr>
    </w:tbl>
    <w:p>
      <w:pPr>
        <w:spacing w:after="0" w:line="219"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FIFTH AMENDED AND RESTATED WESTWOOD HOLDINGS GROUP, INC. STOCK INCENTIVE PLAN</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(Full title of the plan)</w:t>
      </w:r>
    </w:p>
    <w:p>
      <w:pPr>
        <w:spacing w:after="0" w:line="9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Brian O. Casey</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Chief Executive Officer</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Westwood Holdings Group, Inc.</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200 Crescent Court, Suite 1200</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Dallas, Texas 75201</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(Name and address of agent for service)</w:t>
      </w:r>
    </w:p>
    <w:p>
      <w:pPr>
        <w:spacing w:after="0" w:line="9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(214) 756-6900</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(Telephone number, including area code, of agent for service)</w:t>
      </w:r>
    </w:p>
    <w:p>
      <w:pPr>
        <w:spacing w:after="0" w:line="97"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Copies to:</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Head of Corporate Section</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Norton Rose Fulbright US LLP</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2200 Ross Avenue, Suite 3600</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Dallas, Texas 75201</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Telephone: (214) 855-8000</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Facsimile: (214) 855-8200</w:t>
      </w:r>
    </w:p>
    <w:p>
      <w:pPr>
        <w:spacing w:after="0" w:line="313" w:lineRule="exact"/>
        <w:rPr>
          <w:sz w:val="24"/>
          <w:szCs w:val="24"/>
          <w:color w:val="auto"/>
        </w:rPr>
      </w:pPr>
    </w:p>
    <w:p>
      <w:pPr>
        <w:ind w:right="180" w:firstLine="648"/>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80"/>
          </w:cols>
          <w:pgMar w:left="280" w:top="229" w:right="239" w:bottom="1440" w:gutter="0" w:footer="0" w:header="0"/>
        </w:sectPr>
      </w:pPr>
    </w:p>
    <w:p>
      <w:pPr>
        <w:spacing w:after="0" w:line="25"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121" w:lineRule="exact"/>
        <w:rPr>
          <w:sz w:val="24"/>
          <w:szCs w:val="24"/>
          <w:color w:val="auto"/>
        </w:rPr>
      </w:pPr>
    </w:p>
    <w:p>
      <w:pPr>
        <w:sectPr>
          <w:pgSz w:w="11900" w:h="16838" w:orient="portrait"/>
          <w:cols w:equalWidth="0" w:num="2">
            <w:col w:w="6580" w:space="720"/>
            <w:col w:w="4080"/>
          </w:cols>
          <w:pgMar w:left="280" w:top="229" w:right="239" w:bottom="1440" w:gutter="0" w:footer="0" w:header="0"/>
          <w:type w:val="continuous"/>
        </w:sectPr>
      </w:pPr>
    </w:p>
    <w:p>
      <w:pPr>
        <w:spacing w:after="0" w:line="150" w:lineRule="exact"/>
        <w:rPr>
          <w:sz w:val="20"/>
          <w:szCs w:val="20"/>
          <w:color w:val="auto"/>
        </w:rPr>
      </w:pPr>
      <w:r>
        <w:rPr>
          <w:rFonts w:ascii="Arial" w:cs="Arial" w:eastAsia="Arial" w:hAnsi="Arial"/>
          <w:sz w:val="13"/>
          <w:szCs w:val="13"/>
          <w:color w:val="auto"/>
        </w:rPr>
        <w:t>Non</w:t>
      </w:r>
      <w:r>
        <w:rPr>
          <w:rFonts w:ascii="MS PGothic" w:cs="MS PGothic" w:eastAsia="MS PGothic" w:hAnsi="MS PGothic"/>
          <w:sz w:val="13"/>
          <w:szCs w:val="13"/>
          <w:color w:val="auto"/>
        </w:rPr>
        <w:t>‑</w:t>
      </w: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r>
        <w:rPr>
          <w:rFonts w:ascii="Arial" w:cs="Arial" w:eastAsia="Arial" w:hAnsi="Arial"/>
          <w:sz w:val="13"/>
          <w:szCs w:val="13"/>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21" w:lineRule="exact"/>
        <w:rPr>
          <w:sz w:val="24"/>
          <w:szCs w:val="24"/>
          <w:color w:val="auto"/>
        </w:rPr>
      </w:pPr>
    </w:p>
    <w:p>
      <w:pPr>
        <w:sectPr>
          <w:pgSz w:w="11900" w:h="16838" w:orient="portrait"/>
          <w:cols w:equalWidth="0" w:num="2">
            <w:col w:w="6580" w:space="720"/>
            <w:col w:w="4080"/>
          </w:cols>
          <w:pgMar w:left="280" w:top="229" w:right="239" w:bottom="1440" w:gutter="0" w:footer="0" w:header="0"/>
          <w:type w:val="continuous"/>
        </w:sectPr>
      </w:pPr>
    </w:p>
    <w:p>
      <w:pPr>
        <w:ind w:left="730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11380"/>
          </w:cols>
          <w:pgMar w:left="280" w:top="229" w:right="239" w:bottom="1440" w:gutter="0" w:footer="0" w:header="0"/>
          <w:type w:val="continuous"/>
        </w:sectPr>
      </w:pPr>
    </w:p>
    <w:p>
      <w:pPr>
        <w:spacing w:after="0" w:line="121" w:lineRule="exact"/>
        <w:rPr>
          <w:sz w:val="24"/>
          <w:szCs w:val="24"/>
          <w:color w:val="auto"/>
        </w:rPr>
      </w:pPr>
    </w:p>
    <w:p>
      <w:pPr>
        <w:ind w:left="220" w:right="50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pacing w:after="0" w:line="12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CALCULATION OF REGISTRATION FEE</w:t>
      </w:r>
    </w:p>
    <w:p>
      <w:pPr>
        <w:spacing w:after="0" w:line="139" w:lineRule="exact"/>
        <w:rPr>
          <w:sz w:val="24"/>
          <w:szCs w:val="24"/>
          <w:color w:val="auto"/>
        </w:rPr>
      </w:pPr>
    </w:p>
    <w:tbl>
      <w:tblPr>
        <w:tblLayout w:type="fixed"/>
        <w:tblInd w:w="630" w:type="dxa"/>
        <w:tblCellMar>
          <w:top w:w="0" w:type="dxa"/>
          <w:left w:w="0" w:type="dxa"/>
          <w:bottom w:w="0" w:type="dxa"/>
          <w:right w:w="0" w:type="dxa"/>
        </w:tblCellMar>
      </w:tblPr>
      <w:tr>
        <w:trPr>
          <w:trHeight w:val="170"/>
        </w:trPr>
        <w:tc>
          <w:tcPr>
            <w:tcW w:w="1940" w:type="dxa"/>
            <w:vAlign w:val="bottom"/>
            <w:tcBorders>
              <w:top w:val="single" w:sz="8" w:color="auto"/>
              <w:left w:val="single" w:sz="8" w:color="auto"/>
              <w:right w:val="single" w:sz="8" w:color="auto"/>
            </w:tcBorders>
          </w:tcPr>
          <w:p>
            <w:pPr>
              <w:spacing w:after="0"/>
              <w:rPr>
                <w:sz w:val="14"/>
                <w:szCs w:val="14"/>
                <w:color w:val="auto"/>
              </w:rPr>
            </w:pPr>
          </w:p>
        </w:tc>
        <w:tc>
          <w:tcPr>
            <w:tcW w:w="2100" w:type="dxa"/>
            <w:vAlign w:val="bottom"/>
            <w:tcBorders>
              <w:top w:val="single" w:sz="8" w:color="auto"/>
              <w:right w:val="single" w:sz="8" w:color="auto"/>
            </w:tcBorders>
          </w:tcPr>
          <w:p>
            <w:pPr>
              <w:spacing w:after="0"/>
              <w:rPr>
                <w:sz w:val="14"/>
                <w:szCs w:val="14"/>
                <w:color w:val="auto"/>
              </w:rPr>
            </w:pPr>
          </w:p>
        </w:tc>
        <w:tc>
          <w:tcPr>
            <w:tcW w:w="2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Proposed maximum offering</w:t>
            </w:r>
          </w:p>
        </w:tc>
        <w:tc>
          <w:tcPr>
            <w:tcW w:w="2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Proposed maximum aggregate</w:t>
            </w:r>
          </w:p>
        </w:tc>
        <w:tc>
          <w:tcPr>
            <w:tcW w:w="2020" w:type="dxa"/>
            <w:vAlign w:val="bottom"/>
            <w:tcBorders>
              <w:top w:val="single" w:sz="8" w:color="auto"/>
              <w:right w:val="single" w:sz="8" w:color="auto"/>
            </w:tcBorders>
          </w:tcPr>
          <w:p>
            <w:pPr>
              <w:spacing w:after="0"/>
              <w:rPr>
                <w:sz w:val="14"/>
                <w:szCs w:val="14"/>
                <w:color w:val="auto"/>
              </w:rPr>
            </w:pPr>
          </w:p>
        </w:tc>
      </w:tr>
      <w:tr>
        <w:trPr>
          <w:trHeight w:val="149"/>
        </w:trPr>
        <w:tc>
          <w:tcPr>
            <w:tcW w:w="194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Title of securities to be</w:t>
            </w:r>
          </w:p>
        </w:tc>
        <w:tc>
          <w:tcPr>
            <w:tcW w:w="21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Amount to be registered(1)(2)</w:t>
            </w:r>
          </w:p>
        </w:tc>
        <w:tc>
          <w:tcPr>
            <w:tcW w:w="2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price per share(3)</w:t>
            </w:r>
          </w:p>
        </w:tc>
        <w:tc>
          <w:tcPr>
            <w:tcW w:w="20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offering price(3)</w:t>
            </w:r>
          </w:p>
        </w:tc>
        <w:tc>
          <w:tcPr>
            <w:tcW w:w="2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Amount of registration fee(3)</w:t>
            </w:r>
          </w:p>
        </w:tc>
      </w:tr>
      <w:tr>
        <w:trPr>
          <w:trHeight w:val="188"/>
        </w:trPr>
        <w:tc>
          <w:tcPr>
            <w:tcW w:w="1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registered</w:t>
            </w:r>
          </w:p>
        </w:tc>
        <w:tc>
          <w:tcPr>
            <w:tcW w:w="210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16"/>
                <w:szCs w:val="16"/>
                <w:color w:val="auto"/>
              </w:rPr>
            </w:pPr>
          </w:p>
        </w:tc>
        <w:tc>
          <w:tcPr>
            <w:tcW w:w="200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16"/>
                <w:szCs w:val="16"/>
                <w:color w:val="auto"/>
              </w:rPr>
            </w:pPr>
          </w:p>
        </w:tc>
      </w:tr>
      <w:tr>
        <w:trPr>
          <w:trHeight w:val="156"/>
        </w:trPr>
        <w:tc>
          <w:tcPr>
            <w:tcW w:w="1940" w:type="dxa"/>
            <w:vAlign w:val="bottom"/>
            <w:tcBorders>
              <w:left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3"/>
              </w:rPr>
              <w:t>Common Stock, $0.01 par</w:t>
            </w:r>
          </w:p>
        </w:tc>
        <w:tc>
          <w:tcPr>
            <w:tcW w:w="210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89"/>
              </w:rPr>
              <w:t>200,000 shares</w:t>
            </w:r>
          </w:p>
        </w:tc>
        <w:tc>
          <w:tcPr>
            <w:tcW w:w="202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3"/>
              </w:rPr>
              <w:t>$57.47</w:t>
            </w:r>
          </w:p>
        </w:tc>
        <w:tc>
          <w:tcPr>
            <w:tcW w:w="200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2"/>
              </w:rPr>
              <w:t>$11,494,000.00</w:t>
            </w:r>
          </w:p>
        </w:tc>
        <w:tc>
          <w:tcPr>
            <w:tcW w:w="2020" w:type="dxa"/>
            <w:vAlign w:val="bottom"/>
            <w:tcBorders>
              <w:right w:val="single" w:sz="8" w:color="auto"/>
            </w:tcBorders>
          </w:tcPr>
          <w:p>
            <w:pPr>
              <w:jc w:val="right"/>
              <w:ind w:right="668"/>
              <w:spacing w:after="0" w:line="157" w:lineRule="exact"/>
              <w:rPr>
                <w:sz w:val="20"/>
                <w:szCs w:val="20"/>
                <w:color w:val="auto"/>
              </w:rPr>
            </w:pPr>
            <w:r>
              <w:rPr>
                <w:rFonts w:ascii="Arial" w:cs="Arial" w:eastAsia="Arial" w:hAnsi="Arial"/>
                <w:sz w:val="14"/>
                <w:szCs w:val="14"/>
                <w:color w:val="auto"/>
              </w:rPr>
              <w:t>$1,431.00</w:t>
            </w:r>
          </w:p>
        </w:tc>
      </w:tr>
      <w:tr>
        <w:trPr>
          <w:trHeight w:val="188"/>
        </w:trPr>
        <w:tc>
          <w:tcPr>
            <w:tcW w:w="1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value per share</w:t>
            </w:r>
          </w:p>
        </w:tc>
        <w:tc>
          <w:tcPr>
            <w:tcW w:w="210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16"/>
                <w:szCs w:val="16"/>
                <w:color w:val="auto"/>
              </w:rPr>
            </w:pPr>
          </w:p>
        </w:tc>
        <w:tc>
          <w:tcPr>
            <w:tcW w:w="200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16"/>
                <w:szCs w:val="16"/>
                <w:color w:val="auto"/>
              </w:rPr>
            </w:pPr>
          </w:p>
        </w:tc>
      </w:tr>
    </w:tbl>
    <w:p>
      <w:pPr>
        <w:spacing w:after="0" w:line="143" w:lineRule="exact"/>
        <w:rPr>
          <w:sz w:val="24"/>
          <w:szCs w:val="24"/>
          <w:color w:val="auto"/>
        </w:rPr>
      </w:pPr>
    </w:p>
    <w:p>
      <w:pPr>
        <w:jc w:val="both"/>
        <w:ind w:left="620" w:hanging="4"/>
        <w:spacing w:after="0" w:line="252" w:lineRule="auto"/>
        <w:tabs>
          <w:tab w:leader="none" w:pos="826"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securities to be registered include an aggregate of 200,000 shares of Westwood Holdings Group, Inc.’s common stock, par value $0.01 per share (the “Common Stock”), reserved for issuance under the Fifth Amended and Restated Westwood Holdings Group, Inc. Stock Incentive Plan (the “Plan”). The Plan has recently been amended and restated to (among other things) increase the number of shares of Common Stock issuable under the Plan. The additional shares of Common Stock issuable under the Plan are being registered by this Registration Statement.</w:t>
      </w:r>
    </w:p>
    <w:p>
      <w:pPr>
        <w:spacing w:after="0" w:line="26" w:lineRule="exact"/>
        <w:rPr>
          <w:rFonts w:ascii="Arial" w:cs="Arial" w:eastAsia="Arial" w:hAnsi="Arial"/>
          <w:sz w:val="14"/>
          <w:szCs w:val="14"/>
          <w:color w:val="auto"/>
        </w:rPr>
      </w:pPr>
    </w:p>
    <w:p>
      <w:pPr>
        <w:jc w:val="both"/>
        <w:ind w:left="620" w:hanging="4"/>
        <w:spacing w:after="0" w:line="257" w:lineRule="auto"/>
        <w:tabs>
          <w:tab w:leader="none" w:pos="827" w:val="left"/>
        </w:tabs>
        <w:numPr>
          <w:ilvl w:val="0"/>
          <w:numId w:val="1"/>
        </w:numPr>
        <w:rPr>
          <w:rFonts w:ascii="Arial" w:cs="Arial" w:eastAsia="Arial" w:hAnsi="Arial"/>
          <w:sz w:val="14"/>
          <w:szCs w:val="14"/>
          <w:color w:val="auto"/>
        </w:rPr>
      </w:pPr>
      <w:r>
        <w:rPr>
          <w:rFonts w:ascii="Arial" w:cs="Arial" w:eastAsia="Arial" w:hAnsi="Arial"/>
          <w:sz w:val="14"/>
          <w:szCs w:val="14"/>
          <w:color w:val="auto"/>
        </w:rPr>
        <w:t>If, as a result of stock splits, stock dividends or similar transactions, the number of securities purported to be registered on this Registration Statement changes, the provisions of Rule 416 shall apply to this Registration Statement, and this Registration Statement shall be deemed to cover the additional securities resulting from the split of, or dividend on, the securities covered by this Registration Statement.</w:t>
      </w:r>
    </w:p>
    <w:p>
      <w:pPr>
        <w:spacing w:after="0" w:line="23" w:lineRule="exact"/>
        <w:rPr>
          <w:rFonts w:ascii="Arial" w:cs="Arial" w:eastAsia="Arial" w:hAnsi="Arial"/>
          <w:sz w:val="14"/>
          <w:szCs w:val="14"/>
          <w:color w:val="auto"/>
        </w:rPr>
      </w:pPr>
    </w:p>
    <w:p>
      <w:pPr>
        <w:jc w:val="both"/>
        <w:ind w:left="620" w:hanging="4"/>
        <w:spacing w:after="0" w:line="257" w:lineRule="auto"/>
        <w:tabs>
          <w:tab w:leader="none" w:pos="825"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in accordance with Rule 457(c) solely for purposes of calculating the registration fee. The maximum price per Security and the maximum aggregate offering price are based on the average of the $58.19 (high) and $56.75 (low) sale price of the Registrant’s Common as reported on the New York Stock Exchange on May 7, 2018, which date is within five business days prior to filing this Registration Statement.</w:t>
      </w:r>
    </w:p>
    <w:p>
      <w:pPr>
        <w:spacing w:after="0" w:line="216" w:lineRule="exact"/>
        <w:rPr>
          <w:sz w:val="24"/>
          <w:szCs w:val="24"/>
          <w:color w:val="auto"/>
        </w:rPr>
      </w:pPr>
    </w:p>
    <w:p>
      <w:pPr>
        <w:ind w:left="484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80" w:top="22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EXPLANATORY NOTE</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3"/>
          <w:szCs w:val="13"/>
          <w:color w:val="auto"/>
        </w:rPr>
        <w:t>This Registration Statement relates solely to the registration of additional securities of the same class as other securities for which a registration statement on this form relating to an employee benefit plan is effective. This Registration Statement is filed for the purpose of registering an additional 200,000 shares of common stock, $0.01 par value (“Common Stock”), of Westwood Holdings Group, Inc. (the “Registrant”) pursuant to the Fifth Amended and Restated Westwood Holdings Group, Inc. Stock Incentive Plan, as amended (the “Plan”). This registration of 200,000 shares of Common Stock will increase the number of shares registered for issuance under the Plan to an aggregate of 4,848,100 shares of Common Stock, subject to adjustment as provided in the Plan. Pursuant to General Instruction E to Form S-8, the contents of the Registration Statement on Form S-8 registering 948,100 shares of the Registrant’s Common Stock, filed on August 28, 2002 (Registration Statement 333-98841); the Registration Statement on Form S-8 registering an additional 1,000,000 shares of the Registrant’s Common Stock, filed on May 10, 2006 (Registration Statement 333-133963); the Registration Statement on Form S-8 registering an additional 700,000 shares of the Registrant’s Common Stock, filed on July 1, 2009 (Registration Statement 333-160377); the Registration Statement on Form S-8 registering an additional 750,000 shares of the Registrant’s Common Stock, filed on July 21, 2011 (Registration Statement 333-175696); the Registration Statement on Form S-8 registering an additional 500,000 shares of the Registrant’s Common Stock, filed on April 18, 2013 (Registration Statement 333-188002); the Registration Statement on Form S-8 registering an additional 500,000 shares of the Registrant’s Common Stock, filed on April 29, 2015 (Registration Statement 333-203728); and the Registration Statement on Form S-8 registering an additional 250,000 shares of the Registrant's Common Stock, filed on May 18, 2017 (Registration Statement 333-218080) are incorporated by reference into this Registration Statement, except as amended hereby. Pursuant to General Instruction E of Form S-8, all information that has been incorporated by reference from the original registration statement is not repeated in this Registration Statement.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INFORMATION REQUIRED IN THE REGISTRATION STATEMENT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Incorporation of Documents by Reference.</w:t>
      </w:r>
    </w:p>
    <w:p>
      <w:pPr>
        <w:spacing w:after="0" w:line="12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4"/>
          <w:szCs w:val="14"/>
          <w:color w:val="auto"/>
        </w:rPr>
        <w:t>The following documents, previously filed by the Registrant with the Securities and Exchange Commission (the “Commission”) pursuant to the Securities Exchange Act of 1934, as amended (the “Exchange Act”), are incorporated by reference into this Registration Statement:</w:t>
      </w:r>
    </w:p>
    <w:p>
      <w:pPr>
        <w:spacing w:after="0" w:line="79"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4"/>
          <w:szCs w:val="14"/>
          <w:color w:val="auto"/>
        </w:rPr>
      </w:pPr>
      <w:r>
        <w:rPr>
          <w:rFonts w:ascii="Arial" w:cs="Arial" w:eastAsia="Arial" w:hAnsi="Arial"/>
          <w:sz w:val="14"/>
          <w:szCs w:val="14"/>
          <w:color w:val="auto"/>
        </w:rPr>
        <w:t>Annual report on Form 10-K for the fiscal year ended December 31, 2017, filed with the Commission on February 23, 2018;</w:t>
      </w:r>
    </w:p>
    <w:p>
      <w:pPr>
        <w:spacing w:after="0" w:line="122" w:lineRule="exact"/>
        <w:rPr>
          <w:rFonts w:ascii="Arial" w:cs="Arial" w:eastAsia="Arial" w:hAnsi="Arial"/>
          <w:sz w:val="14"/>
          <w:szCs w:val="14"/>
          <w:color w:val="auto"/>
        </w:rPr>
      </w:pPr>
    </w:p>
    <w:p>
      <w:pPr>
        <w:ind w:left="1300" w:hanging="644"/>
        <w:spacing w:after="0"/>
        <w:tabs>
          <w:tab w:leader="none" w:pos="1300" w:val="left"/>
        </w:tabs>
        <w:numPr>
          <w:ilvl w:val="0"/>
          <w:numId w:val="2"/>
        </w:numPr>
        <w:rPr>
          <w:rFonts w:ascii="Arial" w:cs="Arial" w:eastAsia="Arial" w:hAnsi="Arial"/>
          <w:sz w:val="14"/>
          <w:szCs w:val="14"/>
          <w:color w:val="auto"/>
        </w:rPr>
      </w:pPr>
      <w:r>
        <w:rPr>
          <w:rFonts w:ascii="Arial" w:cs="Arial" w:eastAsia="Arial" w:hAnsi="Arial"/>
          <w:sz w:val="14"/>
          <w:szCs w:val="14"/>
          <w:color w:val="auto"/>
        </w:rPr>
        <w:t>Quarterly report on Form 10-Q for the quarterly period ended March 31, 2018, filed with the Commission on April 25, 2018;</w:t>
      </w:r>
    </w:p>
    <w:p>
      <w:pPr>
        <w:spacing w:after="0" w:line="122" w:lineRule="exact"/>
        <w:rPr>
          <w:rFonts w:ascii="Arial" w:cs="Arial" w:eastAsia="Arial" w:hAnsi="Arial"/>
          <w:sz w:val="14"/>
          <w:szCs w:val="14"/>
          <w:color w:val="auto"/>
        </w:rPr>
      </w:pPr>
    </w:p>
    <w:p>
      <w:pPr>
        <w:ind w:left="1300" w:hanging="644"/>
        <w:spacing w:after="0"/>
        <w:tabs>
          <w:tab w:leader="none" w:pos="1300" w:val="left"/>
        </w:tabs>
        <w:numPr>
          <w:ilvl w:val="0"/>
          <w:numId w:val="2"/>
        </w:numPr>
        <w:rPr>
          <w:rFonts w:ascii="Arial" w:cs="Arial" w:eastAsia="Arial" w:hAnsi="Arial"/>
          <w:sz w:val="14"/>
          <w:szCs w:val="14"/>
          <w:color w:val="auto"/>
        </w:rPr>
      </w:pPr>
      <w:r>
        <w:rPr>
          <w:rFonts w:ascii="Arial" w:cs="Arial" w:eastAsia="Arial" w:hAnsi="Arial"/>
          <w:sz w:val="14"/>
          <w:szCs w:val="14"/>
          <w:color w:val="auto"/>
        </w:rPr>
        <w:t>Current reports on Form 8-K filed with the Commission on February 13, 2018, March 12, 2018, April 10, 2018, and April 27, 2018; and</w:t>
      </w:r>
    </w:p>
    <w:p>
      <w:pPr>
        <w:spacing w:after="0" w:line="122" w:lineRule="exact"/>
        <w:rPr>
          <w:rFonts w:ascii="Arial" w:cs="Arial" w:eastAsia="Arial" w:hAnsi="Arial"/>
          <w:sz w:val="14"/>
          <w:szCs w:val="14"/>
          <w:color w:val="auto"/>
        </w:rPr>
      </w:pPr>
    </w:p>
    <w:p>
      <w:pPr>
        <w:ind w:left="1300" w:hanging="644"/>
        <w:spacing w:after="0" w:line="273" w:lineRule="auto"/>
        <w:tabs>
          <w:tab w:leader="none" w:pos="130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description of the Registrant’s Common Stock, par value $0.01 per share (the “Common Stock”), contained in the Registrant’s Registration Statement on Form 10 (Amendment No. 5) filed with the Commission on June 6, 2002.</w:t>
      </w:r>
    </w:p>
    <w:p>
      <w:pPr>
        <w:spacing w:after="0" w:line="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4"/>
          <w:szCs w:val="14"/>
          <w:color w:val="auto"/>
        </w:rPr>
        <w:t>All documents subsequently filed by the Registrant pursuant to Sections 13(a), 13(c), 14 and 15(d) of the Exchange Act prior to the filing of a post-effective amendment which indicates that all securities registered have been sold or which deregisters all securities then remaining unsold, shall be deemed to be incorporated by reference in this Registration Statement and to be part hereof from the date of filing of such documents.</w:t>
      </w:r>
    </w:p>
    <w:p>
      <w:pPr>
        <w:spacing w:after="0" w:line="9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4"/>
          <w:szCs w:val="14"/>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in this Registration Statement modifies or supersedes such statement.</w:t>
      </w:r>
    </w:p>
    <w:p>
      <w:pPr>
        <w:spacing w:after="0" w:line="9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4"/>
          <w:szCs w:val="14"/>
          <w:color w:val="auto"/>
        </w:rPr>
        <w:t>Nothing in this Registration Statement shall be deemed to incorporate information furnished by us but not filed with the Securities and Exchange Commission pursuant to Items 2.02, 7.01 or 9.01 of Form S-K.</w:t>
      </w:r>
    </w:p>
    <w:p>
      <w:pPr>
        <w:sectPr>
          <w:pgSz w:w="11900" w:h="16838" w:orient="portrait"/>
          <w:cols w:equalWidth="0" w:num="1">
            <w:col w:w="11420"/>
          </w:cols>
          <w:pgMar w:left="240" w:top="36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6"/>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w w:val="95"/>
              </w:rPr>
              <w:t>Item 8. Exhibits.</w:t>
            </w:r>
          </w:p>
        </w:tc>
        <w:tc>
          <w:tcPr>
            <w:tcW w:w="1080" w:type="dxa"/>
            <w:vAlign w:val="bottom"/>
          </w:tcPr>
          <w:p>
            <w:pPr>
              <w:spacing w:after="0"/>
              <w:rPr>
                <w:sz w:val="16"/>
                <w:szCs w:val="16"/>
                <w:color w:val="auto"/>
              </w:rPr>
            </w:pPr>
          </w:p>
        </w:tc>
        <w:tc>
          <w:tcPr>
            <w:tcW w:w="9080" w:type="dxa"/>
            <w:vAlign w:val="bottom"/>
          </w:tcPr>
          <w:p>
            <w:pPr>
              <w:spacing w:after="0"/>
              <w:rPr>
                <w:sz w:val="16"/>
                <w:szCs w:val="16"/>
                <w:color w:val="auto"/>
              </w:rPr>
            </w:pPr>
          </w:p>
        </w:tc>
      </w:tr>
      <w:tr>
        <w:trPr>
          <w:trHeight w:val="662"/>
        </w:trPr>
        <w:tc>
          <w:tcPr>
            <w:tcW w:w="24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080" w:type="dxa"/>
            <w:vAlign w:val="bottom"/>
          </w:tcPr>
          <w:p>
            <w:pPr>
              <w:spacing w:after="0"/>
              <w:rPr>
                <w:sz w:val="24"/>
                <w:szCs w:val="24"/>
                <w:color w:val="auto"/>
              </w:rPr>
            </w:pPr>
          </w:p>
        </w:tc>
        <w:tc>
          <w:tcPr>
            <w:tcW w:w="9080" w:type="dxa"/>
            <w:vAlign w:val="bottom"/>
          </w:tcPr>
          <w:p>
            <w:pPr>
              <w:spacing w:after="0"/>
              <w:rPr>
                <w:sz w:val="24"/>
                <w:szCs w:val="24"/>
                <w:color w:val="auto"/>
              </w:rPr>
            </w:pPr>
          </w:p>
        </w:tc>
      </w:tr>
      <w:tr>
        <w:trPr>
          <w:trHeight w:val="276"/>
        </w:trPr>
        <w:tc>
          <w:tcPr>
            <w:tcW w:w="240" w:type="dxa"/>
            <w:vAlign w:val="bottom"/>
          </w:tcPr>
          <w:p>
            <w:pPr>
              <w:spacing w:after="0"/>
              <w:rPr>
                <w:sz w:val="23"/>
                <w:szCs w:val="23"/>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080" w:type="dxa"/>
            <w:vAlign w:val="bottom"/>
          </w:tcPr>
          <w:p>
            <w:pPr>
              <w:spacing w:after="0"/>
              <w:rPr>
                <w:sz w:val="23"/>
                <w:szCs w:val="23"/>
                <w:color w:val="auto"/>
              </w:rPr>
            </w:pPr>
          </w:p>
        </w:tc>
        <w:tc>
          <w:tcPr>
            <w:tcW w:w="9080" w:type="dxa"/>
            <w:vAlign w:val="bottom"/>
            <w:tcBorders>
              <w:bottom w:val="single" w:sz="8" w:color="auto"/>
            </w:tcBorders>
          </w:tcPr>
          <w:p>
            <w:pPr>
              <w:ind w:left="3800"/>
              <w:spacing w:after="0"/>
              <w:rPr>
                <w:sz w:val="20"/>
                <w:szCs w:val="20"/>
                <w:color w:val="auto"/>
              </w:rPr>
            </w:pPr>
            <w:r>
              <w:rPr>
                <w:rFonts w:ascii="Arial" w:cs="Arial" w:eastAsia="Arial" w:hAnsi="Arial"/>
                <w:sz w:val="14"/>
                <w:szCs w:val="14"/>
                <w:b w:val="1"/>
                <w:bCs w:val="1"/>
                <w:color w:val="auto"/>
              </w:rPr>
              <w:t>Description of Exhibit</w:t>
            </w:r>
          </w:p>
        </w:tc>
      </w:tr>
      <w:tr>
        <w:trPr>
          <w:trHeight w:val="157"/>
        </w:trPr>
        <w:tc>
          <w:tcPr>
            <w:tcW w:w="1040" w:type="dxa"/>
            <w:vAlign w:val="bottom"/>
            <w:gridSpan w:val="2"/>
          </w:tcPr>
          <w:p>
            <w:pPr>
              <w:jc w:val="center"/>
              <w:ind w:left="148"/>
              <w:spacing w:after="0" w:line="157" w:lineRule="exact"/>
              <w:rPr>
                <w:sz w:val="20"/>
                <w:szCs w:val="20"/>
                <w:color w:val="auto"/>
              </w:rPr>
            </w:pPr>
            <w:r>
              <w:rPr>
                <w:rFonts w:ascii="Arial" w:cs="Arial" w:eastAsia="Arial" w:hAnsi="Arial"/>
                <w:sz w:val="14"/>
                <w:szCs w:val="14"/>
                <w:color w:val="auto"/>
                <w:w w:val="92"/>
              </w:rPr>
              <w:t>4.1</w:t>
            </w:r>
          </w:p>
        </w:tc>
        <w:tc>
          <w:tcPr>
            <w:tcW w:w="1080" w:type="dxa"/>
            <w:vAlign w:val="bottom"/>
          </w:tcPr>
          <w:p>
            <w:pPr>
              <w:ind w:left="460"/>
              <w:spacing w:after="0" w:line="157" w:lineRule="exact"/>
              <w:rPr>
                <w:sz w:val="20"/>
                <w:szCs w:val="20"/>
                <w:color w:val="auto"/>
              </w:rPr>
            </w:pPr>
            <w:r>
              <w:rPr>
                <w:rFonts w:ascii="Arial" w:cs="Arial" w:eastAsia="Arial" w:hAnsi="Arial"/>
                <w:sz w:val="14"/>
                <w:szCs w:val="14"/>
                <w:color w:val="auto"/>
              </w:rPr>
              <w:t>—</w:t>
            </w:r>
          </w:p>
        </w:tc>
        <w:tc>
          <w:tcPr>
            <w:tcW w:w="9080" w:type="dxa"/>
            <w:vAlign w:val="bottom"/>
          </w:tcPr>
          <w:p>
            <w:pPr>
              <w:ind w:left="20"/>
              <w:spacing w:after="0" w:line="157" w:lineRule="exact"/>
              <w:rPr>
                <w:sz w:val="20"/>
                <w:szCs w:val="20"/>
                <w:color w:val="auto"/>
              </w:rPr>
            </w:pPr>
            <w:r>
              <w:rPr>
                <w:rFonts w:ascii="Arial" w:cs="Arial" w:eastAsia="Arial" w:hAnsi="Arial"/>
                <w:sz w:val="14"/>
                <w:szCs w:val="14"/>
                <w:color w:val="auto"/>
                <w:w w:val="98"/>
              </w:rPr>
              <w:t>Amended and Restated Certificate of Incorporation of Westwood Holdings Group, Inc. (incorporated by reference from the Form 10-12B filed with the</w:t>
            </w:r>
          </w:p>
        </w:tc>
      </w:tr>
      <w:tr>
        <w:trPr>
          <w:trHeight w:val="182"/>
        </w:trPr>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080" w:type="dxa"/>
            <w:vAlign w:val="bottom"/>
          </w:tcPr>
          <w:p>
            <w:pPr>
              <w:ind w:left="20"/>
              <w:spacing w:after="0"/>
              <w:rPr>
                <w:sz w:val="20"/>
                <w:szCs w:val="20"/>
                <w:color w:val="auto"/>
              </w:rPr>
            </w:pPr>
            <w:r>
              <w:rPr>
                <w:rFonts w:ascii="Arial" w:cs="Arial" w:eastAsia="Arial" w:hAnsi="Arial"/>
                <w:sz w:val="14"/>
                <w:szCs w:val="14"/>
                <w:color w:val="auto"/>
              </w:rPr>
              <w:t>Commission on April 30, 2002)</w:t>
            </w:r>
          </w:p>
        </w:tc>
      </w:tr>
      <w:tr>
        <w:trPr>
          <w:trHeight w:val="290"/>
        </w:trPr>
        <w:tc>
          <w:tcPr>
            <w:tcW w:w="10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4.1.1</w:t>
            </w:r>
          </w:p>
        </w:tc>
        <w:tc>
          <w:tcPr>
            <w:tcW w:w="1080" w:type="dxa"/>
            <w:vAlign w:val="bottom"/>
          </w:tcPr>
          <w:p>
            <w:pPr>
              <w:ind w:left="460"/>
              <w:spacing w:after="0"/>
              <w:rPr>
                <w:sz w:val="20"/>
                <w:szCs w:val="20"/>
                <w:color w:val="auto"/>
              </w:rPr>
            </w:pPr>
            <w:r>
              <w:rPr>
                <w:rFonts w:ascii="Arial" w:cs="Arial" w:eastAsia="Arial" w:hAnsi="Arial"/>
                <w:sz w:val="14"/>
                <w:szCs w:val="14"/>
                <w:color w:val="auto"/>
              </w:rPr>
              <w:t>—</w:t>
            </w:r>
          </w:p>
        </w:tc>
        <w:tc>
          <w:tcPr>
            <w:tcW w:w="9080" w:type="dxa"/>
            <w:vAlign w:val="bottom"/>
          </w:tcPr>
          <w:p>
            <w:pPr>
              <w:ind w:left="20"/>
              <w:spacing w:after="0"/>
              <w:rPr>
                <w:sz w:val="20"/>
                <w:szCs w:val="20"/>
                <w:color w:val="auto"/>
              </w:rPr>
            </w:pPr>
            <w:r>
              <w:rPr>
                <w:rFonts w:ascii="Arial" w:cs="Arial" w:eastAsia="Arial" w:hAnsi="Arial"/>
                <w:sz w:val="14"/>
                <w:szCs w:val="14"/>
                <w:color w:val="auto"/>
                <w:w w:val="95"/>
              </w:rPr>
              <w:t>First Amendment to Amended and Restated Certificate of Incorporation of Westwood Holdings Group, Inc., as amended (incorporated by reference from</w:t>
            </w:r>
          </w:p>
        </w:tc>
      </w:tr>
      <w:tr>
        <w:trPr>
          <w:trHeight w:val="182"/>
        </w:trPr>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080" w:type="dxa"/>
            <w:vAlign w:val="bottom"/>
          </w:tcPr>
          <w:p>
            <w:pPr>
              <w:ind w:left="20"/>
              <w:spacing w:after="0"/>
              <w:rPr>
                <w:sz w:val="20"/>
                <w:szCs w:val="20"/>
                <w:color w:val="auto"/>
              </w:rPr>
            </w:pPr>
            <w:r>
              <w:rPr>
                <w:rFonts w:ascii="Arial" w:cs="Arial" w:eastAsia="Arial" w:hAnsi="Arial"/>
                <w:sz w:val="14"/>
                <w:szCs w:val="14"/>
                <w:color w:val="auto"/>
              </w:rPr>
              <w:t>the Form 8-K filed with the Commission on May 7, 2008)</w:t>
            </w:r>
          </w:p>
        </w:tc>
      </w:tr>
      <w:tr>
        <w:trPr>
          <w:trHeight w:val="290"/>
        </w:trPr>
        <w:tc>
          <w:tcPr>
            <w:tcW w:w="10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4.1.2</w:t>
            </w:r>
          </w:p>
        </w:tc>
        <w:tc>
          <w:tcPr>
            <w:tcW w:w="1080" w:type="dxa"/>
            <w:vAlign w:val="bottom"/>
          </w:tcPr>
          <w:p>
            <w:pPr>
              <w:ind w:left="460"/>
              <w:spacing w:after="0"/>
              <w:rPr>
                <w:sz w:val="20"/>
                <w:szCs w:val="20"/>
                <w:color w:val="auto"/>
              </w:rPr>
            </w:pPr>
            <w:r>
              <w:rPr>
                <w:rFonts w:ascii="Arial" w:cs="Arial" w:eastAsia="Arial" w:hAnsi="Arial"/>
                <w:sz w:val="14"/>
                <w:szCs w:val="14"/>
                <w:color w:val="auto"/>
              </w:rPr>
              <w:t>__</w:t>
            </w:r>
          </w:p>
        </w:tc>
        <w:tc>
          <w:tcPr>
            <w:tcW w:w="9080" w:type="dxa"/>
            <w:vAlign w:val="bottom"/>
          </w:tcPr>
          <w:p>
            <w:pPr>
              <w:ind w:left="20"/>
              <w:spacing w:after="0"/>
              <w:rPr>
                <w:sz w:val="20"/>
                <w:szCs w:val="20"/>
                <w:color w:val="auto"/>
              </w:rPr>
            </w:pPr>
            <w:r>
              <w:rPr>
                <w:rFonts w:ascii="Arial" w:cs="Arial" w:eastAsia="Arial" w:hAnsi="Arial"/>
                <w:sz w:val="14"/>
                <w:szCs w:val="14"/>
                <w:color w:val="auto"/>
                <w:w w:val="97"/>
              </w:rPr>
              <w:t>Second Amendment to Amended and Restated Certificate of Incorporation of Westwood Holdings Group, Inc., as amended (incorporated by reference</w:t>
            </w:r>
          </w:p>
        </w:tc>
      </w:tr>
      <w:tr>
        <w:trPr>
          <w:trHeight w:val="182"/>
        </w:trPr>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080" w:type="dxa"/>
            <w:vAlign w:val="bottom"/>
          </w:tcPr>
          <w:p>
            <w:pPr>
              <w:ind w:left="20"/>
              <w:spacing w:after="0"/>
              <w:rPr>
                <w:sz w:val="20"/>
                <w:szCs w:val="20"/>
                <w:color w:val="auto"/>
              </w:rPr>
            </w:pPr>
            <w:r>
              <w:rPr>
                <w:rFonts w:ascii="Arial" w:cs="Arial" w:eastAsia="Arial" w:hAnsi="Arial"/>
                <w:sz w:val="14"/>
                <w:szCs w:val="14"/>
                <w:color w:val="auto"/>
              </w:rPr>
              <w:t>from the Schedule 14A filed with the Commission on March 20, 2017)</w:t>
            </w:r>
          </w:p>
        </w:tc>
      </w:tr>
      <w:tr>
        <w:trPr>
          <w:trHeight w:val="290"/>
        </w:trPr>
        <w:tc>
          <w:tcPr>
            <w:tcW w:w="104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4.2</w:t>
            </w:r>
          </w:p>
        </w:tc>
        <w:tc>
          <w:tcPr>
            <w:tcW w:w="1080" w:type="dxa"/>
            <w:vAlign w:val="bottom"/>
          </w:tcPr>
          <w:p>
            <w:pPr>
              <w:ind w:left="460"/>
              <w:spacing w:after="0"/>
              <w:rPr>
                <w:sz w:val="20"/>
                <w:szCs w:val="20"/>
                <w:color w:val="auto"/>
              </w:rPr>
            </w:pPr>
            <w:r>
              <w:rPr>
                <w:rFonts w:ascii="Arial" w:cs="Arial" w:eastAsia="Arial" w:hAnsi="Arial"/>
                <w:sz w:val="14"/>
                <w:szCs w:val="14"/>
                <w:color w:val="auto"/>
              </w:rPr>
              <w:t>—</w:t>
            </w:r>
          </w:p>
        </w:tc>
        <w:tc>
          <w:tcPr>
            <w:tcW w:w="9080" w:type="dxa"/>
            <w:vAlign w:val="bottom"/>
          </w:tcPr>
          <w:p>
            <w:pPr>
              <w:ind w:left="20"/>
              <w:spacing w:after="0"/>
              <w:rPr>
                <w:sz w:val="20"/>
                <w:szCs w:val="20"/>
                <w:color w:val="auto"/>
              </w:rPr>
            </w:pPr>
            <w:r>
              <w:rPr>
                <w:rFonts w:ascii="Arial" w:cs="Arial" w:eastAsia="Arial" w:hAnsi="Arial"/>
                <w:sz w:val="14"/>
                <w:szCs w:val="14"/>
                <w:color w:val="auto"/>
                <w:w w:val="96"/>
              </w:rPr>
              <w:t>Amended and Restated Bylaws of Westwood Holdings Group, Inc. (incorporated by reference from the Form 8-K filed with the Commission on April 25,</w:t>
            </w:r>
          </w:p>
        </w:tc>
      </w:tr>
      <w:tr>
        <w:trPr>
          <w:trHeight w:val="182"/>
        </w:trPr>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080" w:type="dxa"/>
            <w:vAlign w:val="bottom"/>
          </w:tcPr>
          <w:p>
            <w:pPr>
              <w:ind w:left="20"/>
              <w:spacing w:after="0"/>
              <w:rPr>
                <w:sz w:val="20"/>
                <w:szCs w:val="20"/>
                <w:color w:val="auto"/>
              </w:rPr>
            </w:pPr>
            <w:r>
              <w:rPr>
                <w:rFonts w:ascii="Arial" w:cs="Arial" w:eastAsia="Arial" w:hAnsi="Arial"/>
                <w:sz w:val="14"/>
                <w:szCs w:val="14"/>
                <w:color w:val="auto"/>
              </w:rPr>
              <w:t>2012)</w:t>
            </w:r>
          </w:p>
        </w:tc>
      </w:tr>
      <w:tr>
        <w:trPr>
          <w:trHeight w:val="290"/>
        </w:trPr>
        <w:tc>
          <w:tcPr>
            <w:tcW w:w="10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4.2.1</w:t>
            </w:r>
          </w:p>
        </w:tc>
        <w:tc>
          <w:tcPr>
            <w:tcW w:w="1080" w:type="dxa"/>
            <w:vAlign w:val="bottom"/>
          </w:tcPr>
          <w:p>
            <w:pPr>
              <w:ind w:left="460"/>
              <w:spacing w:after="0"/>
              <w:rPr>
                <w:sz w:val="20"/>
                <w:szCs w:val="20"/>
                <w:color w:val="auto"/>
              </w:rPr>
            </w:pPr>
            <w:r>
              <w:rPr>
                <w:rFonts w:ascii="Arial" w:cs="Arial" w:eastAsia="Arial" w:hAnsi="Arial"/>
                <w:sz w:val="14"/>
                <w:szCs w:val="14"/>
                <w:color w:val="auto"/>
              </w:rPr>
              <w:t>—</w:t>
            </w:r>
          </w:p>
        </w:tc>
        <w:tc>
          <w:tcPr>
            <w:tcW w:w="9080" w:type="dxa"/>
            <w:vAlign w:val="bottom"/>
          </w:tcPr>
          <w:p>
            <w:pPr>
              <w:ind w:left="20"/>
              <w:spacing w:after="0"/>
              <w:rPr>
                <w:sz w:val="20"/>
                <w:szCs w:val="20"/>
                <w:color w:val="auto"/>
              </w:rPr>
            </w:pPr>
            <w:r>
              <w:rPr>
                <w:rFonts w:ascii="Arial" w:cs="Arial" w:eastAsia="Arial" w:hAnsi="Arial"/>
                <w:sz w:val="14"/>
                <w:szCs w:val="14"/>
                <w:color w:val="auto"/>
                <w:w w:val="96"/>
              </w:rPr>
              <w:t>Amendment No. 1 to the Amended and Restated Bylaws of Westwood Holdings Group, Inc. (incorporated by reference from the Schedule 14A filed with</w:t>
            </w:r>
          </w:p>
        </w:tc>
      </w:tr>
      <w:tr>
        <w:trPr>
          <w:trHeight w:val="182"/>
        </w:trPr>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080" w:type="dxa"/>
            <w:vAlign w:val="bottom"/>
          </w:tcPr>
          <w:p>
            <w:pPr>
              <w:ind w:left="20"/>
              <w:spacing w:after="0"/>
              <w:rPr>
                <w:sz w:val="20"/>
                <w:szCs w:val="20"/>
                <w:color w:val="auto"/>
              </w:rPr>
            </w:pPr>
            <w:r>
              <w:rPr>
                <w:rFonts w:ascii="Arial" w:cs="Arial" w:eastAsia="Arial" w:hAnsi="Arial"/>
                <w:sz w:val="14"/>
                <w:szCs w:val="14"/>
                <w:color w:val="auto"/>
              </w:rPr>
              <w:t>the Commission on March 20, 2017)</w:t>
            </w:r>
          </w:p>
        </w:tc>
      </w:tr>
      <w:tr>
        <w:trPr>
          <w:trHeight w:val="324"/>
        </w:trPr>
        <w:tc>
          <w:tcPr>
            <w:tcW w:w="104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4.3</w:t>
            </w:r>
          </w:p>
        </w:tc>
        <w:tc>
          <w:tcPr>
            <w:tcW w:w="1080" w:type="dxa"/>
            <w:vAlign w:val="bottom"/>
          </w:tcPr>
          <w:p>
            <w:pPr>
              <w:ind w:left="460"/>
              <w:spacing w:after="0"/>
              <w:rPr>
                <w:sz w:val="20"/>
                <w:szCs w:val="20"/>
                <w:color w:val="auto"/>
              </w:rPr>
            </w:pPr>
            <w:r>
              <w:rPr>
                <w:rFonts w:ascii="Arial" w:cs="Arial" w:eastAsia="Arial" w:hAnsi="Arial"/>
                <w:sz w:val="14"/>
                <w:szCs w:val="14"/>
                <w:color w:val="auto"/>
              </w:rPr>
              <w:t>—</w:t>
            </w:r>
          </w:p>
        </w:tc>
        <w:tc>
          <w:tcPr>
            <w:tcW w:w="9080" w:type="dxa"/>
            <w:vAlign w:val="bottom"/>
          </w:tcPr>
          <w:p>
            <w:pPr>
              <w:ind w:left="20"/>
              <w:spacing w:after="0"/>
              <w:rPr>
                <w:sz w:val="20"/>
                <w:szCs w:val="20"/>
                <w:color w:val="auto"/>
              </w:rPr>
            </w:pPr>
            <w:r>
              <w:rPr>
                <w:rFonts w:ascii="Arial" w:cs="Arial" w:eastAsia="Arial" w:hAnsi="Arial"/>
                <w:sz w:val="14"/>
                <w:szCs w:val="14"/>
                <w:color w:val="auto"/>
              </w:rPr>
              <w:t>Form of Certificate Evidencing Common Stock (incorporated by reference from the Form 10-12B filed with the Commission on April 30, 2002)</w:t>
            </w:r>
          </w:p>
        </w:tc>
      </w:tr>
      <w:tr>
        <w:trPr>
          <w:trHeight w:val="358"/>
        </w:trPr>
        <w:tc>
          <w:tcPr>
            <w:tcW w:w="104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4.4</w:t>
            </w:r>
          </w:p>
        </w:tc>
        <w:tc>
          <w:tcPr>
            <w:tcW w:w="1080" w:type="dxa"/>
            <w:vAlign w:val="bottom"/>
          </w:tcPr>
          <w:p>
            <w:pPr>
              <w:ind w:left="460"/>
              <w:spacing w:after="0"/>
              <w:rPr>
                <w:sz w:val="20"/>
                <w:szCs w:val="20"/>
                <w:color w:val="auto"/>
              </w:rPr>
            </w:pPr>
            <w:r>
              <w:rPr>
                <w:rFonts w:ascii="Arial" w:cs="Arial" w:eastAsia="Arial" w:hAnsi="Arial"/>
                <w:sz w:val="14"/>
                <w:szCs w:val="14"/>
                <w:color w:val="auto"/>
              </w:rPr>
              <w:t>—</w:t>
            </w:r>
          </w:p>
        </w:tc>
        <w:tc>
          <w:tcPr>
            <w:tcW w:w="9080" w:type="dxa"/>
            <w:vAlign w:val="bottom"/>
          </w:tcPr>
          <w:p>
            <w:pPr>
              <w:ind w:left="20"/>
              <w:spacing w:after="0"/>
              <w:rPr>
                <w:sz w:val="20"/>
                <w:szCs w:val="20"/>
                <w:color w:val="auto"/>
              </w:rPr>
            </w:pPr>
            <w:r>
              <w:rPr>
                <w:rFonts w:ascii="Arial" w:cs="Arial" w:eastAsia="Arial" w:hAnsi="Arial"/>
                <w:sz w:val="14"/>
                <w:szCs w:val="14"/>
                <w:color w:val="auto"/>
                <w:w w:val="99"/>
              </w:rPr>
              <w:t>Fifth Amended and Restated Westwood Holdings Group, Inc. Stock Incentive Plan (incorporated by reference from the Schedule 14A filed with the</w:t>
            </w:r>
          </w:p>
        </w:tc>
      </w:tr>
      <w:tr>
        <w:trPr>
          <w:trHeight w:val="182"/>
        </w:trPr>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080" w:type="dxa"/>
            <w:vAlign w:val="bottom"/>
          </w:tcPr>
          <w:p>
            <w:pPr>
              <w:ind w:left="20"/>
              <w:spacing w:after="0"/>
              <w:rPr>
                <w:sz w:val="20"/>
                <w:szCs w:val="20"/>
                <w:color w:val="auto"/>
              </w:rPr>
            </w:pPr>
            <w:r>
              <w:rPr>
                <w:rFonts w:ascii="Arial" w:cs="Arial" w:eastAsia="Arial" w:hAnsi="Arial"/>
                <w:sz w:val="14"/>
                <w:szCs w:val="14"/>
                <w:color w:val="auto"/>
              </w:rPr>
              <w:t>Commission on March 9, 2018)</w:t>
            </w:r>
          </w:p>
        </w:tc>
      </w:tr>
      <w:tr>
        <w:trPr>
          <w:trHeight w:val="324"/>
        </w:trPr>
        <w:tc>
          <w:tcPr>
            <w:tcW w:w="1040" w:type="dxa"/>
            <w:vAlign w:val="bottom"/>
            <w:gridSpan w:val="2"/>
          </w:tcPr>
          <w:p>
            <w:pPr>
              <w:jc w:val="center"/>
              <w:ind w:left="148"/>
              <w:spacing w:after="0"/>
              <w:rPr>
                <w:sz w:val="20"/>
                <w:szCs w:val="20"/>
                <w:color w:val="auto"/>
              </w:rPr>
            </w:pPr>
            <w:r>
              <w:rPr>
                <w:rFonts w:ascii="Arial" w:cs="Arial" w:eastAsia="Arial" w:hAnsi="Arial"/>
                <w:sz w:val="14"/>
                <w:szCs w:val="14"/>
                <w:color w:val="auto"/>
              </w:rPr>
              <w:t>5.1*</w:t>
            </w:r>
          </w:p>
        </w:tc>
        <w:tc>
          <w:tcPr>
            <w:tcW w:w="1080" w:type="dxa"/>
            <w:vAlign w:val="bottom"/>
          </w:tcPr>
          <w:p>
            <w:pPr>
              <w:ind w:left="460"/>
              <w:spacing w:after="0"/>
              <w:rPr>
                <w:sz w:val="20"/>
                <w:szCs w:val="20"/>
                <w:color w:val="auto"/>
              </w:rPr>
            </w:pPr>
            <w:r>
              <w:rPr>
                <w:rFonts w:ascii="Arial" w:cs="Arial" w:eastAsia="Arial" w:hAnsi="Arial"/>
                <w:sz w:val="14"/>
                <w:szCs w:val="14"/>
                <w:color w:val="auto"/>
              </w:rPr>
              <w:t>—</w:t>
            </w:r>
          </w:p>
        </w:tc>
        <w:tc>
          <w:tcPr>
            <w:tcW w:w="9080" w:type="dxa"/>
            <w:vAlign w:val="bottom"/>
          </w:tcPr>
          <w:p>
            <w:pPr>
              <w:ind w:left="20"/>
              <w:spacing w:after="0"/>
              <w:rPr>
                <w:sz w:val="20"/>
                <w:szCs w:val="20"/>
                <w:color w:val="auto"/>
              </w:rPr>
            </w:pPr>
            <w:r>
              <w:rPr>
                <w:rFonts w:ascii="Arial" w:cs="Arial" w:eastAsia="Arial" w:hAnsi="Arial"/>
                <w:sz w:val="14"/>
                <w:szCs w:val="14"/>
                <w:color w:val="auto"/>
              </w:rPr>
              <w:t>Opinion of Norton Rose Fulbright US LLP</w:t>
            </w:r>
          </w:p>
        </w:tc>
      </w:tr>
      <w:tr>
        <w:trPr>
          <w:trHeight w:val="392"/>
        </w:trPr>
        <w:tc>
          <w:tcPr>
            <w:tcW w:w="1040" w:type="dxa"/>
            <w:vAlign w:val="bottom"/>
            <w:gridSpan w:val="2"/>
          </w:tcPr>
          <w:p>
            <w:pPr>
              <w:jc w:val="center"/>
              <w:ind w:left="148"/>
              <w:spacing w:after="0"/>
              <w:rPr>
                <w:sz w:val="20"/>
                <w:szCs w:val="20"/>
                <w:color w:val="auto"/>
              </w:rPr>
            </w:pPr>
            <w:r>
              <w:rPr>
                <w:rFonts w:ascii="Arial" w:cs="Arial" w:eastAsia="Arial" w:hAnsi="Arial"/>
                <w:sz w:val="14"/>
                <w:szCs w:val="14"/>
                <w:color w:val="auto"/>
              </w:rPr>
              <w:t>23.1*</w:t>
            </w:r>
          </w:p>
        </w:tc>
        <w:tc>
          <w:tcPr>
            <w:tcW w:w="1080" w:type="dxa"/>
            <w:vAlign w:val="bottom"/>
          </w:tcPr>
          <w:p>
            <w:pPr>
              <w:ind w:left="460"/>
              <w:spacing w:after="0"/>
              <w:rPr>
                <w:sz w:val="20"/>
                <w:szCs w:val="20"/>
                <w:color w:val="auto"/>
              </w:rPr>
            </w:pPr>
            <w:r>
              <w:rPr>
                <w:rFonts w:ascii="Arial" w:cs="Arial" w:eastAsia="Arial" w:hAnsi="Arial"/>
                <w:sz w:val="14"/>
                <w:szCs w:val="14"/>
                <w:color w:val="auto"/>
              </w:rPr>
              <w:t>—</w:t>
            </w:r>
          </w:p>
        </w:tc>
        <w:tc>
          <w:tcPr>
            <w:tcW w:w="9080" w:type="dxa"/>
            <w:vAlign w:val="bottom"/>
          </w:tcPr>
          <w:p>
            <w:pPr>
              <w:ind w:left="20"/>
              <w:spacing w:after="0"/>
              <w:rPr>
                <w:sz w:val="20"/>
                <w:szCs w:val="20"/>
                <w:color w:val="auto"/>
              </w:rPr>
            </w:pPr>
            <w:r>
              <w:rPr>
                <w:rFonts w:ascii="Arial" w:cs="Arial" w:eastAsia="Arial" w:hAnsi="Arial"/>
                <w:sz w:val="14"/>
                <w:szCs w:val="14"/>
                <w:color w:val="auto"/>
              </w:rPr>
              <w:t>Consent of Deloitte &amp; Touche LLP</w:t>
            </w:r>
          </w:p>
        </w:tc>
      </w:tr>
      <w:tr>
        <w:trPr>
          <w:trHeight w:val="392"/>
        </w:trPr>
        <w:tc>
          <w:tcPr>
            <w:tcW w:w="1040" w:type="dxa"/>
            <w:vAlign w:val="bottom"/>
            <w:gridSpan w:val="2"/>
          </w:tcPr>
          <w:p>
            <w:pPr>
              <w:jc w:val="center"/>
              <w:ind w:left="148"/>
              <w:spacing w:after="0"/>
              <w:rPr>
                <w:sz w:val="20"/>
                <w:szCs w:val="20"/>
                <w:color w:val="auto"/>
              </w:rPr>
            </w:pPr>
            <w:r>
              <w:rPr>
                <w:rFonts w:ascii="Arial" w:cs="Arial" w:eastAsia="Arial" w:hAnsi="Arial"/>
                <w:sz w:val="14"/>
                <w:szCs w:val="14"/>
                <w:color w:val="auto"/>
              </w:rPr>
              <w:t>23.2*</w:t>
            </w:r>
          </w:p>
        </w:tc>
        <w:tc>
          <w:tcPr>
            <w:tcW w:w="1080" w:type="dxa"/>
            <w:vAlign w:val="bottom"/>
          </w:tcPr>
          <w:p>
            <w:pPr>
              <w:ind w:left="460"/>
              <w:spacing w:after="0"/>
              <w:rPr>
                <w:sz w:val="20"/>
                <w:szCs w:val="20"/>
                <w:color w:val="auto"/>
              </w:rPr>
            </w:pPr>
            <w:r>
              <w:rPr>
                <w:rFonts w:ascii="Arial" w:cs="Arial" w:eastAsia="Arial" w:hAnsi="Arial"/>
                <w:sz w:val="14"/>
                <w:szCs w:val="14"/>
                <w:color w:val="auto"/>
              </w:rPr>
              <w:t>—</w:t>
            </w:r>
          </w:p>
        </w:tc>
        <w:tc>
          <w:tcPr>
            <w:tcW w:w="9080" w:type="dxa"/>
            <w:vAlign w:val="bottom"/>
          </w:tcPr>
          <w:p>
            <w:pPr>
              <w:ind w:left="20"/>
              <w:spacing w:after="0"/>
              <w:rPr>
                <w:sz w:val="20"/>
                <w:szCs w:val="20"/>
                <w:color w:val="auto"/>
              </w:rPr>
            </w:pPr>
            <w:r>
              <w:rPr>
                <w:rFonts w:ascii="Arial" w:cs="Arial" w:eastAsia="Arial" w:hAnsi="Arial"/>
                <w:sz w:val="14"/>
                <w:szCs w:val="14"/>
                <w:color w:val="auto"/>
              </w:rPr>
              <w:t>Consent of Norton Rose Fulbright US LLP (included in the opinion filed as Exhibit 5.1 hereto)</w:t>
            </w:r>
          </w:p>
        </w:tc>
      </w:tr>
      <w:tr>
        <w:trPr>
          <w:trHeight w:val="392"/>
        </w:trPr>
        <w:tc>
          <w:tcPr>
            <w:tcW w:w="1040" w:type="dxa"/>
            <w:vAlign w:val="bottom"/>
            <w:gridSpan w:val="2"/>
          </w:tcPr>
          <w:p>
            <w:pPr>
              <w:jc w:val="center"/>
              <w:ind w:left="148"/>
              <w:spacing w:after="0"/>
              <w:rPr>
                <w:sz w:val="20"/>
                <w:szCs w:val="20"/>
                <w:color w:val="auto"/>
              </w:rPr>
            </w:pPr>
            <w:r>
              <w:rPr>
                <w:rFonts w:ascii="Arial" w:cs="Arial" w:eastAsia="Arial" w:hAnsi="Arial"/>
                <w:sz w:val="14"/>
                <w:szCs w:val="14"/>
                <w:color w:val="auto"/>
              </w:rPr>
              <w:t>24.1*</w:t>
            </w:r>
          </w:p>
        </w:tc>
        <w:tc>
          <w:tcPr>
            <w:tcW w:w="1080" w:type="dxa"/>
            <w:vAlign w:val="bottom"/>
          </w:tcPr>
          <w:p>
            <w:pPr>
              <w:ind w:left="460"/>
              <w:spacing w:after="0"/>
              <w:rPr>
                <w:sz w:val="20"/>
                <w:szCs w:val="20"/>
                <w:color w:val="auto"/>
              </w:rPr>
            </w:pPr>
            <w:r>
              <w:rPr>
                <w:rFonts w:ascii="Arial" w:cs="Arial" w:eastAsia="Arial" w:hAnsi="Arial"/>
                <w:sz w:val="14"/>
                <w:szCs w:val="14"/>
                <w:color w:val="auto"/>
              </w:rPr>
              <w:t>—</w:t>
            </w:r>
          </w:p>
        </w:tc>
        <w:tc>
          <w:tcPr>
            <w:tcW w:w="9080" w:type="dxa"/>
            <w:vAlign w:val="bottom"/>
          </w:tcPr>
          <w:p>
            <w:pPr>
              <w:ind w:left="20"/>
              <w:spacing w:after="0"/>
              <w:rPr>
                <w:sz w:val="20"/>
                <w:szCs w:val="20"/>
                <w:color w:val="auto"/>
              </w:rPr>
            </w:pPr>
            <w:r>
              <w:rPr>
                <w:rFonts w:ascii="Arial" w:cs="Arial" w:eastAsia="Arial" w:hAnsi="Arial"/>
                <w:sz w:val="14"/>
                <w:szCs w:val="14"/>
                <w:color w:val="auto"/>
              </w:rPr>
              <w:t>Power of Attorney (included in the signature page to this Registration Statement)</w:t>
            </w:r>
          </w:p>
        </w:tc>
      </w:tr>
    </w:tbl>
    <w:p>
      <w:pPr>
        <w:spacing w:after="0" w:line="358" w:lineRule="exact"/>
        <w:rPr>
          <w:sz w:val="20"/>
          <w:szCs w:val="20"/>
          <w:color w:val="auto"/>
        </w:rPr>
      </w:pPr>
    </w:p>
    <w:p>
      <w:pPr>
        <w:ind w:left="820" w:hanging="562"/>
        <w:spacing w:after="0"/>
        <w:tabs>
          <w:tab w:leader="none" w:pos="820" w:val="left"/>
        </w:tabs>
        <w:numPr>
          <w:ilvl w:val="0"/>
          <w:numId w:val="3"/>
        </w:numPr>
        <w:rPr>
          <w:rFonts w:ascii="Arial" w:cs="Arial" w:eastAsia="Arial" w:hAnsi="Arial"/>
          <w:sz w:val="14"/>
          <w:szCs w:val="14"/>
          <w:color w:val="auto"/>
        </w:rPr>
      </w:pPr>
      <w:r>
        <w:rPr>
          <w:rFonts w:ascii="Arial" w:cs="Arial" w:eastAsia="Arial" w:hAnsi="Arial"/>
          <w:sz w:val="14"/>
          <w:szCs w:val="14"/>
          <w:color w:val="auto"/>
        </w:rPr>
        <w:t>Filed herewith.</w:t>
      </w:r>
    </w:p>
    <w:p>
      <w:pPr>
        <w:sectPr>
          <w:pgSz w:w="11900" w:h="16838" w:orient="portrait"/>
          <w:cols w:equalWidth="0" w:num="1">
            <w:col w:w="11200"/>
          </w:cols>
          <w:pgMar w:left="240" w:top="589" w:right="459" w:bottom="1440" w:gutter="0" w:footer="0" w:header="0"/>
        </w:sectPr>
      </w:pPr>
    </w:p>
    <w:bookmarkStart w:id="3" w:name="page4"/>
    <w:bookmarkEnd w:id="3"/>
    <w:p>
      <w:pPr>
        <w:jc w:val="center"/>
        <w:spacing w:after="0"/>
        <w:rPr>
          <w:sz w:val="20"/>
          <w:szCs w:val="20"/>
          <w:color w:val="auto"/>
        </w:rPr>
      </w:pPr>
      <w:r>
        <w:rPr>
          <w:rFonts w:ascii="Arial" w:cs="Arial" w:eastAsia="Arial" w:hAnsi="Arial"/>
          <w:sz w:val="14"/>
          <w:szCs w:val="14"/>
          <w:b w:val="1"/>
          <w:bCs w:val="1"/>
          <w:color w:val="auto"/>
        </w:rPr>
        <w:t>SIGNATURES</w:t>
      </w:r>
    </w:p>
    <w:p>
      <w:pPr>
        <w:spacing w:after="0" w:line="1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4"/>
          <w:szCs w:val="14"/>
          <w:color w:val="auto"/>
        </w:rPr>
        <w:t>Pursuant to the requirements of the Securities Act of 1933, as amended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Dallas, State of Texas, on May 11, 2018.</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440"/>
        <w:spacing w:after="0"/>
        <w:rPr>
          <w:sz w:val="20"/>
          <w:szCs w:val="20"/>
          <w:color w:val="auto"/>
        </w:rPr>
      </w:pPr>
      <w:r>
        <w:rPr>
          <w:rFonts w:ascii="Arial" w:cs="Arial" w:eastAsia="Arial" w:hAnsi="Arial"/>
          <w:sz w:val="14"/>
          <w:szCs w:val="14"/>
          <w:color w:val="auto"/>
        </w:rPr>
        <w:t>WESTWOOD HOLDINGS GROUP, INC.</w:t>
      </w:r>
    </w:p>
    <w:p>
      <w:pPr>
        <w:spacing w:after="0" w:line="379" w:lineRule="exact"/>
        <w:rPr>
          <w:sz w:val="20"/>
          <w:szCs w:val="20"/>
          <w:color w:val="auto"/>
        </w:rPr>
      </w:pPr>
    </w:p>
    <w:p>
      <w:pPr>
        <w:ind w:left="4380"/>
        <w:spacing w:after="0"/>
        <w:tabs>
          <w:tab w:leader="none" w:pos="552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64135</wp:posOffset>
            </wp:positionV>
            <wp:extent cx="26758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0"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Brian O. Casey</w:t>
      </w:r>
    </w:p>
    <w:p>
      <w:pPr>
        <w:spacing w:after="0" w:line="109"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President and Chief Executive Officer</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POWER OF ATTORNEY</w:t>
      </w:r>
    </w:p>
    <w:p>
      <w:pPr>
        <w:spacing w:after="0" w:line="12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3"/>
          <w:szCs w:val="13"/>
          <w:color w:val="auto"/>
        </w:rPr>
        <w:t>KNOW ALL PERSONS BY THESE PRESENTS, that each person whose signature appears below constitutes and appoints, Brian O. Casey and Tiffany B. Kice,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any registration statement relating to the offering covered by this Registration Statement and filed pursuant to Rule 462(b) under the Securities Act, and to file the same, with exhibits thereto and other documents in connection therewith, with the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attorneys-in-fact and agents or their substitute may lawfully do or cause to be done by virtue hereof.</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4"/>
          <w:szCs w:val="14"/>
          <w:color w:val="auto"/>
        </w:rPr>
        <w:t>Pursuant to the requirements of the Securities Act, this Registration Statement has been signed by the following persons in the capacities and on the date indicated.</w:t>
      </w:r>
    </w:p>
    <w:p>
      <w:pPr>
        <w:sectPr>
          <w:pgSz w:w="11900" w:h="16838" w:orient="portrait"/>
          <w:cols w:equalWidth="0" w:num="1">
            <w:col w:w="11420"/>
          </w:cols>
          <w:pgMar w:left="240" w:top="71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8"/>
        </w:trPr>
        <w:tc>
          <w:tcPr>
            <w:tcW w:w="3780" w:type="dxa"/>
            <w:vAlign w:val="bottom"/>
            <w:tcBorders>
              <w:bottom w:val="single" w:sz="8" w:color="auto"/>
            </w:tcBorders>
          </w:tcPr>
          <w:p>
            <w:pPr>
              <w:ind w:left="1620"/>
              <w:spacing w:after="0"/>
              <w:rPr>
                <w:sz w:val="20"/>
                <w:szCs w:val="20"/>
                <w:color w:val="auto"/>
              </w:rPr>
            </w:pPr>
            <w:r>
              <w:rPr>
                <w:rFonts w:ascii="Arial" w:cs="Arial" w:eastAsia="Arial" w:hAnsi="Arial"/>
                <w:sz w:val="14"/>
                <w:szCs w:val="14"/>
                <w:color w:val="auto"/>
              </w:rPr>
              <w:t>Signature</w:t>
            </w:r>
          </w:p>
        </w:tc>
        <w:tc>
          <w:tcPr>
            <w:tcW w:w="220" w:type="dxa"/>
            <w:vAlign w:val="bottom"/>
          </w:tcPr>
          <w:p>
            <w:pPr>
              <w:spacing w:after="0"/>
              <w:rPr>
                <w:sz w:val="16"/>
                <w:szCs w:val="16"/>
                <w:color w:val="auto"/>
              </w:rPr>
            </w:pPr>
          </w:p>
        </w:tc>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Title</w:t>
            </w:r>
          </w:p>
        </w:tc>
        <w:tc>
          <w:tcPr>
            <w:tcW w:w="460" w:type="dxa"/>
            <w:vAlign w:val="bottom"/>
          </w:tcPr>
          <w:p>
            <w:pPr>
              <w:spacing w:after="0"/>
              <w:rPr>
                <w:sz w:val="16"/>
                <w:szCs w:val="16"/>
                <w:color w:val="auto"/>
              </w:rPr>
            </w:pPr>
          </w:p>
        </w:tc>
        <w:tc>
          <w:tcPr>
            <w:tcW w:w="1700" w:type="dxa"/>
            <w:vAlign w:val="bottom"/>
            <w:tcBorders>
              <w:bottom w:val="single" w:sz="8" w:color="auto"/>
            </w:tcBorders>
          </w:tcPr>
          <w:p>
            <w:pPr>
              <w:ind w:left="7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r>
        <w:trPr>
          <w:trHeight w:val="730"/>
        </w:trPr>
        <w:tc>
          <w:tcPr>
            <w:tcW w:w="3780" w:type="dxa"/>
            <w:vAlign w:val="bottom"/>
          </w:tcPr>
          <w:p>
            <w:pPr>
              <w:ind w:left="40"/>
              <w:spacing w:after="0"/>
              <w:rPr>
                <w:sz w:val="20"/>
                <w:szCs w:val="20"/>
                <w:color w:val="auto"/>
              </w:rPr>
            </w:pPr>
            <w:r>
              <w:rPr>
                <w:rFonts w:ascii="Arial" w:cs="Arial" w:eastAsia="Arial" w:hAnsi="Arial"/>
                <w:sz w:val="14"/>
                <w:szCs w:val="14"/>
                <w:color w:val="auto"/>
              </w:rPr>
              <w:t>/s/ Brian O. Casey</w:t>
            </w:r>
          </w:p>
        </w:tc>
        <w:tc>
          <w:tcPr>
            <w:tcW w:w="220" w:type="dxa"/>
            <w:vAlign w:val="bottom"/>
          </w:tcPr>
          <w:p>
            <w:pPr>
              <w:spacing w:after="0"/>
              <w:rPr>
                <w:sz w:val="24"/>
                <w:szCs w:val="24"/>
                <w:color w:val="auto"/>
              </w:rPr>
            </w:pPr>
          </w:p>
        </w:tc>
        <w:tc>
          <w:tcPr>
            <w:tcW w:w="5720" w:type="dxa"/>
            <w:vAlign w:val="bottom"/>
            <w:gridSpan w:val="2"/>
          </w:tcPr>
          <w:p>
            <w:pPr>
              <w:jc w:val="center"/>
              <w:ind w:right="460"/>
              <w:spacing w:after="0"/>
              <w:rPr>
                <w:sz w:val="20"/>
                <w:szCs w:val="20"/>
                <w:color w:val="auto"/>
              </w:rPr>
            </w:pPr>
            <w:r>
              <w:rPr>
                <w:rFonts w:ascii="Arial" w:cs="Arial" w:eastAsia="Arial" w:hAnsi="Arial"/>
                <w:sz w:val="14"/>
                <w:szCs w:val="14"/>
                <w:color w:val="auto"/>
                <w:w w:val="94"/>
              </w:rPr>
              <w:t>President, Chief Executive Officer and Director</w:t>
            </w:r>
          </w:p>
        </w:tc>
        <w:tc>
          <w:tcPr>
            <w:tcW w:w="1700" w:type="dxa"/>
            <w:vAlign w:val="bottom"/>
          </w:tcPr>
          <w:p>
            <w:pPr>
              <w:ind w:left="20"/>
              <w:spacing w:after="0"/>
              <w:rPr>
                <w:sz w:val="20"/>
                <w:szCs w:val="20"/>
                <w:color w:val="auto"/>
              </w:rPr>
            </w:pPr>
            <w:r>
              <w:rPr>
                <w:rFonts w:ascii="Arial" w:cs="Arial" w:eastAsia="Arial" w:hAnsi="Arial"/>
                <w:sz w:val="14"/>
                <w:szCs w:val="14"/>
                <w:color w:val="auto"/>
              </w:rPr>
              <w:t>May 11, 2018</w:t>
            </w:r>
          </w:p>
        </w:tc>
        <w:tc>
          <w:tcPr>
            <w:tcW w:w="0" w:type="dxa"/>
            <w:vAlign w:val="bottom"/>
          </w:tcPr>
          <w:p>
            <w:pPr>
              <w:spacing w:after="0"/>
              <w:rPr>
                <w:sz w:val="1"/>
                <w:szCs w:val="1"/>
                <w:color w:val="auto"/>
              </w:rPr>
            </w:pPr>
          </w:p>
        </w:tc>
      </w:tr>
      <w:tr>
        <w:trPr>
          <w:trHeight w:val="80"/>
        </w:trPr>
        <w:tc>
          <w:tcPr>
            <w:tcW w:w="37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5720" w:type="dxa"/>
            <w:vAlign w:val="bottom"/>
            <w:gridSpan w:val="2"/>
            <w:vMerge w:val="restart"/>
          </w:tcPr>
          <w:p>
            <w:pPr>
              <w:jc w:val="center"/>
              <w:ind w:right="440"/>
              <w:spacing w:after="0"/>
              <w:rPr>
                <w:sz w:val="20"/>
                <w:szCs w:val="20"/>
                <w:color w:val="auto"/>
              </w:rPr>
            </w:pPr>
            <w:r>
              <w:rPr>
                <w:rFonts w:ascii="Arial" w:cs="Arial" w:eastAsia="Arial" w:hAnsi="Arial"/>
                <w:sz w:val="14"/>
                <w:szCs w:val="14"/>
                <w:color w:val="auto"/>
                <w:w w:val="97"/>
              </w:rPr>
              <w:t>(Principal Executive Officer)</w:t>
            </w:r>
          </w:p>
        </w:tc>
        <w:tc>
          <w:tcPr>
            <w:tcW w:w="1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3780" w:type="dxa"/>
            <w:vAlign w:val="bottom"/>
          </w:tcPr>
          <w:p>
            <w:pPr>
              <w:ind w:left="40"/>
              <w:spacing w:after="0"/>
              <w:rPr>
                <w:sz w:val="20"/>
                <w:szCs w:val="20"/>
                <w:color w:val="auto"/>
              </w:rPr>
            </w:pPr>
            <w:r>
              <w:rPr>
                <w:rFonts w:ascii="Arial" w:cs="Arial" w:eastAsia="Arial" w:hAnsi="Arial"/>
                <w:sz w:val="14"/>
                <w:szCs w:val="14"/>
                <w:color w:val="auto"/>
              </w:rPr>
              <w:t>Brian O. Casey</w:t>
            </w:r>
          </w:p>
        </w:tc>
        <w:tc>
          <w:tcPr>
            <w:tcW w:w="220" w:type="dxa"/>
            <w:vAlign w:val="bottom"/>
          </w:tcPr>
          <w:p>
            <w:pPr>
              <w:spacing w:after="0"/>
              <w:rPr>
                <w:sz w:val="16"/>
                <w:szCs w:val="16"/>
                <w:color w:val="auto"/>
              </w:rPr>
            </w:pPr>
          </w:p>
        </w:tc>
        <w:tc>
          <w:tcPr>
            <w:tcW w:w="5720" w:type="dxa"/>
            <w:vAlign w:val="bottom"/>
            <w:gridSpan w:val="2"/>
            <w:vMerge w:val="continue"/>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7"/>
        </w:trPr>
        <w:tc>
          <w:tcPr>
            <w:tcW w:w="3780" w:type="dxa"/>
            <w:vAlign w:val="bottom"/>
          </w:tcPr>
          <w:p>
            <w:pPr>
              <w:ind w:left="40"/>
              <w:spacing w:after="0"/>
              <w:rPr>
                <w:sz w:val="20"/>
                <w:szCs w:val="20"/>
                <w:color w:val="auto"/>
              </w:rPr>
            </w:pPr>
            <w:r>
              <w:rPr>
                <w:rFonts w:ascii="Arial" w:cs="Arial" w:eastAsia="Arial" w:hAnsi="Arial"/>
                <w:sz w:val="14"/>
                <w:szCs w:val="14"/>
                <w:color w:val="auto"/>
              </w:rPr>
              <w:t>/s/ Tiffany B. Kice</w:t>
            </w:r>
          </w:p>
        </w:tc>
        <w:tc>
          <w:tcPr>
            <w:tcW w:w="220" w:type="dxa"/>
            <w:vAlign w:val="bottom"/>
          </w:tcPr>
          <w:p>
            <w:pPr>
              <w:spacing w:after="0"/>
              <w:rPr>
                <w:sz w:val="24"/>
                <w:szCs w:val="24"/>
                <w:color w:val="auto"/>
              </w:rPr>
            </w:pPr>
          </w:p>
        </w:tc>
        <w:tc>
          <w:tcPr>
            <w:tcW w:w="5720" w:type="dxa"/>
            <w:vAlign w:val="bottom"/>
            <w:gridSpan w:val="2"/>
          </w:tcPr>
          <w:p>
            <w:pPr>
              <w:jc w:val="center"/>
              <w:ind w:right="460"/>
              <w:spacing w:after="0"/>
              <w:rPr>
                <w:sz w:val="20"/>
                <w:szCs w:val="20"/>
                <w:color w:val="auto"/>
              </w:rPr>
            </w:pPr>
            <w:r>
              <w:rPr>
                <w:rFonts w:ascii="Arial" w:cs="Arial" w:eastAsia="Arial" w:hAnsi="Arial"/>
                <w:sz w:val="14"/>
                <w:szCs w:val="14"/>
                <w:color w:val="auto"/>
                <w:w w:val="97"/>
              </w:rPr>
              <w:t>Chief Financial Officer</w:t>
            </w:r>
          </w:p>
        </w:tc>
        <w:tc>
          <w:tcPr>
            <w:tcW w:w="1700" w:type="dxa"/>
            <w:vAlign w:val="bottom"/>
          </w:tcPr>
          <w:p>
            <w:pPr>
              <w:ind w:left="20"/>
              <w:spacing w:after="0"/>
              <w:rPr>
                <w:sz w:val="20"/>
                <w:szCs w:val="20"/>
                <w:color w:val="auto"/>
              </w:rPr>
            </w:pPr>
            <w:r>
              <w:rPr>
                <w:rFonts w:ascii="Arial" w:cs="Arial" w:eastAsia="Arial" w:hAnsi="Arial"/>
                <w:sz w:val="14"/>
                <w:szCs w:val="14"/>
                <w:color w:val="auto"/>
              </w:rPr>
              <w:t>May 11, 2018</w:t>
            </w:r>
          </w:p>
        </w:tc>
        <w:tc>
          <w:tcPr>
            <w:tcW w:w="0" w:type="dxa"/>
            <w:vAlign w:val="bottom"/>
          </w:tcPr>
          <w:p>
            <w:pPr>
              <w:spacing w:after="0"/>
              <w:rPr>
                <w:sz w:val="1"/>
                <w:szCs w:val="1"/>
                <w:color w:val="auto"/>
              </w:rPr>
            </w:pPr>
          </w:p>
        </w:tc>
      </w:tr>
      <w:tr>
        <w:trPr>
          <w:trHeight w:val="80"/>
        </w:trPr>
        <w:tc>
          <w:tcPr>
            <w:tcW w:w="37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5720" w:type="dxa"/>
            <w:vAlign w:val="bottom"/>
            <w:gridSpan w:val="2"/>
            <w:vMerge w:val="restart"/>
          </w:tcPr>
          <w:p>
            <w:pPr>
              <w:jc w:val="center"/>
              <w:ind w:right="420"/>
              <w:spacing w:after="0"/>
              <w:rPr>
                <w:sz w:val="20"/>
                <w:szCs w:val="20"/>
                <w:color w:val="auto"/>
              </w:rPr>
            </w:pPr>
            <w:r>
              <w:rPr>
                <w:rFonts w:ascii="Arial" w:cs="Arial" w:eastAsia="Arial" w:hAnsi="Arial"/>
                <w:sz w:val="14"/>
                <w:szCs w:val="14"/>
                <w:color w:val="auto"/>
                <w:w w:val="96"/>
              </w:rPr>
              <w:t>(Principal Financial Officer and Principal Accounting Officer)</w:t>
            </w:r>
          </w:p>
        </w:tc>
        <w:tc>
          <w:tcPr>
            <w:tcW w:w="1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3780" w:type="dxa"/>
            <w:vAlign w:val="bottom"/>
          </w:tcPr>
          <w:p>
            <w:pPr>
              <w:ind w:left="40"/>
              <w:spacing w:after="0"/>
              <w:rPr>
                <w:sz w:val="20"/>
                <w:szCs w:val="20"/>
                <w:color w:val="auto"/>
              </w:rPr>
            </w:pPr>
            <w:r>
              <w:rPr>
                <w:rFonts w:ascii="Arial" w:cs="Arial" w:eastAsia="Arial" w:hAnsi="Arial"/>
                <w:sz w:val="14"/>
                <w:szCs w:val="14"/>
                <w:color w:val="auto"/>
              </w:rPr>
              <w:t>Tiffany B. Kice</w:t>
            </w:r>
          </w:p>
        </w:tc>
        <w:tc>
          <w:tcPr>
            <w:tcW w:w="220" w:type="dxa"/>
            <w:vAlign w:val="bottom"/>
          </w:tcPr>
          <w:p>
            <w:pPr>
              <w:spacing w:after="0"/>
              <w:rPr>
                <w:sz w:val="16"/>
                <w:szCs w:val="16"/>
                <w:color w:val="auto"/>
              </w:rPr>
            </w:pPr>
          </w:p>
        </w:tc>
        <w:tc>
          <w:tcPr>
            <w:tcW w:w="5720" w:type="dxa"/>
            <w:vAlign w:val="bottom"/>
            <w:gridSpan w:val="2"/>
            <w:vMerge w:val="continue"/>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7"/>
        </w:trPr>
        <w:tc>
          <w:tcPr>
            <w:tcW w:w="3780" w:type="dxa"/>
            <w:vAlign w:val="bottom"/>
          </w:tcPr>
          <w:p>
            <w:pPr>
              <w:ind w:left="40"/>
              <w:spacing w:after="0"/>
              <w:rPr>
                <w:sz w:val="20"/>
                <w:szCs w:val="20"/>
                <w:color w:val="auto"/>
              </w:rPr>
            </w:pPr>
            <w:r>
              <w:rPr>
                <w:rFonts w:ascii="Arial" w:cs="Arial" w:eastAsia="Arial" w:hAnsi="Arial"/>
                <w:sz w:val="14"/>
                <w:szCs w:val="14"/>
                <w:color w:val="auto"/>
              </w:rPr>
              <w:t>/s/ Richard M. Frank</w:t>
            </w:r>
          </w:p>
        </w:tc>
        <w:tc>
          <w:tcPr>
            <w:tcW w:w="220" w:type="dxa"/>
            <w:vAlign w:val="bottom"/>
          </w:tcPr>
          <w:p>
            <w:pPr>
              <w:spacing w:after="0"/>
              <w:rPr>
                <w:sz w:val="24"/>
                <w:szCs w:val="24"/>
                <w:color w:val="auto"/>
              </w:rPr>
            </w:pPr>
          </w:p>
        </w:tc>
        <w:tc>
          <w:tcPr>
            <w:tcW w:w="5720" w:type="dxa"/>
            <w:vAlign w:val="bottom"/>
            <w:gridSpan w:val="2"/>
          </w:tcPr>
          <w:p>
            <w:pPr>
              <w:jc w:val="center"/>
              <w:ind w:right="460"/>
              <w:spacing w:after="0"/>
              <w:rPr>
                <w:sz w:val="20"/>
                <w:szCs w:val="20"/>
                <w:color w:val="auto"/>
              </w:rPr>
            </w:pPr>
            <w:r>
              <w:rPr>
                <w:rFonts w:ascii="Arial" w:cs="Arial" w:eastAsia="Arial" w:hAnsi="Arial"/>
                <w:sz w:val="14"/>
                <w:szCs w:val="14"/>
                <w:color w:val="auto"/>
                <w:w w:val="95"/>
              </w:rPr>
              <w:t>Chairman of the Board of Directors and Director</w:t>
            </w:r>
          </w:p>
        </w:tc>
        <w:tc>
          <w:tcPr>
            <w:tcW w:w="1700" w:type="dxa"/>
            <w:vAlign w:val="bottom"/>
          </w:tcPr>
          <w:p>
            <w:pPr>
              <w:ind w:left="20"/>
              <w:spacing w:after="0"/>
              <w:rPr>
                <w:sz w:val="20"/>
                <w:szCs w:val="20"/>
                <w:color w:val="auto"/>
              </w:rPr>
            </w:pPr>
            <w:r>
              <w:rPr>
                <w:rFonts w:ascii="Arial" w:cs="Arial" w:eastAsia="Arial" w:hAnsi="Arial"/>
                <w:sz w:val="14"/>
                <w:szCs w:val="14"/>
                <w:color w:val="auto"/>
              </w:rPr>
              <w:t>May 11, 2018</w:t>
            </w:r>
          </w:p>
        </w:tc>
        <w:tc>
          <w:tcPr>
            <w:tcW w:w="0" w:type="dxa"/>
            <w:vAlign w:val="bottom"/>
          </w:tcPr>
          <w:p>
            <w:pPr>
              <w:spacing w:after="0"/>
              <w:rPr>
                <w:sz w:val="1"/>
                <w:szCs w:val="1"/>
                <w:color w:val="auto"/>
              </w:rPr>
            </w:pPr>
          </w:p>
        </w:tc>
      </w:tr>
      <w:tr>
        <w:trPr>
          <w:trHeight w:val="80"/>
        </w:trPr>
        <w:tc>
          <w:tcPr>
            <w:tcW w:w="37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5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3780" w:type="dxa"/>
            <w:vAlign w:val="bottom"/>
          </w:tcPr>
          <w:p>
            <w:pPr>
              <w:ind w:left="40"/>
              <w:spacing w:after="0"/>
              <w:rPr>
                <w:sz w:val="20"/>
                <w:szCs w:val="20"/>
                <w:color w:val="auto"/>
              </w:rPr>
            </w:pPr>
            <w:r>
              <w:rPr>
                <w:rFonts w:ascii="Arial" w:cs="Arial" w:eastAsia="Arial" w:hAnsi="Arial"/>
                <w:sz w:val="14"/>
                <w:szCs w:val="14"/>
                <w:color w:val="auto"/>
              </w:rPr>
              <w:t>Richard M. Frank</w:t>
            </w:r>
          </w:p>
        </w:tc>
        <w:tc>
          <w:tcPr>
            <w:tcW w:w="2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0"/>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 Susan M. Byrne</w:t>
            </w:r>
          </w:p>
        </w:tc>
        <w:tc>
          <w:tcPr>
            <w:tcW w:w="220" w:type="dxa"/>
            <w:vAlign w:val="bottom"/>
          </w:tcPr>
          <w:p>
            <w:pPr>
              <w:spacing w:after="0"/>
              <w:rPr>
                <w:sz w:val="24"/>
                <w:szCs w:val="24"/>
                <w:color w:val="auto"/>
              </w:rPr>
            </w:pPr>
          </w:p>
        </w:tc>
        <w:tc>
          <w:tcPr>
            <w:tcW w:w="5720" w:type="dxa"/>
            <w:vAlign w:val="bottom"/>
            <w:gridSpan w:val="2"/>
          </w:tcPr>
          <w:p>
            <w:pPr>
              <w:jc w:val="center"/>
              <w:ind w:right="460"/>
              <w:spacing w:after="0"/>
              <w:rPr>
                <w:sz w:val="20"/>
                <w:szCs w:val="20"/>
                <w:color w:val="auto"/>
              </w:rPr>
            </w:pPr>
            <w:r>
              <w:rPr>
                <w:rFonts w:ascii="Arial" w:cs="Arial" w:eastAsia="Arial" w:hAnsi="Arial"/>
                <w:sz w:val="14"/>
                <w:szCs w:val="14"/>
                <w:color w:val="auto"/>
                <w:w w:val="94"/>
              </w:rPr>
              <w:t>Vice Chairman of the Board of Directors and Director</w:t>
            </w:r>
          </w:p>
        </w:tc>
        <w:tc>
          <w:tcPr>
            <w:tcW w:w="1700" w:type="dxa"/>
            <w:vAlign w:val="bottom"/>
          </w:tcPr>
          <w:p>
            <w:pPr>
              <w:ind w:left="20"/>
              <w:spacing w:after="0"/>
              <w:rPr>
                <w:sz w:val="20"/>
                <w:szCs w:val="20"/>
                <w:color w:val="auto"/>
              </w:rPr>
            </w:pPr>
            <w:r>
              <w:rPr>
                <w:rFonts w:ascii="Arial" w:cs="Arial" w:eastAsia="Arial" w:hAnsi="Arial"/>
                <w:sz w:val="14"/>
                <w:szCs w:val="14"/>
                <w:color w:val="auto"/>
              </w:rPr>
              <w:t>May 11, 2018</w:t>
            </w:r>
          </w:p>
        </w:tc>
        <w:tc>
          <w:tcPr>
            <w:tcW w:w="0" w:type="dxa"/>
            <w:vAlign w:val="bottom"/>
          </w:tcPr>
          <w:p>
            <w:pPr>
              <w:spacing w:after="0"/>
              <w:rPr>
                <w:sz w:val="1"/>
                <w:szCs w:val="1"/>
                <w:color w:val="auto"/>
              </w:rPr>
            </w:pPr>
          </w:p>
        </w:tc>
      </w:tr>
      <w:tr>
        <w:trPr>
          <w:trHeight w:val="244"/>
        </w:trPr>
        <w:tc>
          <w:tcPr>
            <w:tcW w:w="3780" w:type="dxa"/>
            <w:vAlign w:val="bottom"/>
          </w:tcPr>
          <w:p>
            <w:pPr>
              <w:ind w:left="40"/>
              <w:spacing w:after="0"/>
              <w:rPr>
                <w:sz w:val="20"/>
                <w:szCs w:val="20"/>
                <w:color w:val="auto"/>
              </w:rPr>
            </w:pPr>
            <w:r>
              <w:rPr>
                <w:rFonts w:ascii="Arial" w:cs="Arial" w:eastAsia="Arial" w:hAnsi="Arial"/>
                <w:sz w:val="14"/>
                <w:szCs w:val="14"/>
                <w:color w:val="auto"/>
              </w:rPr>
              <w:t>Susan M. Byrne</w:t>
            </w:r>
          </w:p>
        </w:tc>
        <w:tc>
          <w:tcPr>
            <w:tcW w:w="220" w:type="dxa"/>
            <w:vAlign w:val="bottom"/>
          </w:tcPr>
          <w:p>
            <w:pPr>
              <w:spacing w:after="0"/>
              <w:rPr>
                <w:sz w:val="21"/>
                <w:szCs w:val="21"/>
                <w:color w:val="auto"/>
              </w:rPr>
            </w:pPr>
          </w:p>
        </w:tc>
        <w:tc>
          <w:tcPr>
            <w:tcW w:w="5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97"/>
        </w:trPr>
        <w:tc>
          <w:tcPr>
            <w:tcW w:w="3780" w:type="dxa"/>
            <w:vAlign w:val="bottom"/>
          </w:tcPr>
          <w:p>
            <w:pPr>
              <w:ind w:left="40"/>
              <w:spacing w:after="0"/>
              <w:rPr>
                <w:sz w:val="20"/>
                <w:szCs w:val="20"/>
                <w:color w:val="auto"/>
              </w:rPr>
            </w:pPr>
            <w:r>
              <w:rPr>
                <w:rFonts w:ascii="Arial" w:cs="Arial" w:eastAsia="Arial" w:hAnsi="Arial"/>
                <w:sz w:val="14"/>
                <w:szCs w:val="14"/>
                <w:color w:val="auto"/>
              </w:rPr>
              <w:t>/s/ Ellen H. Masterson</w:t>
            </w:r>
          </w:p>
        </w:tc>
        <w:tc>
          <w:tcPr>
            <w:tcW w:w="220" w:type="dxa"/>
            <w:vAlign w:val="bottom"/>
          </w:tcPr>
          <w:p>
            <w:pPr>
              <w:spacing w:after="0"/>
              <w:rPr>
                <w:sz w:val="24"/>
                <w:szCs w:val="24"/>
                <w:color w:val="auto"/>
              </w:rPr>
            </w:pPr>
          </w:p>
        </w:tc>
        <w:tc>
          <w:tcPr>
            <w:tcW w:w="5720" w:type="dxa"/>
            <w:vAlign w:val="bottom"/>
            <w:gridSpan w:val="2"/>
          </w:tcPr>
          <w:p>
            <w:pPr>
              <w:jc w:val="center"/>
              <w:ind w:right="440"/>
              <w:spacing w:after="0"/>
              <w:rPr>
                <w:sz w:val="20"/>
                <w:szCs w:val="20"/>
                <w:color w:val="auto"/>
              </w:rPr>
            </w:pPr>
            <w:r>
              <w:rPr>
                <w:rFonts w:ascii="Arial" w:cs="Arial" w:eastAsia="Arial" w:hAnsi="Arial"/>
                <w:sz w:val="14"/>
                <w:szCs w:val="14"/>
                <w:color w:val="auto"/>
                <w:w w:val="97"/>
              </w:rPr>
              <w:t>Director</w:t>
            </w:r>
          </w:p>
        </w:tc>
        <w:tc>
          <w:tcPr>
            <w:tcW w:w="1700" w:type="dxa"/>
            <w:vAlign w:val="bottom"/>
          </w:tcPr>
          <w:p>
            <w:pPr>
              <w:ind w:left="20"/>
              <w:spacing w:after="0"/>
              <w:rPr>
                <w:sz w:val="20"/>
                <w:szCs w:val="20"/>
                <w:color w:val="auto"/>
              </w:rPr>
            </w:pPr>
            <w:r>
              <w:rPr>
                <w:rFonts w:ascii="Arial" w:cs="Arial" w:eastAsia="Arial" w:hAnsi="Arial"/>
                <w:sz w:val="14"/>
                <w:szCs w:val="14"/>
                <w:color w:val="auto"/>
              </w:rPr>
              <w:t>May 11, 2018</w:t>
            </w:r>
          </w:p>
        </w:tc>
        <w:tc>
          <w:tcPr>
            <w:tcW w:w="0" w:type="dxa"/>
            <w:vAlign w:val="bottom"/>
          </w:tcPr>
          <w:p>
            <w:pPr>
              <w:spacing w:after="0"/>
              <w:rPr>
                <w:sz w:val="1"/>
                <w:szCs w:val="1"/>
                <w:color w:val="auto"/>
              </w:rPr>
            </w:pPr>
          </w:p>
        </w:tc>
      </w:tr>
      <w:tr>
        <w:trPr>
          <w:trHeight w:val="80"/>
        </w:trPr>
        <w:tc>
          <w:tcPr>
            <w:tcW w:w="37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5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3780" w:type="dxa"/>
            <w:vAlign w:val="bottom"/>
          </w:tcPr>
          <w:p>
            <w:pPr>
              <w:ind w:left="40"/>
              <w:spacing w:after="0"/>
              <w:rPr>
                <w:sz w:val="20"/>
                <w:szCs w:val="20"/>
                <w:color w:val="auto"/>
              </w:rPr>
            </w:pPr>
            <w:r>
              <w:rPr>
                <w:rFonts w:ascii="Arial" w:cs="Arial" w:eastAsia="Arial" w:hAnsi="Arial"/>
                <w:sz w:val="14"/>
                <w:szCs w:val="14"/>
                <w:color w:val="auto"/>
              </w:rPr>
              <w:t>Ellen H. Masterson</w:t>
            </w:r>
          </w:p>
        </w:tc>
        <w:tc>
          <w:tcPr>
            <w:tcW w:w="2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7"/>
        </w:trPr>
        <w:tc>
          <w:tcPr>
            <w:tcW w:w="3780" w:type="dxa"/>
            <w:vAlign w:val="bottom"/>
          </w:tcPr>
          <w:p>
            <w:pPr>
              <w:ind w:left="40"/>
              <w:spacing w:after="0"/>
              <w:rPr>
                <w:sz w:val="20"/>
                <w:szCs w:val="20"/>
                <w:color w:val="auto"/>
              </w:rPr>
            </w:pPr>
            <w:r>
              <w:rPr>
                <w:rFonts w:ascii="Arial" w:cs="Arial" w:eastAsia="Arial" w:hAnsi="Arial"/>
                <w:sz w:val="14"/>
                <w:szCs w:val="14"/>
                <w:color w:val="auto"/>
              </w:rPr>
              <w:t>/s/ Robert D. McTeer</w:t>
            </w:r>
          </w:p>
        </w:tc>
        <w:tc>
          <w:tcPr>
            <w:tcW w:w="220" w:type="dxa"/>
            <w:vAlign w:val="bottom"/>
          </w:tcPr>
          <w:p>
            <w:pPr>
              <w:spacing w:after="0"/>
              <w:rPr>
                <w:sz w:val="24"/>
                <w:szCs w:val="24"/>
                <w:color w:val="auto"/>
              </w:rPr>
            </w:pPr>
          </w:p>
        </w:tc>
        <w:tc>
          <w:tcPr>
            <w:tcW w:w="5720" w:type="dxa"/>
            <w:vAlign w:val="bottom"/>
            <w:gridSpan w:val="2"/>
          </w:tcPr>
          <w:p>
            <w:pPr>
              <w:jc w:val="center"/>
              <w:ind w:right="440"/>
              <w:spacing w:after="0"/>
              <w:rPr>
                <w:sz w:val="20"/>
                <w:szCs w:val="20"/>
                <w:color w:val="auto"/>
              </w:rPr>
            </w:pPr>
            <w:r>
              <w:rPr>
                <w:rFonts w:ascii="Arial" w:cs="Arial" w:eastAsia="Arial" w:hAnsi="Arial"/>
                <w:sz w:val="14"/>
                <w:szCs w:val="14"/>
                <w:color w:val="auto"/>
                <w:w w:val="97"/>
              </w:rPr>
              <w:t>Director</w:t>
            </w:r>
          </w:p>
        </w:tc>
        <w:tc>
          <w:tcPr>
            <w:tcW w:w="1700" w:type="dxa"/>
            <w:vAlign w:val="bottom"/>
          </w:tcPr>
          <w:p>
            <w:pPr>
              <w:ind w:left="20"/>
              <w:spacing w:after="0"/>
              <w:rPr>
                <w:sz w:val="20"/>
                <w:szCs w:val="20"/>
                <w:color w:val="auto"/>
              </w:rPr>
            </w:pPr>
            <w:r>
              <w:rPr>
                <w:rFonts w:ascii="Arial" w:cs="Arial" w:eastAsia="Arial" w:hAnsi="Arial"/>
                <w:sz w:val="14"/>
                <w:szCs w:val="14"/>
                <w:color w:val="auto"/>
              </w:rPr>
              <w:t>May 11, 2018</w:t>
            </w:r>
          </w:p>
        </w:tc>
        <w:tc>
          <w:tcPr>
            <w:tcW w:w="0" w:type="dxa"/>
            <w:vAlign w:val="bottom"/>
          </w:tcPr>
          <w:p>
            <w:pPr>
              <w:spacing w:after="0"/>
              <w:rPr>
                <w:sz w:val="1"/>
                <w:szCs w:val="1"/>
                <w:color w:val="auto"/>
              </w:rPr>
            </w:pPr>
          </w:p>
        </w:tc>
      </w:tr>
      <w:tr>
        <w:trPr>
          <w:trHeight w:val="80"/>
        </w:trPr>
        <w:tc>
          <w:tcPr>
            <w:tcW w:w="37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5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3780" w:type="dxa"/>
            <w:vAlign w:val="bottom"/>
          </w:tcPr>
          <w:p>
            <w:pPr>
              <w:ind w:left="40"/>
              <w:spacing w:after="0"/>
              <w:rPr>
                <w:sz w:val="20"/>
                <w:szCs w:val="20"/>
                <w:color w:val="auto"/>
              </w:rPr>
            </w:pPr>
            <w:r>
              <w:rPr>
                <w:rFonts w:ascii="Arial" w:cs="Arial" w:eastAsia="Arial" w:hAnsi="Arial"/>
                <w:sz w:val="14"/>
                <w:szCs w:val="14"/>
                <w:color w:val="auto"/>
              </w:rPr>
              <w:t>Robert D. McTeer</w:t>
            </w:r>
          </w:p>
        </w:tc>
        <w:tc>
          <w:tcPr>
            <w:tcW w:w="2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7"/>
        </w:trPr>
        <w:tc>
          <w:tcPr>
            <w:tcW w:w="3780" w:type="dxa"/>
            <w:vAlign w:val="bottom"/>
            <w:vMerge w:val="restart"/>
          </w:tcPr>
          <w:p>
            <w:pPr>
              <w:ind w:left="40"/>
              <w:spacing w:after="0"/>
              <w:rPr>
                <w:sz w:val="20"/>
                <w:szCs w:val="20"/>
                <w:color w:val="auto"/>
              </w:rPr>
            </w:pPr>
            <w:r>
              <w:rPr>
                <w:rFonts w:ascii="Arial" w:cs="Arial" w:eastAsia="Arial" w:hAnsi="Arial"/>
                <w:sz w:val="14"/>
                <w:szCs w:val="14"/>
                <w:color w:val="auto"/>
              </w:rPr>
              <w:t>/s/ Geoffrey R. Norman</w:t>
            </w:r>
          </w:p>
        </w:tc>
        <w:tc>
          <w:tcPr>
            <w:tcW w:w="220" w:type="dxa"/>
            <w:vAlign w:val="bottom"/>
          </w:tcPr>
          <w:p>
            <w:pPr>
              <w:spacing w:after="0"/>
              <w:rPr>
                <w:sz w:val="24"/>
                <w:szCs w:val="24"/>
                <w:color w:val="auto"/>
              </w:rPr>
            </w:pPr>
          </w:p>
        </w:tc>
        <w:tc>
          <w:tcPr>
            <w:tcW w:w="5720" w:type="dxa"/>
            <w:vAlign w:val="bottom"/>
            <w:gridSpan w:val="2"/>
          </w:tcPr>
          <w:p>
            <w:pPr>
              <w:jc w:val="center"/>
              <w:ind w:right="440"/>
              <w:spacing w:after="0"/>
              <w:rPr>
                <w:sz w:val="20"/>
                <w:szCs w:val="20"/>
                <w:color w:val="auto"/>
              </w:rPr>
            </w:pPr>
            <w:r>
              <w:rPr>
                <w:rFonts w:ascii="Arial" w:cs="Arial" w:eastAsia="Arial" w:hAnsi="Arial"/>
                <w:sz w:val="14"/>
                <w:szCs w:val="14"/>
                <w:color w:val="auto"/>
                <w:w w:val="97"/>
              </w:rPr>
              <w:t>Director</w:t>
            </w:r>
          </w:p>
        </w:tc>
        <w:tc>
          <w:tcPr>
            <w:tcW w:w="1700" w:type="dxa"/>
            <w:vAlign w:val="bottom"/>
          </w:tcPr>
          <w:p>
            <w:pPr>
              <w:ind w:left="20"/>
              <w:spacing w:after="0"/>
              <w:rPr>
                <w:sz w:val="20"/>
                <w:szCs w:val="20"/>
                <w:color w:val="auto"/>
              </w:rPr>
            </w:pPr>
            <w:r>
              <w:rPr>
                <w:rFonts w:ascii="Arial" w:cs="Arial" w:eastAsia="Arial" w:hAnsi="Arial"/>
                <w:sz w:val="14"/>
                <w:szCs w:val="14"/>
                <w:color w:val="auto"/>
              </w:rPr>
              <w:t>May 11, 2018</w:t>
            </w:r>
          </w:p>
        </w:tc>
        <w:tc>
          <w:tcPr>
            <w:tcW w:w="0" w:type="dxa"/>
            <w:vAlign w:val="bottom"/>
          </w:tcPr>
          <w:p>
            <w:pPr>
              <w:spacing w:after="0"/>
              <w:rPr>
                <w:sz w:val="1"/>
                <w:szCs w:val="1"/>
                <w:color w:val="auto"/>
              </w:rPr>
            </w:pPr>
          </w:p>
        </w:tc>
      </w:tr>
      <w:tr>
        <w:trPr>
          <w:trHeight w:val="79"/>
        </w:trPr>
        <w:tc>
          <w:tcPr>
            <w:tcW w:w="3780" w:type="dxa"/>
            <w:vAlign w:val="bottom"/>
            <w:tcBorders>
              <w:bottom w:val="single" w:sz="8" w:color="auto"/>
            </w:tcBorders>
            <w:vMerge w:val="continue"/>
          </w:tcPr>
          <w:p>
            <w:pPr>
              <w:spacing w:after="0"/>
              <w:rPr>
                <w:sz w:val="6"/>
                <w:szCs w:val="6"/>
                <w:color w:val="auto"/>
              </w:rPr>
            </w:pPr>
          </w:p>
        </w:tc>
        <w:tc>
          <w:tcPr>
            <w:tcW w:w="220" w:type="dxa"/>
            <w:vAlign w:val="bottom"/>
          </w:tcPr>
          <w:p>
            <w:pPr>
              <w:spacing w:after="0"/>
              <w:rPr>
                <w:sz w:val="6"/>
                <w:szCs w:val="6"/>
                <w:color w:val="auto"/>
              </w:rPr>
            </w:pPr>
          </w:p>
        </w:tc>
        <w:tc>
          <w:tcPr>
            <w:tcW w:w="5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3780" w:type="dxa"/>
            <w:vAlign w:val="bottom"/>
          </w:tcPr>
          <w:p>
            <w:pPr>
              <w:ind w:left="40"/>
              <w:spacing w:after="0"/>
              <w:rPr>
                <w:sz w:val="20"/>
                <w:szCs w:val="20"/>
                <w:color w:val="auto"/>
              </w:rPr>
            </w:pPr>
            <w:r>
              <w:rPr>
                <w:rFonts w:ascii="Arial" w:cs="Arial" w:eastAsia="Arial" w:hAnsi="Arial"/>
                <w:sz w:val="14"/>
                <w:szCs w:val="14"/>
                <w:color w:val="auto"/>
              </w:rPr>
              <w:t>Geoffrey R. Norman</w:t>
            </w:r>
          </w:p>
        </w:tc>
        <w:tc>
          <w:tcPr>
            <w:tcW w:w="220" w:type="dxa"/>
            <w:vAlign w:val="bottom"/>
          </w:tcPr>
          <w:p>
            <w:pPr>
              <w:spacing w:after="0"/>
              <w:rPr>
                <w:sz w:val="21"/>
                <w:szCs w:val="21"/>
                <w:color w:val="auto"/>
              </w:rPr>
            </w:pPr>
          </w:p>
        </w:tc>
        <w:tc>
          <w:tcPr>
            <w:tcW w:w="5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16"/>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 Martin J. Weiland</w:t>
            </w:r>
          </w:p>
        </w:tc>
        <w:tc>
          <w:tcPr>
            <w:tcW w:w="220" w:type="dxa"/>
            <w:vAlign w:val="bottom"/>
          </w:tcPr>
          <w:p>
            <w:pPr>
              <w:spacing w:after="0"/>
              <w:rPr>
                <w:sz w:val="24"/>
                <w:szCs w:val="24"/>
                <w:color w:val="auto"/>
              </w:rPr>
            </w:pPr>
          </w:p>
        </w:tc>
        <w:tc>
          <w:tcPr>
            <w:tcW w:w="5720" w:type="dxa"/>
            <w:vAlign w:val="bottom"/>
            <w:gridSpan w:val="2"/>
          </w:tcPr>
          <w:p>
            <w:pPr>
              <w:jc w:val="center"/>
              <w:ind w:right="440"/>
              <w:spacing w:after="0"/>
              <w:rPr>
                <w:sz w:val="20"/>
                <w:szCs w:val="20"/>
                <w:color w:val="auto"/>
              </w:rPr>
            </w:pPr>
            <w:r>
              <w:rPr>
                <w:rFonts w:ascii="Arial" w:cs="Arial" w:eastAsia="Arial" w:hAnsi="Arial"/>
                <w:sz w:val="14"/>
                <w:szCs w:val="14"/>
                <w:color w:val="auto"/>
                <w:w w:val="97"/>
              </w:rPr>
              <w:t>Director</w:t>
            </w:r>
          </w:p>
        </w:tc>
        <w:tc>
          <w:tcPr>
            <w:tcW w:w="1700" w:type="dxa"/>
            <w:vAlign w:val="bottom"/>
          </w:tcPr>
          <w:p>
            <w:pPr>
              <w:ind w:left="20"/>
              <w:spacing w:after="0"/>
              <w:rPr>
                <w:sz w:val="20"/>
                <w:szCs w:val="20"/>
                <w:color w:val="auto"/>
              </w:rPr>
            </w:pPr>
            <w:r>
              <w:rPr>
                <w:rFonts w:ascii="Arial" w:cs="Arial" w:eastAsia="Arial" w:hAnsi="Arial"/>
                <w:sz w:val="14"/>
                <w:szCs w:val="14"/>
                <w:color w:val="auto"/>
              </w:rPr>
              <w:t>May 11, 2018</w:t>
            </w:r>
          </w:p>
        </w:tc>
        <w:tc>
          <w:tcPr>
            <w:tcW w:w="0" w:type="dxa"/>
            <w:vAlign w:val="bottom"/>
          </w:tcPr>
          <w:p>
            <w:pPr>
              <w:spacing w:after="0"/>
              <w:rPr>
                <w:sz w:val="1"/>
                <w:szCs w:val="1"/>
                <w:color w:val="auto"/>
              </w:rPr>
            </w:pPr>
          </w:p>
        </w:tc>
      </w:tr>
      <w:tr>
        <w:trPr>
          <w:trHeight w:val="244"/>
        </w:trPr>
        <w:tc>
          <w:tcPr>
            <w:tcW w:w="3780" w:type="dxa"/>
            <w:vAlign w:val="bottom"/>
          </w:tcPr>
          <w:p>
            <w:pPr>
              <w:ind w:left="40"/>
              <w:spacing w:after="0"/>
              <w:rPr>
                <w:sz w:val="20"/>
                <w:szCs w:val="20"/>
                <w:color w:val="auto"/>
              </w:rPr>
            </w:pPr>
            <w:r>
              <w:rPr>
                <w:rFonts w:ascii="Arial" w:cs="Arial" w:eastAsia="Arial" w:hAnsi="Arial"/>
                <w:sz w:val="14"/>
                <w:szCs w:val="14"/>
                <w:color w:val="auto"/>
              </w:rPr>
              <w:t>Martin J. Weiland</w:t>
            </w:r>
          </w:p>
        </w:tc>
        <w:tc>
          <w:tcPr>
            <w:tcW w:w="220" w:type="dxa"/>
            <w:vAlign w:val="bottom"/>
          </w:tcPr>
          <w:p>
            <w:pPr>
              <w:spacing w:after="0"/>
              <w:rPr>
                <w:sz w:val="21"/>
                <w:szCs w:val="21"/>
                <w:color w:val="auto"/>
              </w:rPr>
            </w:pPr>
          </w:p>
        </w:tc>
        <w:tc>
          <w:tcPr>
            <w:tcW w:w="5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16"/>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 Raymond E. Wooldridge</w:t>
            </w:r>
          </w:p>
        </w:tc>
        <w:tc>
          <w:tcPr>
            <w:tcW w:w="220" w:type="dxa"/>
            <w:vAlign w:val="bottom"/>
          </w:tcPr>
          <w:p>
            <w:pPr>
              <w:spacing w:after="0"/>
              <w:rPr>
                <w:sz w:val="24"/>
                <w:szCs w:val="24"/>
                <w:color w:val="auto"/>
              </w:rPr>
            </w:pPr>
          </w:p>
        </w:tc>
        <w:tc>
          <w:tcPr>
            <w:tcW w:w="5720" w:type="dxa"/>
            <w:vAlign w:val="bottom"/>
            <w:gridSpan w:val="2"/>
          </w:tcPr>
          <w:p>
            <w:pPr>
              <w:jc w:val="center"/>
              <w:ind w:right="440"/>
              <w:spacing w:after="0"/>
              <w:rPr>
                <w:sz w:val="20"/>
                <w:szCs w:val="20"/>
                <w:color w:val="auto"/>
              </w:rPr>
            </w:pPr>
            <w:r>
              <w:rPr>
                <w:rFonts w:ascii="Arial" w:cs="Arial" w:eastAsia="Arial" w:hAnsi="Arial"/>
                <w:sz w:val="14"/>
                <w:szCs w:val="14"/>
                <w:color w:val="auto"/>
                <w:w w:val="97"/>
              </w:rPr>
              <w:t>Director</w:t>
            </w:r>
          </w:p>
        </w:tc>
        <w:tc>
          <w:tcPr>
            <w:tcW w:w="1700" w:type="dxa"/>
            <w:vAlign w:val="bottom"/>
          </w:tcPr>
          <w:p>
            <w:pPr>
              <w:ind w:left="20"/>
              <w:spacing w:after="0"/>
              <w:rPr>
                <w:sz w:val="20"/>
                <w:szCs w:val="20"/>
                <w:color w:val="auto"/>
              </w:rPr>
            </w:pPr>
            <w:r>
              <w:rPr>
                <w:rFonts w:ascii="Arial" w:cs="Arial" w:eastAsia="Arial" w:hAnsi="Arial"/>
                <w:sz w:val="14"/>
                <w:szCs w:val="14"/>
                <w:color w:val="auto"/>
              </w:rPr>
              <w:t>May 11, 2018</w:t>
            </w:r>
          </w:p>
        </w:tc>
        <w:tc>
          <w:tcPr>
            <w:tcW w:w="0" w:type="dxa"/>
            <w:vAlign w:val="bottom"/>
          </w:tcPr>
          <w:p>
            <w:pPr>
              <w:spacing w:after="0"/>
              <w:rPr>
                <w:sz w:val="1"/>
                <w:szCs w:val="1"/>
                <w:color w:val="auto"/>
              </w:rPr>
            </w:pPr>
          </w:p>
        </w:tc>
      </w:tr>
      <w:tr>
        <w:trPr>
          <w:trHeight w:val="244"/>
        </w:trPr>
        <w:tc>
          <w:tcPr>
            <w:tcW w:w="3780" w:type="dxa"/>
            <w:vAlign w:val="bottom"/>
          </w:tcPr>
          <w:p>
            <w:pPr>
              <w:ind w:left="40"/>
              <w:spacing w:after="0"/>
              <w:rPr>
                <w:sz w:val="20"/>
                <w:szCs w:val="20"/>
                <w:color w:val="auto"/>
              </w:rPr>
            </w:pPr>
            <w:r>
              <w:rPr>
                <w:rFonts w:ascii="Arial" w:cs="Arial" w:eastAsia="Arial" w:hAnsi="Arial"/>
                <w:sz w:val="14"/>
                <w:szCs w:val="14"/>
                <w:color w:val="auto"/>
              </w:rPr>
              <w:t>Raymond E. Wooldridge</w:t>
            </w:r>
          </w:p>
        </w:tc>
        <w:tc>
          <w:tcPr>
            <w:tcW w:w="220" w:type="dxa"/>
            <w:vAlign w:val="bottom"/>
          </w:tcPr>
          <w:p>
            <w:pPr>
              <w:spacing w:after="0"/>
              <w:rPr>
                <w:sz w:val="21"/>
                <w:szCs w:val="21"/>
                <w:color w:val="auto"/>
              </w:rPr>
            </w:pPr>
          </w:p>
        </w:tc>
        <w:tc>
          <w:tcPr>
            <w:tcW w:w="5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64"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40" w:type="dxa"/>
            <w:vAlign w:val="bottom"/>
            <w:gridSpan w:val="12"/>
          </w:tcPr>
          <w:p>
            <w:pPr>
              <w:ind w:left="500"/>
              <w:spacing w:after="0"/>
              <w:rPr>
                <w:sz w:val="20"/>
                <w:szCs w:val="20"/>
                <w:color w:val="auto"/>
              </w:rPr>
            </w:pPr>
            <w:r>
              <w:rPr>
                <w:rFonts w:ascii="Arial" w:cs="Arial" w:eastAsia="Arial" w:hAnsi="Arial"/>
                <w:sz w:val="14"/>
                <w:szCs w:val="14"/>
                <w:b w:val="1"/>
                <w:bCs w:val="1"/>
                <w:color w:val="auto"/>
              </w:rPr>
              <w:t>EXHIBIT INDEX</w:t>
            </w:r>
          </w:p>
        </w:tc>
      </w:tr>
      <w:tr>
        <w:trPr>
          <w:trHeight w:val="662"/>
        </w:trPr>
        <w:tc>
          <w:tcPr>
            <w:tcW w:w="92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6"/>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10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5780" w:type="dxa"/>
            <w:vAlign w:val="bottom"/>
            <w:tcBorders>
              <w:bottom w:val="single" w:sz="8" w:color="auto"/>
            </w:tcBorders>
            <w:gridSpan w:val="11"/>
          </w:tcPr>
          <w:p>
            <w:pPr>
              <w:ind w:left="460"/>
              <w:spacing w:after="0"/>
              <w:rPr>
                <w:sz w:val="20"/>
                <w:szCs w:val="20"/>
                <w:color w:val="auto"/>
              </w:rPr>
            </w:pPr>
            <w:r>
              <w:rPr>
                <w:rFonts w:ascii="Arial" w:cs="Arial" w:eastAsia="Arial" w:hAnsi="Arial"/>
                <w:sz w:val="14"/>
                <w:szCs w:val="14"/>
                <w:b w:val="1"/>
                <w:bCs w:val="1"/>
                <w:color w:val="auto"/>
              </w:rPr>
              <w:t>Description of Exhibit</w:t>
            </w:r>
          </w:p>
        </w:tc>
      </w:tr>
      <w:tr>
        <w:trPr>
          <w:trHeight w:val="162"/>
        </w:trPr>
        <w:tc>
          <w:tcPr>
            <w:tcW w:w="92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100" w:type="dxa"/>
            <w:vAlign w:val="bottom"/>
          </w:tcPr>
          <w:p>
            <w:pPr>
              <w:ind w:left="4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9120" w:type="dxa"/>
            <w:vAlign w:val="bottom"/>
            <w:gridSpan w:val="18"/>
          </w:tcPr>
          <w:p>
            <w:pPr>
              <w:spacing w:after="0"/>
              <w:rPr>
                <w:rFonts w:ascii="Arial" w:cs="Arial" w:eastAsia="Arial" w:hAnsi="Arial"/>
                <w:sz w:val="14"/>
                <w:szCs w:val="14"/>
                <w:color w:val="0000EE"/>
                <w:w w:val="98"/>
              </w:rPr>
            </w:pPr>
            <w:hyperlink r:id="rId10">
              <w:r>
                <w:rPr>
                  <w:rFonts w:ascii="Arial" w:cs="Arial" w:eastAsia="Arial" w:hAnsi="Arial"/>
                  <w:sz w:val="14"/>
                  <w:szCs w:val="14"/>
                  <w:color w:val="0000EE"/>
                  <w:w w:val="98"/>
                </w:rPr>
                <w:t>Amended and Restated Certificate of Incorporation of Westwood Holdings Group, Inc. (incorporated by reference from the Form 10-12B filed with the</w:t>
              </w:r>
            </w:hyperlink>
          </w:p>
        </w:tc>
      </w:tr>
      <w:tr>
        <w:trPr>
          <w:trHeight w:val="129"/>
        </w:trPr>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60" w:type="dxa"/>
            <w:vAlign w:val="bottom"/>
            <w:tcBorders>
              <w:top w:val="single" w:sz="8" w:color="0000EE"/>
              <w:bottom w:val="single" w:sz="8" w:color="0000EE"/>
            </w:tcBorders>
            <w:gridSpan w:val="3"/>
          </w:tcPr>
          <w:p>
            <w:pPr>
              <w:spacing w:after="0" w:line="129" w:lineRule="exact"/>
              <w:rPr>
                <w:rFonts w:ascii="Arial" w:cs="Arial" w:eastAsia="Arial" w:hAnsi="Arial"/>
                <w:sz w:val="14"/>
                <w:szCs w:val="14"/>
                <w:color w:val="0000EE"/>
                <w:w w:val="96"/>
              </w:rPr>
            </w:pPr>
            <w:hyperlink r:id="rId10">
              <w:r>
                <w:rPr>
                  <w:rFonts w:ascii="Arial" w:cs="Arial" w:eastAsia="Arial" w:hAnsi="Arial"/>
                  <w:sz w:val="14"/>
                  <w:szCs w:val="14"/>
                  <w:color w:val="0000EE"/>
                  <w:w w:val="96"/>
                </w:rPr>
                <w:t>Commission on April 30, 2002)</w:t>
              </w:r>
            </w:hyperlink>
          </w:p>
        </w:tc>
        <w:tc>
          <w:tcPr>
            <w:tcW w:w="7140" w:type="dxa"/>
            <w:vAlign w:val="bottom"/>
            <w:tcBorders>
              <w:top w:val="single" w:sz="8" w:color="0000EE"/>
            </w:tcBorders>
            <w:gridSpan w:val="11"/>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304"/>
        </w:trPr>
        <w:tc>
          <w:tcPr>
            <w:tcW w:w="920" w:type="dxa"/>
            <w:vAlign w:val="bottom"/>
          </w:tcPr>
          <w:p>
            <w:pPr>
              <w:jc w:val="center"/>
              <w:spacing w:after="0"/>
              <w:rPr>
                <w:sz w:val="20"/>
                <w:szCs w:val="20"/>
                <w:color w:val="auto"/>
              </w:rPr>
            </w:pPr>
            <w:r>
              <w:rPr>
                <w:rFonts w:ascii="Arial" w:cs="Arial" w:eastAsia="Arial" w:hAnsi="Arial"/>
                <w:sz w:val="14"/>
                <w:szCs w:val="14"/>
                <w:color w:val="auto"/>
                <w:w w:val="89"/>
              </w:rPr>
              <w:t>4.1.1</w:t>
            </w:r>
          </w:p>
        </w:tc>
        <w:tc>
          <w:tcPr>
            <w:tcW w:w="1100" w:type="dxa"/>
            <w:vAlign w:val="bottom"/>
          </w:tcPr>
          <w:p>
            <w:pPr>
              <w:ind w:left="4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9120" w:type="dxa"/>
            <w:vAlign w:val="bottom"/>
            <w:gridSpan w:val="18"/>
          </w:tcPr>
          <w:p>
            <w:pPr>
              <w:spacing w:after="0"/>
              <w:rPr>
                <w:rFonts w:ascii="Arial" w:cs="Arial" w:eastAsia="Arial" w:hAnsi="Arial"/>
                <w:sz w:val="14"/>
                <w:szCs w:val="14"/>
                <w:color w:val="0000EE"/>
                <w:w w:val="96"/>
              </w:rPr>
            </w:pPr>
            <w:hyperlink r:id="rId11">
              <w:r>
                <w:rPr>
                  <w:rFonts w:ascii="Arial" w:cs="Arial" w:eastAsia="Arial" w:hAnsi="Arial"/>
                  <w:sz w:val="14"/>
                  <w:szCs w:val="14"/>
                  <w:color w:val="0000EE"/>
                  <w:w w:val="96"/>
                </w:rPr>
                <w:t>First Amendment to Amended and Restated Certificate of Incorporation of Westwood Holdings Group, Inc., as amended (incorporated by reference from</w:t>
              </w:r>
            </w:hyperlink>
          </w:p>
        </w:tc>
      </w:tr>
      <w:tr>
        <w:trPr>
          <w:trHeight w:val="129"/>
        </w:trPr>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40" w:type="dxa"/>
            <w:vAlign w:val="bottom"/>
            <w:tcBorders>
              <w:top w:val="single" w:sz="8" w:color="0000EE"/>
            </w:tcBorders>
            <w:gridSpan w:val="16"/>
          </w:tcPr>
          <w:p>
            <w:pPr>
              <w:spacing w:after="0" w:line="129" w:lineRule="exact"/>
              <w:rPr>
                <w:rFonts w:ascii="Arial" w:cs="Arial" w:eastAsia="Arial" w:hAnsi="Arial"/>
                <w:sz w:val="14"/>
                <w:szCs w:val="14"/>
                <w:color w:val="0000EE"/>
              </w:rPr>
            </w:pPr>
            <w:hyperlink r:id="rId11">
              <w:r>
                <w:rPr>
                  <w:rFonts w:ascii="Arial" w:cs="Arial" w:eastAsia="Arial" w:hAnsi="Arial"/>
                  <w:sz w:val="14"/>
                  <w:szCs w:val="14"/>
                  <w:color w:val="0000EE"/>
                </w:rPr>
                <w:t>the Form 8-K filed with the Commission on May 7, 2008)</w:t>
              </w:r>
            </w:hyperlink>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0"/>
        </w:trPr>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920" w:type="dxa"/>
            <w:vAlign w:val="bottom"/>
          </w:tcPr>
          <w:p>
            <w:pPr>
              <w:jc w:val="center"/>
              <w:spacing w:after="0"/>
              <w:rPr>
                <w:sz w:val="20"/>
                <w:szCs w:val="20"/>
                <w:color w:val="auto"/>
              </w:rPr>
            </w:pPr>
            <w:r>
              <w:rPr>
                <w:rFonts w:ascii="Arial" w:cs="Arial" w:eastAsia="Arial" w:hAnsi="Arial"/>
                <w:sz w:val="14"/>
                <w:szCs w:val="14"/>
                <w:color w:val="auto"/>
                <w:w w:val="89"/>
              </w:rPr>
              <w:t>4.1.2</w:t>
            </w:r>
          </w:p>
        </w:tc>
        <w:tc>
          <w:tcPr>
            <w:tcW w:w="1100" w:type="dxa"/>
            <w:vAlign w:val="bottom"/>
          </w:tcPr>
          <w:p>
            <w:pPr>
              <w:ind w:left="460"/>
              <w:spacing w:after="0"/>
              <w:rPr>
                <w:sz w:val="20"/>
                <w:szCs w:val="20"/>
                <w:color w:val="auto"/>
              </w:rPr>
            </w:pPr>
            <w:r>
              <w:rPr>
                <w:rFonts w:ascii="Arial" w:cs="Arial" w:eastAsia="Arial" w:hAnsi="Arial"/>
                <w:sz w:val="14"/>
                <w:szCs w:val="14"/>
                <w:color w:val="auto"/>
              </w:rPr>
              <w:t>__</w:t>
            </w:r>
          </w:p>
        </w:tc>
        <w:tc>
          <w:tcPr>
            <w:tcW w:w="20" w:type="dxa"/>
            <w:vAlign w:val="bottom"/>
          </w:tcPr>
          <w:p>
            <w:pPr>
              <w:spacing w:after="0"/>
              <w:rPr>
                <w:sz w:val="24"/>
                <w:szCs w:val="24"/>
                <w:color w:val="auto"/>
              </w:rPr>
            </w:pPr>
          </w:p>
        </w:tc>
        <w:tc>
          <w:tcPr>
            <w:tcW w:w="9120" w:type="dxa"/>
            <w:vAlign w:val="bottom"/>
            <w:gridSpan w:val="18"/>
          </w:tcPr>
          <w:p>
            <w:pPr>
              <w:spacing w:after="0"/>
              <w:rPr>
                <w:rFonts w:ascii="Arial" w:cs="Arial" w:eastAsia="Arial" w:hAnsi="Arial"/>
                <w:sz w:val="14"/>
                <w:szCs w:val="14"/>
                <w:color w:val="0000EE"/>
                <w:w w:val="97"/>
              </w:rPr>
            </w:pPr>
            <w:hyperlink r:id="rId12">
              <w:r>
                <w:rPr>
                  <w:rFonts w:ascii="Arial" w:cs="Arial" w:eastAsia="Arial" w:hAnsi="Arial"/>
                  <w:sz w:val="14"/>
                  <w:szCs w:val="14"/>
                  <w:color w:val="0000EE"/>
                  <w:w w:val="97"/>
                </w:rPr>
                <w:t>Second Amendment to Amended and Restated Certificate of Incorporation of Westwood Holdings Group, Inc., as amended (incorporated by reference</w:t>
              </w:r>
            </w:hyperlink>
          </w:p>
        </w:tc>
      </w:tr>
      <w:tr>
        <w:trPr>
          <w:trHeight w:val="129"/>
        </w:trPr>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960" w:type="dxa"/>
            <w:vAlign w:val="bottom"/>
            <w:tcBorders>
              <w:top w:val="single" w:sz="8" w:color="0000EE"/>
            </w:tcBorders>
            <w:gridSpan w:val="12"/>
          </w:tcPr>
          <w:p>
            <w:pPr>
              <w:spacing w:after="0" w:line="129" w:lineRule="exact"/>
              <w:rPr>
                <w:rFonts w:ascii="Arial" w:cs="Arial" w:eastAsia="Arial" w:hAnsi="Arial"/>
                <w:sz w:val="14"/>
                <w:szCs w:val="14"/>
                <w:color w:val="0000EE"/>
              </w:rPr>
            </w:pPr>
            <w:hyperlink r:id="rId12">
              <w:r>
                <w:rPr>
                  <w:rFonts w:ascii="Arial" w:cs="Arial" w:eastAsia="Arial" w:hAnsi="Arial"/>
                  <w:sz w:val="14"/>
                  <w:szCs w:val="14"/>
                  <w:color w:val="0000EE"/>
                </w:rPr>
                <w:t>from the Schedule 14A filed with the Commission on March 20, 2017)</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r>
      <w:tr>
        <w:trPr>
          <w:trHeight w:val="20"/>
        </w:trPr>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92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1100" w:type="dxa"/>
            <w:vAlign w:val="bottom"/>
          </w:tcPr>
          <w:p>
            <w:pPr>
              <w:ind w:left="4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9120" w:type="dxa"/>
            <w:vAlign w:val="bottom"/>
            <w:gridSpan w:val="18"/>
          </w:tcPr>
          <w:p>
            <w:pPr>
              <w:spacing w:after="0"/>
              <w:rPr>
                <w:rFonts w:ascii="Arial" w:cs="Arial" w:eastAsia="Arial" w:hAnsi="Arial"/>
                <w:sz w:val="14"/>
                <w:szCs w:val="14"/>
                <w:color w:val="0000EE"/>
                <w:w w:val="97"/>
              </w:rPr>
            </w:pPr>
            <w:hyperlink r:id="rId13">
              <w:r>
                <w:rPr>
                  <w:rFonts w:ascii="Arial" w:cs="Arial" w:eastAsia="Arial" w:hAnsi="Arial"/>
                  <w:sz w:val="14"/>
                  <w:szCs w:val="14"/>
                  <w:color w:val="0000EE"/>
                  <w:w w:val="97"/>
                </w:rPr>
                <w:t>Amended and Restated Bylaws of Westwood Holdings Group, Inc. (incorporated by reference from the Form 8-K filed with the Commission on April 25,</w:t>
              </w:r>
            </w:hyperlink>
          </w:p>
        </w:tc>
      </w:tr>
      <w:tr>
        <w:trPr>
          <w:trHeight w:val="129"/>
        </w:trPr>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Borders>
              <w:top w:val="single" w:sz="8" w:color="0000EE"/>
              <w:bottom w:val="single" w:sz="8" w:color="0000EE"/>
            </w:tcBorders>
          </w:tcPr>
          <w:p>
            <w:pPr>
              <w:spacing w:after="0" w:line="129" w:lineRule="exact"/>
              <w:rPr>
                <w:rFonts w:ascii="Arial" w:cs="Arial" w:eastAsia="Arial" w:hAnsi="Arial"/>
                <w:sz w:val="14"/>
                <w:szCs w:val="14"/>
                <w:color w:val="0000EE"/>
                <w:w w:val="89"/>
              </w:rPr>
            </w:pPr>
            <w:hyperlink r:id="rId13">
              <w:r>
                <w:rPr>
                  <w:rFonts w:ascii="Arial" w:cs="Arial" w:eastAsia="Arial" w:hAnsi="Arial"/>
                  <w:sz w:val="14"/>
                  <w:szCs w:val="14"/>
                  <w:color w:val="0000EE"/>
                  <w:w w:val="89"/>
                </w:rPr>
                <w:t>2012)</w:t>
              </w:r>
            </w:hyperlink>
          </w:p>
        </w:tc>
        <w:tc>
          <w:tcPr>
            <w:tcW w:w="15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360" w:type="dxa"/>
            <w:vAlign w:val="bottom"/>
            <w:tcBorders>
              <w:top w:val="single" w:sz="8" w:color="0000EE"/>
            </w:tcBorders>
          </w:tcPr>
          <w:p>
            <w:pPr>
              <w:spacing w:after="0"/>
              <w:rPr>
                <w:sz w:val="11"/>
                <w:szCs w:val="11"/>
                <w:color w:val="auto"/>
              </w:rPr>
            </w:pPr>
          </w:p>
        </w:tc>
        <w:tc>
          <w:tcPr>
            <w:tcW w:w="860" w:type="dxa"/>
            <w:vAlign w:val="bottom"/>
            <w:tcBorders>
              <w:top w:val="single" w:sz="8" w:color="0000EE"/>
            </w:tcBorders>
          </w:tcPr>
          <w:p>
            <w:pPr>
              <w:spacing w:after="0"/>
              <w:rPr>
                <w:sz w:val="11"/>
                <w:szCs w:val="11"/>
                <w:color w:val="auto"/>
              </w:rPr>
            </w:pPr>
          </w:p>
        </w:tc>
        <w:tc>
          <w:tcPr>
            <w:tcW w:w="740" w:type="dxa"/>
            <w:vAlign w:val="bottom"/>
            <w:tcBorders>
              <w:top w:val="single" w:sz="8" w:color="0000EE"/>
            </w:tcBorders>
          </w:tcPr>
          <w:p>
            <w:pPr>
              <w:spacing w:after="0"/>
              <w:rPr>
                <w:sz w:val="11"/>
                <w:szCs w:val="11"/>
                <w:color w:val="auto"/>
              </w:rPr>
            </w:pPr>
          </w:p>
        </w:tc>
        <w:tc>
          <w:tcPr>
            <w:tcW w:w="580" w:type="dxa"/>
            <w:vAlign w:val="bottom"/>
            <w:tcBorders>
              <w:top w:val="single" w:sz="8" w:color="0000EE"/>
            </w:tcBorders>
          </w:tcPr>
          <w:p>
            <w:pPr>
              <w:spacing w:after="0"/>
              <w:rPr>
                <w:sz w:val="11"/>
                <w:szCs w:val="11"/>
                <w:color w:val="auto"/>
              </w:rPr>
            </w:pPr>
          </w:p>
        </w:tc>
        <w:tc>
          <w:tcPr>
            <w:tcW w:w="800" w:type="dxa"/>
            <w:vAlign w:val="bottom"/>
            <w:tcBorders>
              <w:top w:val="single" w:sz="8" w:color="0000EE"/>
            </w:tcBorders>
          </w:tcPr>
          <w:p>
            <w:pPr>
              <w:spacing w:after="0"/>
              <w:rPr>
                <w:sz w:val="11"/>
                <w:szCs w:val="11"/>
                <w:color w:val="auto"/>
              </w:rPr>
            </w:pPr>
          </w:p>
        </w:tc>
        <w:tc>
          <w:tcPr>
            <w:tcW w:w="2860" w:type="dxa"/>
            <w:vAlign w:val="bottom"/>
            <w:tcBorders>
              <w:top w:val="single" w:sz="8" w:color="0000EE"/>
            </w:tcBorders>
          </w:tcPr>
          <w:p>
            <w:pPr>
              <w:spacing w:after="0"/>
              <w:rPr>
                <w:sz w:val="11"/>
                <w:szCs w:val="11"/>
                <w:color w:val="auto"/>
              </w:rPr>
            </w:pPr>
          </w:p>
        </w:tc>
        <w:tc>
          <w:tcPr>
            <w:tcW w:w="6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0" w:type="dxa"/>
            <w:vAlign w:val="bottom"/>
          </w:tcPr>
          <w:p>
            <w:pPr>
              <w:spacing w:after="0"/>
              <w:rPr>
                <w:sz w:val="11"/>
                <w:szCs w:val="11"/>
                <w:color w:val="auto"/>
              </w:rPr>
            </w:pPr>
          </w:p>
        </w:tc>
      </w:tr>
      <w:tr>
        <w:trPr>
          <w:trHeight w:val="304"/>
        </w:trPr>
        <w:tc>
          <w:tcPr>
            <w:tcW w:w="920" w:type="dxa"/>
            <w:vAlign w:val="bottom"/>
          </w:tcPr>
          <w:p>
            <w:pPr>
              <w:jc w:val="center"/>
              <w:spacing w:after="0"/>
              <w:rPr>
                <w:sz w:val="20"/>
                <w:szCs w:val="20"/>
                <w:color w:val="auto"/>
              </w:rPr>
            </w:pPr>
            <w:r>
              <w:rPr>
                <w:rFonts w:ascii="Arial" w:cs="Arial" w:eastAsia="Arial" w:hAnsi="Arial"/>
                <w:sz w:val="14"/>
                <w:szCs w:val="14"/>
                <w:color w:val="auto"/>
                <w:w w:val="89"/>
              </w:rPr>
              <w:t>4.2.1</w:t>
            </w:r>
          </w:p>
        </w:tc>
        <w:tc>
          <w:tcPr>
            <w:tcW w:w="1100" w:type="dxa"/>
            <w:vAlign w:val="bottom"/>
          </w:tcPr>
          <w:p>
            <w:pPr>
              <w:ind w:left="4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9120" w:type="dxa"/>
            <w:vAlign w:val="bottom"/>
            <w:gridSpan w:val="18"/>
          </w:tcPr>
          <w:p>
            <w:pPr>
              <w:spacing w:after="0"/>
              <w:rPr>
                <w:rFonts w:ascii="Arial" w:cs="Arial" w:eastAsia="Arial" w:hAnsi="Arial"/>
                <w:sz w:val="14"/>
                <w:szCs w:val="14"/>
                <w:color w:val="0000EE"/>
                <w:w w:val="96"/>
              </w:rPr>
            </w:pPr>
            <w:hyperlink r:id="rId14">
              <w:r>
                <w:rPr>
                  <w:rFonts w:ascii="Arial" w:cs="Arial" w:eastAsia="Arial" w:hAnsi="Arial"/>
                  <w:sz w:val="14"/>
                  <w:szCs w:val="14"/>
                  <w:color w:val="0000EE"/>
                  <w:w w:val="96"/>
                </w:rPr>
                <w:t>Amendment No. 1 to the Amended and Restated Bylaws of Westwood Holdings Group, Inc. (incorporated by reference from the Schedule 14A filed with</w:t>
              </w:r>
            </w:hyperlink>
          </w:p>
        </w:tc>
      </w:tr>
      <w:tr>
        <w:trPr>
          <w:trHeight w:val="129"/>
        </w:trPr>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20" w:type="dxa"/>
            <w:vAlign w:val="bottom"/>
            <w:tcBorders>
              <w:top w:val="single" w:sz="8" w:color="0000EE"/>
              <w:bottom w:val="single" w:sz="8" w:color="0000EE"/>
            </w:tcBorders>
            <w:gridSpan w:val="5"/>
          </w:tcPr>
          <w:p>
            <w:pPr>
              <w:spacing w:after="0" w:line="129" w:lineRule="exact"/>
              <w:rPr>
                <w:rFonts w:ascii="Arial" w:cs="Arial" w:eastAsia="Arial" w:hAnsi="Arial"/>
                <w:sz w:val="14"/>
                <w:szCs w:val="14"/>
                <w:color w:val="0000EE"/>
                <w:w w:val="93"/>
              </w:rPr>
            </w:pPr>
            <w:hyperlink r:id="rId14">
              <w:r>
                <w:rPr>
                  <w:rFonts w:ascii="Arial" w:cs="Arial" w:eastAsia="Arial" w:hAnsi="Arial"/>
                  <w:sz w:val="14"/>
                  <w:szCs w:val="14"/>
                  <w:color w:val="0000EE"/>
                  <w:w w:val="93"/>
                </w:rPr>
                <w:t>the Commission on March 20, 2017)</w:t>
              </w:r>
            </w:hyperlink>
          </w:p>
        </w:tc>
        <w:tc>
          <w:tcPr>
            <w:tcW w:w="6860" w:type="dxa"/>
            <w:vAlign w:val="bottom"/>
            <w:tcBorders>
              <w:top w:val="single" w:sz="8" w:color="0000EE"/>
            </w:tcBorders>
            <w:gridSpan w:val="8"/>
          </w:tcPr>
          <w:p>
            <w:pPr>
              <w:spacing w:after="0"/>
              <w:rPr>
                <w:sz w:val="11"/>
                <w:szCs w:val="11"/>
                <w:color w:val="auto"/>
              </w:rPr>
            </w:pPr>
          </w:p>
        </w:tc>
        <w:tc>
          <w:tcPr>
            <w:tcW w:w="40" w:type="dxa"/>
            <w:vAlign w:val="bottom"/>
            <w:gridSpan w:val="2"/>
          </w:tcPr>
          <w:p>
            <w:pPr>
              <w:spacing w:after="0"/>
              <w:rPr>
                <w:sz w:val="11"/>
                <w:szCs w:val="11"/>
                <w:color w:val="auto"/>
              </w:rPr>
            </w:pPr>
          </w:p>
        </w:tc>
        <w:tc>
          <w:tcPr>
            <w:tcW w:w="100" w:type="dxa"/>
            <w:vAlign w:val="bottom"/>
            <w:gridSpan w:val="3"/>
          </w:tcPr>
          <w:p>
            <w:pPr>
              <w:spacing w:after="0"/>
              <w:rPr>
                <w:sz w:val="11"/>
                <w:szCs w:val="11"/>
                <w:color w:val="auto"/>
              </w:rPr>
            </w:pPr>
          </w:p>
        </w:tc>
      </w:tr>
      <w:tr>
        <w:trPr>
          <w:trHeight w:val="304"/>
        </w:trPr>
        <w:tc>
          <w:tcPr>
            <w:tcW w:w="920" w:type="dxa"/>
            <w:vAlign w:val="bottom"/>
          </w:tcPr>
          <w:p>
            <w:pPr>
              <w:jc w:val="center"/>
              <w:spacing w:after="0"/>
              <w:rPr>
                <w:sz w:val="20"/>
                <w:szCs w:val="20"/>
                <w:color w:val="auto"/>
              </w:rPr>
            </w:pPr>
            <w:r>
              <w:rPr>
                <w:rFonts w:ascii="Arial" w:cs="Arial" w:eastAsia="Arial" w:hAnsi="Arial"/>
                <w:sz w:val="14"/>
                <w:szCs w:val="14"/>
                <w:color w:val="auto"/>
                <w:w w:val="92"/>
              </w:rPr>
              <w:t>4.3</w:t>
            </w:r>
          </w:p>
        </w:tc>
        <w:tc>
          <w:tcPr>
            <w:tcW w:w="1100" w:type="dxa"/>
            <w:vAlign w:val="bottom"/>
          </w:tcPr>
          <w:p>
            <w:pPr>
              <w:ind w:left="4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8320" w:type="dxa"/>
            <w:vAlign w:val="bottom"/>
            <w:tcBorders>
              <w:bottom w:val="single" w:sz="8" w:color="0000EE"/>
            </w:tcBorders>
            <w:gridSpan w:val="11"/>
          </w:tcPr>
          <w:p>
            <w:pPr>
              <w:spacing w:after="0"/>
              <w:rPr>
                <w:rFonts w:ascii="Arial" w:cs="Arial" w:eastAsia="Arial" w:hAnsi="Arial"/>
                <w:sz w:val="14"/>
                <w:szCs w:val="14"/>
                <w:color w:val="0000EE"/>
                <w:w w:val="95"/>
              </w:rPr>
            </w:pPr>
            <w:hyperlink r:id="rId15">
              <w:r>
                <w:rPr>
                  <w:rFonts w:ascii="Arial" w:cs="Arial" w:eastAsia="Arial" w:hAnsi="Arial"/>
                  <w:sz w:val="14"/>
                  <w:szCs w:val="14"/>
                  <w:color w:val="0000EE"/>
                  <w:w w:val="95"/>
                </w:rPr>
                <w:t>Form of Certificate Evidencing Common Stock (incorporated by reference from the Form 10-12B filed with the Commission on April 30, 2002)</w:t>
              </w:r>
            </w:hyperlink>
          </w:p>
        </w:tc>
        <w:tc>
          <w:tcPr>
            <w:tcW w:w="800" w:type="dxa"/>
            <w:vAlign w:val="bottom"/>
            <w:gridSpan w:val="7"/>
          </w:tcPr>
          <w:p>
            <w:pPr>
              <w:spacing w:after="0"/>
              <w:rPr>
                <w:sz w:val="24"/>
                <w:szCs w:val="24"/>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4"/>
                <w:szCs w:val="14"/>
                <w:color w:val="auto"/>
                <w:w w:val="92"/>
              </w:rPr>
              <w:t>4.4</w:t>
            </w:r>
          </w:p>
        </w:tc>
        <w:tc>
          <w:tcPr>
            <w:tcW w:w="1100" w:type="dxa"/>
            <w:vAlign w:val="bottom"/>
          </w:tcPr>
          <w:p>
            <w:pPr>
              <w:ind w:left="4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9120" w:type="dxa"/>
            <w:vAlign w:val="bottom"/>
            <w:gridSpan w:val="18"/>
          </w:tcPr>
          <w:p>
            <w:pPr>
              <w:spacing w:after="0"/>
              <w:rPr>
                <w:rFonts w:ascii="Arial" w:cs="Arial" w:eastAsia="Arial" w:hAnsi="Arial"/>
                <w:sz w:val="14"/>
                <w:szCs w:val="14"/>
                <w:color w:val="0000EE"/>
              </w:rPr>
            </w:pPr>
            <w:hyperlink r:id="rId16">
              <w:r>
                <w:rPr>
                  <w:rFonts w:ascii="Arial" w:cs="Arial" w:eastAsia="Arial" w:hAnsi="Arial"/>
                  <w:sz w:val="14"/>
                  <w:szCs w:val="14"/>
                  <w:color w:val="0000EE"/>
                </w:rPr>
                <w:t>Fifth Amended and Restated Westwood Holdings Group, Inc. Stock Incentive Plan (incorporated by reference from the Schedule 14A filed with the</w:t>
              </w:r>
            </w:hyperlink>
          </w:p>
        </w:tc>
      </w:tr>
      <w:tr>
        <w:trPr>
          <w:trHeight w:val="129"/>
        </w:trPr>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40" w:type="dxa"/>
            <w:vAlign w:val="bottom"/>
            <w:tcBorders>
              <w:top w:val="single" w:sz="8" w:color="0000EE"/>
              <w:bottom w:val="single" w:sz="8" w:color="0000EE"/>
            </w:tcBorders>
            <w:gridSpan w:val="2"/>
          </w:tcPr>
          <w:p>
            <w:pPr>
              <w:spacing w:after="0" w:line="129" w:lineRule="exact"/>
              <w:rPr>
                <w:rFonts w:ascii="Arial" w:cs="Arial" w:eastAsia="Arial" w:hAnsi="Arial"/>
                <w:sz w:val="14"/>
                <w:szCs w:val="14"/>
                <w:color w:val="0000EE"/>
                <w:w w:val="93"/>
              </w:rPr>
            </w:pPr>
            <w:hyperlink r:id="rId16">
              <w:r>
                <w:rPr>
                  <w:rFonts w:ascii="Arial" w:cs="Arial" w:eastAsia="Arial" w:hAnsi="Arial"/>
                  <w:sz w:val="14"/>
                  <w:szCs w:val="14"/>
                  <w:color w:val="0000EE"/>
                  <w:w w:val="93"/>
                </w:rPr>
                <w:t>Commission on March 9, 2018)</w:t>
              </w:r>
            </w:hyperlink>
          </w:p>
        </w:tc>
        <w:tc>
          <w:tcPr>
            <w:tcW w:w="7180" w:type="dxa"/>
            <w:vAlign w:val="bottom"/>
            <w:tcBorders>
              <w:top w:val="single" w:sz="8" w:color="0000EE"/>
            </w:tcBorders>
            <w:gridSpan w:val="13"/>
          </w:tcPr>
          <w:p>
            <w:pPr>
              <w:spacing w:after="0"/>
              <w:rPr>
                <w:sz w:val="11"/>
                <w:szCs w:val="11"/>
                <w:color w:val="auto"/>
              </w:rPr>
            </w:pPr>
          </w:p>
        </w:tc>
        <w:tc>
          <w:tcPr>
            <w:tcW w:w="100" w:type="dxa"/>
            <w:vAlign w:val="bottom"/>
            <w:gridSpan w:val="3"/>
          </w:tcPr>
          <w:p>
            <w:pPr>
              <w:spacing w:after="0"/>
              <w:rPr>
                <w:sz w:val="11"/>
                <w:szCs w:val="11"/>
                <w:color w:val="auto"/>
              </w:rPr>
            </w:pPr>
          </w:p>
        </w:tc>
      </w:tr>
      <w:tr>
        <w:trPr>
          <w:trHeight w:val="304"/>
        </w:trPr>
        <w:tc>
          <w:tcPr>
            <w:tcW w:w="920" w:type="dxa"/>
            <w:vAlign w:val="bottom"/>
          </w:tcPr>
          <w:p>
            <w:pPr>
              <w:jc w:val="center"/>
              <w:spacing w:after="0"/>
              <w:rPr>
                <w:sz w:val="20"/>
                <w:szCs w:val="20"/>
                <w:color w:val="auto"/>
              </w:rPr>
            </w:pPr>
            <w:r>
              <w:rPr>
                <w:rFonts w:ascii="Arial" w:cs="Arial" w:eastAsia="Arial" w:hAnsi="Arial"/>
                <w:sz w:val="14"/>
                <w:szCs w:val="14"/>
                <w:color w:val="auto"/>
              </w:rPr>
              <w:t>5.1*</w:t>
            </w:r>
          </w:p>
        </w:tc>
        <w:tc>
          <w:tcPr>
            <w:tcW w:w="1100" w:type="dxa"/>
            <w:vAlign w:val="bottom"/>
          </w:tcPr>
          <w:p>
            <w:pPr>
              <w:ind w:left="4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2480" w:type="dxa"/>
            <w:vAlign w:val="bottom"/>
            <w:tcBorders>
              <w:bottom w:val="single" w:sz="8" w:color="0000EE"/>
            </w:tcBorders>
            <w:gridSpan w:val="6"/>
          </w:tcPr>
          <w:p>
            <w:pPr>
              <w:spacing w:after="0"/>
              <w:rPr>
                <w:sz w:val="20"/>
                <w:szCs w:val="20"/>
                <w:color w:val="auto"/>
              </w:rPr>
            </w:pPr>
            <w:r>
              <w:rPr>
                <w:rFonts w:ascii="Arial" w:cs="Arial" w:eastAsia="Arial" w:hAnsi="Arial"/>
                <w:sz w:val="14"/>
                <w:szCs w:val="14"/>
                <w:color w:val="0000EE"/>
                <w:w w:val="95"/>
              </w:rPr>
              <w:t>Opinion of Norton Rose Fulbright US LLP</w:t>
            </w:r>
          </w:p>
        </w:tc>
        <w:tc>
          <w:tcPr>
            <w:tcW w:w="6640" w:type="dxa"/>
            <w:vAlign w:val="bottom"/>
            <w:gridSpan w:val="12"/>
          </w:tcPr>
          <w:p>
            <w:pPr>
              <w:spacing w:after="0"/>
              <w:rPr>
                <w:sz w:val="24"/>
                <w:szCs w:val="24"/>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4"/>
                <w:szCs w:val="14"/>
                <w:color w:val="auto"/>
                <w:w w:val="97"/>
              </w:rPr>
              <w:t>23.1*</w:t>
            </w:r>
          </w:p>
        </w:tc>
        <w:tc>
          <w:tcPr>
            <w:tcW w:w="1100" w:type="dxa"/>
            <w:vAlign w:val="bottom"/>
          </w:tcPr>
          <w:p>
            <w:pPr>
              <w:ind w:left="4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2020" w:type="dxa"/>
            <w:vAlign w:val="bottom"/>
            <w:tcBorders>
              <w:bottom w:val="single" w:sz="8" w:color="0000EE"/>
            </w:tcBorders>
            <w:gridSpan w:val="4"/>
          </w:tcPr>
          <w:p>
            <w:pPr>
              <w:spacing w:after="0"/>
              <w:rPr>
                <w:sz w:val="20"/>
                <w:szCs w:val="20"/>
                <w:color w:val="auto"/>
              </w:rPr>
            </w:pPr>
            <w:r>
              <w:rPr>
                <w:rFonts w:ascii="Arial" w:cs="Arial" w:eastAsia="Arial" w:hAnsi="Arial"/>
                <w:sz w:val="14"/>
                <w:szCs w:val="14"/>
                <w:color w:val="0000EE"/>
                <w:w w:val="94"/>
              </w:rPr>
              <w:t>Consent of Deloitte &amp; Touche LLP</w:t>
            </w:r>
          </w:p>
        </w:tc>
        <w:tc>
          <w:tcPr>
            <w:tcW w:w="7100" w:type="dxa"/>
            <w:vAlign w:val="bottom"/>
            <w:gridSpan w:val="14"/>
          </w:tcPr>
          <w:p>
            <w:pPr>
              <w:spacing w:after="0"/>
              <w:rPr>
                <w:sz w:val="24"/>
                <w:szCs w:val="24"/>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4"/>
                <w:szCs w:val="14"/>
                <w:color w:val="auto"/>
                <w:w w:val="97"/>
              </w:rPr>
              <w:t>23.2*</w:t>
            </w:r>
          </w:p>
        </w:tc>
        <w:tc>
          <w:tcPr>
            <w:tcW w:w="1100" w:type="dxa"/>
            <w:vAlign w:val="bottom"/>
          </w:tcPr>
          <w:p>
            <w:pPr>
              <w:ind w:left="4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9120" w:type="dxa"/>
            <w:vAlign w:val="bottom"/>
            <w:gridSpan w:val="18"/>
          </w:tcPr>
          <w:p>
            <w:pPr>
              <w:spacing w:after="0"/>
              <w:rPr>
                <w:sz w:val="20"/>
                <w:szCs w:val="20"/>
                <w:color w:val="auto"/>
              </w:rPr>
            </w:pPr>
            <w:r>
              <w:rPr>
                <w:rFonts w:ascii="Arial" w:cs="Arial" w:eastAsia="Arial" w:hAnsi="Arial"/>
                <w:sz w:val="14"/>
                <w:szCs w:val="14"/>
                <w:color w:val="0000EE"/>
              </w:rPr>
              <w:t>Consent of Norton Rose Fulbright US LLP (included in the opinion filed as Exhibit 5.1 hereto)</w:t>
            </w:r>
          </w:p>
        </w:tc>
      </w:tr>
      <w:tr>
        <w:trPr>
          <w:trHeight w:val="372"/>
        </w:trPr>
        <w:tc>
          <w:tcPr>
            <w:tcW w:w="920" w:type="dxa"/>
            <w:vAlign w:val="bottom"/>
          </w:tcPr>
          <w:p>
            <w:pPr>
              <w:jc w:val="center"/>
              <w:spacing w:after="0"/>
              <w:rPr>
                <w:sz w:val="20"/>
                <w:szCs w:val="20"/>
                <w:color w:val="auto"/>
              </w:rPr>
            </w:pPr>
            <w:r>
              <w:rPr>
                <w:rFonts w:ascii="Arial" w:cs="Arial" w:eastAsia="Arial" w:hAnsi="Arial"/>
                <w:sz w:val="14"/>
                <w:szCs w:val="14"/>
                <w:color w:val="auto"/>
                <w:w w:val="97"/>
              </w:rPr>
              <w:t>24.1*</w:t>
            </w:r>
          </w:p>
        </w:tc>
        <w:tc>
          <w:tcPr>
            <w:tcW w:w="1100" w:type="dxa"/>
            <w:vAlign w:val="bottom"/>
          </w:tcPr>
          <w:p>
            <w:pPr>
              <w:ind w:left="4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5460" w:type="dxa"/>
            <w:vAlign w:val="bottom"/>
            <w:tcBorders>
              <w:top w:val="single" w:sz="8" w:color="0000EE"/>
            </w:tcBorders>
            <w:gridSpan w:val="10"/>
          </w:tcPr>
          <w:p>
            <w:pPr>
              <w:spacing w:after="0"/>
              <w:rPr>
                <w:rFonts w:ascii="Arial" w:cs="Arial" w:eastAsia="Arial" w:hAnsi="Arial"/>
                <w:sz w:val="14"/>
                <w:szCs w:val="14"/>
                <w:color w:val="0000EE"/>
              </w:rPr>
            </w:pPr>
            <w:hyperlink w:anchor="page4">
              <w:r>
                <w:rPr>
                  <w:rFonts w:ascii="Arial" w:cs="Arial" w:eastAsia="Arial" w:hAnsi="Arial"/>
                  <w:sz w:val="14"/>
                  <w:szCs w:val="14"/>
                  <w:color w:val="0000EE"/>
                </w:rPr>
                <w:t>Power of Attorney (included in the signature page to this Registration Statement)</w:t>
              </w:r>
            </w:hyperlink>
          </w:p>
        </w:tc>
        <w:tc>
          <w:tcPr>
            <w:tcW w:w="3660" w:type="dxa"/>
            <w:vAlign w:val="bottom"/>
            <w:gridSpan w:val="8"/>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73" w:lineRule="exact"/>
        <w:rPr>
          <w:sz w:val="20"/>
          <w:szCs w:val="20"/>
          <w:color w:val="auto"/>
        </w:rPr>
      </w:pPr>
    </w:p>
    <w:p>
      <w:pPr>
        <w:ind w:left="820" w:hanging="797"/>
        <w:spacing w:after="0"/>
        <w:tabs>
          <w:tab w:leader="none" w:pos="820" w:val="left"/>
        </w:tabs>
        <w:numPr>
          <w:ilvl w:val="0"/>
          <w:numId w:val="4"/>
        </w:numPr>
        <w:rPr>
          <w:rFonts w:ascii="Arial" w:cs="Arial" w:eastAsia="Arial" w:hAnsi="Arial"/>
          <w:sz w:val="14"/>
          <w:szCs w:val="14"/>
          <w:color w:val="auto"/>
        </w:rPr>
      </w:pPr>
      <w:r>
        <w:rPr>
          <w:rFonts w:ascii="Arial" w:cs="Arial" w:eastAsia="Arial" w:hAnsi="Arial"/>
          <w:sz w:val="14"/>
          <w:szCs w:val="14"/>
          <w:color w:val="auto"/>
        </w:rPr>
        <w:t>Filed herewith.</w:t>
      </w:r>
    </w:p>
    <w:p>
      <w:pPr>
        <w:sectPr>
          <w:pgSz w:w="11900" w:h="16838" w:orient="portrait"/>
          <w:cols w:equalWidth="0" w:num="1">
            <w:col w:w="11160"/>
          </w:cols>
          <w:pgMar w:left="380" w:top="711" w:right="359" w:bottom="1440" w:gutter="0" w:footer="0" w:header="0"/>
        </w:sectPr>
      </w:pPr>
    </w:p>
    <w:bookmarkStart w:id="6" w:name="page7"/>
    <w:bookmarkEnd w:id="6"/>
    <w:p>
      <w:pPr>
        <w:spacing w:after="0" w:line="2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4711065</wp:posOffset>
            </wp:positionH>
            <wp:positionV relativeFrom="page">
              <wp:posOffset>380365</wp:posOffset>
            </wp:positionV>
            <wp:extent cx="2693035" cy="291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693035" cy="291465"/>
                    </a:xfrm>
                    <a:prstGeom prst="rect">
                      <a:avLst/>
                    </a:prstGeom>
                    <a:noFill/>
                  </pic:spPr>
                </pic:pic>
              </a:graphicData>
            </a:graphic>
          </wp:anchor>
        </w:drawing>
      </w:r>
    </w:p>
    <w:p>
      <w:pPr>
        <w:ind w:left="40"/>
        <w:spacing w:after="0"/>
        <w:rPr>
          <w:sz w:val="20"/>
          <w:szCs w:val="20"/>
          <w:color w:val="auto"/>
        </w:rPr>
      </w:pPr>
      <w:r>
        <w:rPr>
          <w:rFonts w:ascii="Arial" w:cs="Arial" w:eastAsia="Arial" w:hAnsi="Arial"/>
          <w:sz w:val="20"/>
          <w:szCs w:val="20"/>
          <w:color w:val="auto"/>
        </w:rPr>
        <w:t>May 10, 2018</w:t>
      </w:r>
    </w:p>
    <w:p>
      <w:pPr>
        <w:spacing w:after="0" w:line="200" w:lineRule="exact"/>
        <w:rPr>
          <w:sz w:val="20"/>
          <w:szCs w:val="20"/>
          <w:color w:val="auto"/>
        </w:rPr>
      </w:pP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360" w:type="dxa"/>
            <w:vAlign w:val="bottom"/>
          </w:tcPr>
          <w:p>
            <w:pPr>
              <w:spacing w:after="0"/>
              <w:rPr>
                <w:sz w:val="16"/>
                <w:szCs w:val="16"/>
                <w:color w:val="auto"/>
              </w:rPr>
            </w:pPr>
          </w:p>
        </w:tc>
        <w:tc>
          <w:tcPr>
            <w:tcW w:w="3800" w:type="dxa"/>
            <w:vAlign w:val="bottom"/>
          </w:tcPr>
          <w:p>
            <w:pPr>
              <w:ind w:left="1580"/>
              <w:spacing w:after="0"/>
              <w:rPr>
                <w:sz w:val="20"/>
                <w:szCs w:val="20"/>
                <w:color w:val="auto"/>
              </w:rPr>
            </w:pPr>
            <w:r>
              <w:rPr>
                <w:rFonts w:ascii="Arial" w:cs="Arial" w:eastAsia="Arial" w:hAnsi="Arial"/>
                <w:sz w:val="16"/>
                <w:szCs w:val="16"/>
                <w:color w:val="auto"/>
              </w:rPr>
              <w:t>Norton Rose Fulbright US LLP</w:t>
            </w:r>
          </w:p>
        </w:tc>
      </w:tr>
      <w:tr>
        <w:trPr>
          <w:trHeight w:val="270"/>
        </w:trPr>
        <w:tc>
          <w:tcPr>
            <w:tcW w:w="4360" w:type="dxa"/>
            <w:vAlign w:val="bottom"/>
          </w:tcPr>
          <w:p>
            <w:pPr>
              <w:spacing w:after="0"/>
              <w:rPr>
                <w:sz w:val="23"/>
                <w:szCs w:val="23"/>
                <w:color w:val="auto"/>
              </w:rPr>
            </w:pPr>
          </w:p>
        </w:tc>
        <w:tc>
          <w:tcPr>
            <w:tcW w:w="3800" w:type="dxa"/>
            <w:vAlign w:val="bottom"/>
          </w:tcPr>
          <w:p>
            <w:pPr>
              <w:ind w:left="1580"/>
              <w:spacing w:after="0"/>
              <w:rPr>
                <w:sz w:val="20"/>
                <w:szCs w:val="20"/>
                <w:color w:val="auto"/>
              </w:rPr>
            </w:pPr>
            <w:r>
              <w:rPr>
                <w:rFonts w:ascii="Arial" w:cs="Arial" w:eastAsia="Arial" w:hAnsi="Arial"/>
                <w:sz w:val="16"/>
                <w:szCs w:val="16"/>
                <w:color w:val="auto"/>
                <w:w w:val="99"/>
              </w:rPr>
              <w:t>2200 Ross Avenue, Suite 3600</w:t>
            </w:r>
          </w:p>
        </w:tc>
      </w:tr>
      <w:tr>
        <w:trPr>
          <w:trHeight w:val="270"/>
        </w:trPr>
        <w:tc>
          <w:tcPr>
            <w:tcW w:w="4360" w:type="dxa"/>
            <w:vAlign w:val="bottom"/>
          </w:tcPr>
          <w:p>
            <w:pPr>
              <w:spacing w:after="0"/>
              <w:rPr>
                <w:sz w:val="23"/>
                <w:szCs w:val="23"/>
                <w:color w:val="auto"/>
              </w:rPr>
            </w:pPr>
          </w:p>
        </w:tc>
        <w:tc>
          <w:tcPr>
            <w:tcW w:w="3800" w:type="dxa"/>
            <w:vAlign w:val="bottom"/>
          </w:tcPr>
          <w:p>
            <w:pPr>
              <w:ind w:left="1580"/>
              <w:spacing w:after="0"/>
              <w:rPr>
                <w:sz w:val="20"/>
                <w:szCs w:val="20"/>
                <w:color w:val="auto"/>
              </w:rPr>
            </w:pPr>
            <w:r>
              <w:rPr>
                <w:rFonts w:ascii="Arial" w:cs="Arial" w:eastAsia="Arial" w:hAnsi="Arial"/>
                <w:sz w:val="16"/>
                <w:szCs w:val="16"/>
                <w:color w:val="auto"/>
              </w:rPr>
              <w:t>Dallas, Texas 75201-7932</w:t>
            </w:r>
          </w:p>
        </w:tc>
      </w:tr>
      <w:tr>
        <w:trPr>
          <w:trHeight w:val="270"/>
        </w:trPr>
        <w:tc>
          <w:tcPr>
            <w:tcW w:w="4360" w:type="dxa"/>
            <w:vAlign w:val="bottom"/>
          </w:tcPr>
          <w:p>
            <w:pPr>
              <w:spacing w:after="0"/>
              <w:rPr>
                <w:sz w:val="23"/>
                <w:szCs w:val="23"/>
                <w:color w:val="auto"/>
              </w:rPr>
            </w:pPr>
          </w:p>
        </w:tc>
        <w:tc>
          <w:tcPr>
            <w:tcW w:w="3800" w:type="dxa"/>
            <w:vAlign w:val="bottom"/>
          </w:tcPr>
          <w:p>
            <w:pPr>
              <w:ind w:left="1580"/>
              <w:spacing w:after="0"/>
              <w:rPr>
                <w:sz w:val="20"/>
                <w:szCs w:val="20"/>
                <w:color w:val="auto"/>
              </w:rPr>
            </w:pPr>
            <w:r>
              <w:rPr>
                <w:rFonts w:ascii="Arial" w:cs="Arial" w:eastAsia="Arial" w:hAnsi="Arial"/>
                <w:sz w:val="16"/>
                <w:szCs w:val="16"/>
                <w:color w:val="auto"/>
              </w:rPr>
              <w:t>United States</w:t>
            </w:r>
          </w:p>
        </w:tc>
      </w:tr>
      <w:tr>
        <w:trPr>
          <w:trHeight w:val="259"/>
        </w:trPr>
        <w:tc>
          <w:tcPr>
            <w:tcW w:w="4360" w:type="dxa"/>
            <w:vAlign w:val="bottom"/>
          </w:tcPr>
          <w:p>
            <w:pPr>
              <w:spacing w:after="0"/>
              <w:rPr>
                <w:sz w:val="20"/>
                <w:szCs w:val="20"/>
                <w:color w:val="auto"/>
              </w:rPr>
            </w:pPr>
            <w:r>
              <w:rPr>
                <w:rFonts w:ascii="Arial" w:cs="Arial" w:eastAsia="Arial" w:hAnsi="Arial"/>
                <w:sz w:val="20"/>
                <w:szCs w:val="20"/>
                <w:color w:val="auto"/>
              </w:rPr>
              <w:t>Westwood Holdings Group, Inc.</w:t>
            </w:r>
          </w:p>
        </w:tc>
        <w:tc>
          <w:tcPr>
            <w:tcW w:w="3800" w:type="dxa"/>
            <w:vAlign w:val="bottom"/>
          </w:tcPr>
          <w:p>
            <w:pPr>
              <w:spacing w:after="0"/>
              <w:rPr>
                <w:sz w:val="22"/>
                <w:szCs w:val="22"/>
                <w:color w:val="auto"/>
              </w:rPr>
            </w:pPr>
          </w:p>
        </w:tc>
      </w:tr>
      <w:tr>
        <w:trPr>
          <w:trHeight w:val="216"/>
        </w:trPr>
        <w:tc>
          <w:tcPr>
            <w:tcW w:w="4360" w:type="dxa"/>
            <w:vAlign w:val="bottom"/>
          </w:tcPr>
          <w:p>
            <w:pPr>
              <w:spacing w:after="0" w:line="216" w:lineRule="exact"/>
              <w:rPr>
                <w:sz w:val="20"/>
                <w:szCs w:val="20"/>
                <w:color w:val="auto"/>
              </w:rPr>
            </w:pPr>
            <w:r>
              <w:rPr>
                <w:rFonts w:ascii="Arial" w:cs="Arial" w:eastAsia="Arial" w:hAnsi="Arial"/>
                <w:sz w:val="20"/>
                <w:szCs w:val="20"/>
                <w:color w:val="auto"/>
              </w:rPr>
              <w:t>200 Crescent Court, Suite 1200</w:t>
            </w:r>
          </w:p>
        </w:tc>
        <w:tc>
          <w:tcPr>
            <w:tcW w:w="3800" w:type="dxa"/>
            <w:vAlign w:val="bottom"/>
          </w:tcPr>
          <w:p>
            <w:pPr>
              <w:ind w:left="1580"/>
              <w:spacing w:after="0"/>
              <w:rPr>
                <w:sz w:val="20"/>
                <w:szCs w:val="20"/>
                <w:color w:val="auto"/>
              </w:rPr>
            </w:pPr>
            <w:r>
              <w:rPr>
                <w:rFonts w:ascii="Arial" w:cs="Arial" w:eastAsia="Arial" w:hAnsi="Arial"/>
                <w:sz w:val="16"/>
                <w:szCs w:val="16"/>
                <w:color w:val="auto"/>
              </w:rPr>
              <w:t>Tel +1 214 855 8000</w:t>
            </w:r>
          </w:p>
        </w:tc>
      </w:tr>
      <w:tr>
        <w:trPr>
          <w:trHeight w:val="222"/>
        </w:trPr>
        <w:tc>
          <w:tcPr>
            <w:tcW w:w="4360" w:type="dxa"/>
            <w:vAlign w:val="bottom"/>
          </w:tcPr>
          <w:p>
            <w:pPr>
              <w:spacing w:after="0" w:line="222" w:lineRule="exact"/>
              <w:rPr>
                <w:sz w:val="20"/>
                <w:szCs w:val="20"/>
                <w:color w:val="auto"/>
              </w:rPr>
            </w:pPr>
            <w:r>
              <w:rPr>
                <w:rFonts w:ascii="Arial" w:cs="Arial" w:eastAsia="Arial" w:hAnsi="Arial"/>
                <w:sz w:val="20"/>
                <w:szCs w:val="20"/>
                <w:color w:val="auto"/>
              </w:rPr>
              <w:t>Dallas Texas 75201</w:t>
            </w:r>
          </w:p>
        </w:tc>
        <w:tc>
          <w:tcPr>
            <w:tcW w:w="3800" w:type="dxa"/>
            <w:vAlign w:val="bottom"/>
          </w:tcPr>
          <w:p>
            <w:pPr>
              <w:ind w:left="1580"/>
              <w:spacing w:after="0"/>
              <w:rPr>
                <w:sz w:val="20"/>
                <w:szCs w:val="20"/>
                <w:color w:val="auto"/>
              </w:rPr>
            </w:pPr>
            <w:r>
              <w:rPr>
                <w:rFonts w:ascii="Arial" w:cs="Arial" w:eastAsia="Arial" w:hAnsi="Arial"/>
                <w:sz w:val="16"/>
                <w:szCs w:val="16"/>
                <w:color w:val="auto"/>
              </w:rPr>
              <w:t>Fax +1 214 855 8200</w:t>
            </w:r>
          </w:p>
        </w:tc>
      </w:tr>
      <w:tr>
        <w:trPr>
          <w:trHeight w:val="195"/>
        </w:trPr>
        <w:tc>
          <w:tcPr>
            <w:tcW w:w="4360" w:type="dxa"/>
            <w:vAlign w:val="bottom"/>
          </w:tcPr>
          <w:p>
            <w:pPr>
              <w:spacing w:after="0"/>
              <w:rPr>
                <w:sz w:val="16"/>
                <w:szCs w:val="16"/>
                <w:color w:val="auto"/>
              </w:rPr>
            </w:pPr>
          </w:p>
        </w:tc>
        <w:tc>
          <w:tcPr>
            <w:tcW w:w="3800" w:type="dxa"/>
            <w:vAlign w:val="bottom"/>
          </w:tcPr>
          <w:p>
            <w:pPr>
              <w:ind w:left="1580"/>
              <w:spacing w:after="0"/>
              <w:rPr>
                <w:sz w:val="20"/>
                <w:szCs w:val="20"/>
                <w:color w:val="auto"/>
              </w:rPr>
            </w:pPr>
            <w:r>
              <w:rPr>
                <w:rFonts w:ascii="Arial" w:cs="Arial" w:eastAsia="Arial" w:hAnsi="Arial"/>
                <w:sz w:val="16"/>
                <w:szCs w:val="16"/>
                <w:color w:val="auto"/>
              </w:rPr>
              <w:t>nortonrosefulbright.com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20"/>
          <w:szCs w:val="20"/>
          <w:color w:val="auto"/>
        </w:rPr>
        <w:t>Westwood Holdings Group, Inc., a Delaware corporation (the “Company”)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We have acted as counsel for the Company in connection with the Company’s registration under the Securities Act of 1933 (the “Act”) of 200,000 shares (the “Shares”) of common stock of the Company, par value $0.01 per share, which may be issued upon the terms and subject to the conditions set forth in the Fifth Amended and Restated Westwood Holdings Group, Inc. Stock Incentive Plan (the “Plan”), under the Company’s registration statement on Form S-8 (the “Registration Statement”) filed with the Securities and Exchange Commission (the “Commission”) on May 11, 2018.</w:t>
      </w:r>
    </w:p>
    <w:p>
      <w:pPr>
        <w:spacing w:after="0" w:line="209"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In reaching the opinions set forth herein, we have examined and are familiar with originals or copies, certified or otherwise identified to our satisfaction, of such documents and records of the Company and such statutes, regulations and other instruments as we deemed necessary or advisable for purposes of this opinion, including (i) the Registration Statement, (ii) the amended and restated certificate of incorporation of the Company, as amended, as filed with the Secretary of State of the State of Delaware, (iii) the amended and restated bylaws of the Company, as amended, (iv) certain minutes of meetings of, and resolutions adopted by, the Board of Directors of the Company and the Company’s stockholders with respect to the Plan, (v) a copy of the votes taken at the shareholder meeting on April 25, 2018 approving the amendment to the Plan, including by increasing the number of shares covered by the Plan to 4,848,100 and (vi) the Plan.</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We have assumed that (i) all information contained in all documents we reviewed is true, correct and complete, (ii) all signatures on all documents we reviewed are genuine, (iii) all documents submitted to us as originals are true and complete, (iv) all documents submitted to us as copies are true and complete copies of the originals thereof, (v) each natural person signing any document reviewed by us had the legal capacity to do so, (vi) each natural person signing in a representative capacity any document reviewed by us had authority to sign in such capacity, (vii) the full consideration for each Share, as set forth in the Plan, shall be paid to the Company and in no event shall be less than the par value of such Share, and (viii) compliance in the future with the terms of the Plan by the Company and its employees, officers, the Board of Directors and any committees or individuals appointed to administer the Plan.</w:t>
      </w:r>
    </w:p>
    <w:p>
      <w:pPr>
        <w:spacing w:after="0" w:line="21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Based on the foregoing, and having due regard for the legal considerations we deem relevant, we are of the opinion that the Shares, when offered, issued and delivered by the Company pursuant to the terms of the Plan, will be legally issued, fully paid and non-assessable.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Norton Rose Fulbright US LLP is a limited liability partnership registered under the laws of Texas.</w:t>
      </w:r>
    </w:p>
    <w:p>
      <w:pPr>
        <w:spacing w:after="0" w:line="123" w:lineRule="exact"/>
        <w:rPr>
          <w:sz w:val="20"/>
          <w:szCs w:val="20"/>
          <w:color w:val="auto"/>
        </w:rPr>
      </w:pPr>
    </w:p>
    <w:p>
      <w:pPr>
        <w:ind w:right="180"/>
        <w:spacing w:after="0" w:line="250" w:lineRule="auto"/>
        <w:rPr>
          <w:sz w:val="20"/>
          <w:szCs w:val="20"/>
          <w:color w:val="auto"/>
        </w:rPr>
      </w:pPr>
      <w:r>
        <w:rPr>
          <w:rFonts w:ascii="Arial" w:cs="Arial" w:eastAsia="Arial" w:hAnsi="Arial"/>
          <w:sz w:val="14"/>
          <w:szCs w:val="14"/>
          <w:color w:val="auto"/>
        </w:rPr>
        <w:t>Norton Rose Fulbright US LLP, Norton Rose Fulbright LLP, Norton Rose Fulbright Australia, Norton Rose Fulbright Canada LLP and Norton Rose Fulbright South Africa Inc are separate legal entities and all of them are members of Norton Rose Fulbright Verein, a Swiss verein. Norton Rose Fulbright Verein helps coordinate the activities of the members but does not itself provide legal services to clients. Details of each entity, with certain regulatory information, are available at nortonrosefulbright.com</w:t>
      </w:r>
    </w:p>
    <w:p>
      <w:pPr>
        <w:sectPr>
          <w:pgSz w:w="11900" w:h="16838" w:orient="portrait"/>
          <w:cols w:equalWidth="0" w:num="1">
            <w:col w:w="11420"/>
          </w:cols>
          <w:pgMar w:left="240" w:top="144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2524125</wp:posOffset>
            </wp:positionH>
            <wp:positionV relativeFrom="page">
              <wp:posOffset>88900</wp:posOffset>
            </wp:positionV>
            <wp:extent cx="2058035" cy="222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058035" cy="222885"/>
                    </a:xfrm>
                    <a:prstGeom prst="rect">
                      <a:avLst/>
                    </a:prstGeom>
                    <a:noFill/>
                  </pic:spPr>
                </pic:pic>
              </a:graphicData>
            </a:graphic>
          </wp:anchor>
        </w:drawing>
        <w:t>Westwood Holdings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This opinion is limited in all respects to the laws of the States of Delaware and Texas and the federal securities laws of the United States. Insofar as the opinions expressed herein relate to matters governed by Delaware law, we have based such opinions exclusively upon a reading of applicable provisions of the Delaware Constitution and the Delaware General Corporation Law.</w:t>
      </w:r>
    </w:p>
    <w:p>
      <w:pPr>
        <w:spacing w:after="0" w:line="20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opinion letter may be filed as an exhibit to the Registration Statement. In giving this consent, we do not thereby admit that we come within the category of person whose consent is required under Section 7 of the Act or the rules and regulations of the Commission promulgated thereunder.</w:t>
      </w:r>
    </w:p>
    <w:p>
      <w:pPr>
        <w:spacing w:after="0" w:line="200" w:lineRule="exact"/>
        <w:rPr>
          <w:sz w:val="20"/>
          <w:szCs w:val="20"/>
          <w:color w:val="auto"/>
        </w:rPr>
      </w:pPr>
    </w:p>
    <w:p>
      <w:pPr>
        <w:spacing w:after="0" w:line="384"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860"/>
        <w:spacing w:after="0"/>
        <w:rPr>
          <w:sz w:val="20"/>
          <w:szCs w:val="20"/>
          <w:color w:val="auto"/>
        </w:rPr>
      </w:pPr>
      <w:r>
        <w:rPr>
          <w:rFonts w:ascii="Arial" w:cs="Arial" w:eastAsia="Arial" w:hAnsi="Arial"/>
          <w:sz w:val="20"/>
          <w:szCs w:val="20"/>
          <w:u w:val="single" w:color="auto"/>
          <w:color w:val="auto"/>
        </w:rPr>
        <w:t>_/s/ Norton Rose Fulbright US LLP_</w:t>
      </w:r>
    </w:p>
    <w:p>
      <w:pPr>
        <w:ind w:left="5860"/>
        <w:spacing w:after="0"/>
        <w:rPr>
          <w:sz w:val="20"/>
          <w:szCs w:val="20"/>
          <w:color w:val="auto"/>
        </w:rPr>
      </w:pPr>
      <w:r>
        <w:rPr>
          <w:rFonts w:ascii="Arial" w:cs="Arial" w:eastAsia="Arial" w:hAnsi="Arial"/>
          <w:sz w:val="20"/>
          <w:szCs w:val="20"/>
          <w:color w:val="auto"/>
        </w:rPr>
        <w:t>Norton Rose Fulbright US LLP</w:t>
      </w:r>
    </w:p>
    <w:p>
      <w:pPr>
        <w:sectPr>
          <w:pgSz w:w="11900" w:h="16838" w:orient="portrait"/>
          <w:cols w:equalWidth="0" w:num="1">
            <w:col w:w="11420"/>
          </w:cols>
          <w:pgMar w:left="240" w:top="328" w:right="2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4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consent to the incorporation by reference in this Registration Statement on Form S-8 of our reports dated February 22, 2018, relating to the consolidated financial statements of Westwood Holdings Group, Inc. and subsidiaries (the “Company”), and the effectiveness of the Company’s internal control over financial reporting, appearing in the Annual Report on Form 10-K of the Company for the year ended December 31, 2017, which is incorporated by reference in this Registration Statement.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Dallas, Texas</w:t>
      </w:r>
    </w:p>
    <w:p>
      <w:pPr>
        <w:spacing w:after="0"/>
        <w:rPr>
          <w:sz w:val="20"/>
          <w:szCs w:val="20"/>
          <w:color w:val="auto"/>
        </w:rPr>
      </w:pPr>
      <w:r>
        <w:rPr>
          <w:rFonts w:ascii="Arial" w:cs="Arial" w:eastAsia="Arial" w:hAnsi="Arial"/>
          <w:sz w:val="20"/>
          <w:szCs w:val="20"/>
          <w:color w:val="auto"/>
        </w:rPr>
        <w:t>May 11, 2018</w:t>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7" Type="http://schemas.openxmlformats.org/officeDocument/2006/relationships/image" Target="media/image3.jpeg"/><Relationship Id="rId18" Type="http://schemas.openxmlformats.org/officeDocument/2006/relationships/image" Target="media/image4.jpeg"/><Relationship Id="rId10" Type="http://schemas.openxmlformats.org/officeDocument/2006/relationships/hyperlink" Target="http://www.sec.gov/Archives/edgar/data/1165002/000093066102001393/dex31.txt" TargetMode="External"/><Relationship Id="rId11" Type="http://schemas.openxmlformats.org/officeDocument/2006/relationships/hyperlink" Target="http://www.sec.gov/Archives/edgar/data/1165002/000115752308003859/a5679024ex3_1.txt" TargetMode="External"/><Relationship Id="rId12" Type="http://schemas.openxmlformats.org/officeDocument/2006/relationships/hyperlink" Target="http://www.sec.gov/Archives/edgar/data/1165002/000116500217000037/definitiveproxy2017.htm#s8807AF33911FBA994060DCAA60BCE789" TargetMode="External"/><Relationship Id="rId13" Type="http://schemas.openxmlformats.org/officeDocument/2006/relationships/hyperlink" Target="http://www.sec.gov/Archives/edgar/data/1165002/000119312512182024/d339295dex31.htm" TargetMode="External"/><Relationship Id="rId14" Type="http://schemas.openxmlformats.org/officeDocument/2006/relationships/hyperlink" Target="http://www.sec.gov/Archives/edgar/data/1165002/000116500217000037/definitiveproxy2017.htm#sE4CE5208F82D13538AB5DCAA60DD1A34" TargetMode="External"/><Relationship Id="rId15" Type="http://schemas.openxmlformats.org/officeDocument/2006/relationships/hyperlink" Target="http://www.sec.gov/Archives/edgar/data/1165002/000093066102001393/dex41.txt" TargetMode="External"/><Relationship Id="rId16" Type="http://schemas.openxmlformats.org/officeDocument/2006/relationships/hyperlink" Target="http://www.sec.gov/Archives/edgar/data/1165002/000116500218000018/proxy2018.htm#s8B85E9B5FE234848FB3A72CEFC6C1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2019-12-06T20:03:09Z</dcterms:created>
  <dcterms:modified xsi:type="dcterms:W3CDTF">2019-12-06T20:03:09Z</dcterms:modified>
</cp:coreProperties>
</file>