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w:t>
      </w:r>
    </w:p>
    <w:p>
      <w:pPr>
        <w:spacing w:after="0" w:line="6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w:t>
      </w:r>
    </w:p>
    <w:p>
      <w:pPr>
        <w:spacing w:after="0" w:line="11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9"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w:t>
      </w:r>
    </w:p>
    <w:p>
      <w:pPr>
        <w:spacing w:after="0" w:line="16" w:lineRule="exact"/>
        <w:rPr>
          <w:sz w:val="24"/>
          <w:szCs w:val="24"/>
          <w:color w:val="auto"/>
        </w:rPr>
      </w:pPr>
    </w:p>
    <w:p>
      <w:pPr>
        <w:ind w:left="480" w:hanging="344"/>
        <w:spacing w:after="0"/>
        <w:tabs>
          <w:tab w:leader="none" w:pos="4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1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2022</w:t>
      </w:r>
    </w:p>
    <w:p>
      <w:pPr>
        <w:spacing w:after="0" w:line="11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0" w:lineRule="exact"/>
        <w:rPr>
          <w:sz w:val="24"/>
          <w:szCs w:val="24"/>
          <w:color w:val="auto"/>
        </w:rPr>
      </w:pPr>
    </w:p>
    <w:p>
      <w:pPr>
        <w:ind w:left="480" w:hanging="330"/>
        <w:spacing w:after="0"/>
        <w:tabs>
          <w:tab w:leader="none" w:pos="4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92" w:lineRule="exact"/>
        <w:rPr>
          <w:sz w:val="24"/>
          <w:szCs w:val="24"/>
          <w:color w:val="auto"/>
        </w:rPr>
      </w:pPr>
    </w:p>
    <w:tbl>
      <w:tblPr>
        <w:tblLayout w:type="fixed"/>
        <w:tblInd w:w="376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54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w:t>
            </w:r>
          </w:p>
        </w:tc>
        <w:tc>
          <w:tcPr>
            <w:tcW w:w="540" w:type="dxa"/>
            <w:vAlign w:val="bottom"/>
            <w:tcBorders>
              <w:bottom w:val="single" w:sz="8" w:color="auto"/>
            </w:tcBorders>
          </w:tcPr>
          <w:p>
            <w:pPr>
              <w:spacing w:after="0"/>
              <w:rPr>
                <w:sz w:val="17"/>
                <w:szCs w:val="1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7"/>
              </w:rPr>
              <w:t>.</w:t>
            </w:r>
          </w:p>
        </w:tc>
      </w:tr>
      <w:tr>
        <w:trPr>
          <w:trHeight w:val="345"/>
        </w:trPr>
        <w:tc>
          <w:tcPr>
            <w:tcW w:w="3140" w:type="dxa"/>
            <w:vAlign w:val="bottom"/>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w w:val="99"/>
              </w:rPr>
              <w:t>Commission file number 1-31234</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ind w:left="1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w:t>
      </w:r>
    </w:p>
    <w:p>
      <w:pPr>
        <w:spacing w:after="0" w:line="12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6"/>
          <w:szCs w:val="36"/>
          <w:b w:val="1"/>
          <w:bCs w:val="1"/>
          <w:color w:val="auto"/>
        </w:rPr>
        <w:t>WESTWOOD HOLDINGS GROUP, INC.</w:t>
      </w:r>
    </w:p>
    <w:p>
      <w:pPr>
        <w:spacing w:after="0" w:line="5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w:t>
      </w:r>
    </w:p>
    <w:p>
      <w:pPr>
        <w:spacing w:after="0" w:line="27" w:lineRule="exact"/>
        <w:rPr>
          <w:sz w:val="24"/>
          <w:szCs w:val="24"/>
          <w:color w:val="auto"/>
        </w:rPr>
      </w:pPr>
    </w:p>
    <w:tbl>
      <w:tblPr>
        <w:tblLayout w:type="fixed"/>
        <w:tblInd w:w="420" w:type="dxa"/>
        <w:tblCellMar>
          <w:top w:w="0" w:type="dxa"/>
          <w:left w:w="0" w:type="dxa"/>
          <w:bottom w:w="0" w:type="dxa"/>
          <w:right w:w="0" w:type="dxa"/>
        </w:tblCellMar>
      </w:tblPr>
      <w:tr>
        <w:trPr>
          <w:trHeight w:val="229"/>
        </w:trPr>
        <w:tc>
          <w:tcPr>
            <w:tcW w:w="3560" w:type="dxa"/>
            <w:vAlign w:val="bottom"/>
          </w:tcPr>
          <w:p>
            <w:pPr>
              <w:jc w:val="center"/>
              <w:ind w:right="17"/>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6100" w:type="dxa"/>
            <w:vAlign w:val="bottom"/>
          </w:tcPr>
          <w:p>
            <w:pPr>
              <w:jc w:val="right"/>
              <w:ind w:right="479"/>
              <w:spacing w:after="0"/>
              <w:rPr>
                <w:sz w:val="20"/>
                <w:szCs w:val="20"/>
                <w:color w:val="auto"/>
              </w:rPr>
            </w:pPr>
            <w:r>
              <w:rPr>
                <w:rFonts w:ascii="Times New Roman" w:cs="Times New Roman" w:eastAsia="Times New Roman" w:hAnsi="Times New Roman"/>
                <w:sz w:val="18"/>
                <w:szCs w:val="18"/>
                <w:b w:val="1"/>
                <w:bCs w:val="1"/>
                <w:color w:val="auto"/>
              </w:rPr>
              <w:t>75-2969997</w:t>
            </w:r>
          </w:p>
        </w:tc>
      </w:tr>
      <w:tr>
        <w:trPr>
          <w:trHeight w:val="188"/>
        </w:trPr>
        <w:tc>
          <w:tcPr>
            <w:tcW w:w="3560" w:type="dxa"/>
            <w:vAlign w:val="bottom"/>
          </w:tcPr>
          <w:p>
            <w:pPr>
              <w:jc w:val="center"/>
              <w:ind w:right="37"/>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6100" w:type="dxa"/>
            <w:vAlign w:val="bottom"/>
          </w:tcPr>
          <w:p>
            <w:pPr>
              <w:jc w:val="center"/>
              <w:ind w:left="4019"/>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447"/>
        </w:trPr>
        <w:tc>
          <w:tcPr>
            <w:tcW w:w="3560" w:type="dxa"/>
            <w:vAlign w:val="bottom"/>
          </w:tcPr>
          <w:p>
            <w:pPr>
              <w:jc w:val="center"/>
              <w:ind w:right="17"/>
              <w:spacing w:after="0"/>
              <w:rPr>
                <w:sz w:val="20"/>
                <w:szCs w:val="20"/>
                <w:color w:val="auto"/>
              </w:rPr>
            </w:pPr>
            <w:r>
              <w:rPr>
                <w:rFonts w:ascii="Times New Roman" w:cs="Times New Roman" w:eastAsia="Times New Roman" w:hAnsi="Times New Roman"/>
                <w:sz w:val="18"/>
                <w:szCs w:val="18"/>
                <w:b w:val="1"/>
                <w:bCs w:val="1"/>
                <w:color w:val="auto"/>
                <w:w w:val="99"/>
              </w:rPr>
              <w:t>200 CRESCENT COURT, SUITE 1200</w:t>
            </w:r>
          </w:p>
        </w:tc>
        <w:tc>
          <w:tcPr>
            <w:tcW w:w="6100" w:type="dxa"/>
            <w:vAlign w:val="bottom"/>
          </w:tcPr>
          <w:p>
            <w:pPr>
              <w:spacing w:after="0"/>
              <w:rPr>
                <w:sz w:val="24"/>
                <w:szCs w:val="24"/>
                <w:color w:val="auto"/>
              </w:rPr>
            </w:pPr>
          </w:p>
        </w:tc>
      </w:tr>
      <w:tr>
        <w:trPr>
          <w:trHeight w:val="229"/>
        </w:trPr>
        <w:tc>
          <w:tcPr>
            <w:tcW w:w="356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DALLAS, Texas</w:t>
            </w:r>
          </w:p>
        </w:tc>
        <w:tc>
          <w:tcPr>
            <w:tcW w:w="6100" w:type="dxa"/>
            <w:vAlign w:val="bottom"/>
          </w:tcPr>
          <w:p>
            <w:pPr>
              <w:jc w:val="right"/>
              <w:ind w:right="699"/>
              <w:spacing w:after="0"/>
              <w:rPr>
                <w:sz w:val="20"/>
                <w:szCs w:val="20"/>
                <w:color w:val="auto"/>
              </w:rPr>
            </w:pPr>
            <w:r>
              <w:rPr>
                <w:rFonts w:ascii="Times New Roman" w:cs="Times New Roman" w:eastAsia="Times New Roman" w:hAnsi="Times New Roman"/>
                <w:sz w:val="18"/>
                <w:szCs w:val="18"/>
                <w:b w:val="1"/>
                <w:bCs w:val="1"/>
                <w:color w:val="auto"/>
              </w:rPr>
              <w:t>75201</w:t>
            </w:r>
          </w:p>
        </w:tc>
      </w:tr>
      <w:tr>
        <w:trPr>
          <w:trHeight w:val="188"/>
        </w:trPr>
        <w:tc>
          <w:tcPr>
            <w:tcW w:w="3560" w:type="dxa"/>
            <w:vAlign w:val="bottom"/>
          </w:tcPr>
          <w:p>
            <w:pPr>
              <w:jc w:val="center"/>
              <w:ind w:right="17"/>
              <w:spacing w:after="0"/>
              <w:rPr>
                <w:sz w:val="20"/>
                <w:szCs w:val="20"/>
                <w:color w:val="auto"/>
              </w:rPr>
            </w:pPr>
            <w:r>
              <w:rPr>
                <w:rFonts w:ascii="Times New Roman" w:cs="Times New Roman" w:eastAsia="Times New Roman" w:hAnsi="Times New Roman"/>
                <w:sz w:val="14"/>
                <w:szCs w:val="14"/>
                <w:color w:val="auto"/>
              </w:rPr>
              <w:t>(Address of principal executive office)</w:t>
            </w:r>
          </w:p>
        </w:tc>
        <w:tc>
          <w:tcPr>
            <w:tcW w:w="6100" w:type="dxa"/>
            <w:vAlign w:val="bottom"/>
          </w:tcPr>
          <w:p>
            <w:pPr>
              <w:jc w:val="center"/>
              <w:ind w:left="4019"/>
              <w:spacing w:after="0"/>
              <w:rPr>
                <w:sz w:val="20"/>
                <w:szCs w:val="20"/>
                <w:color w:val="auto"/>
              </w:rPr>
            </w:pPr>
            <w:r>
              <w:rPr>
                <w:rFonts w:ascii="Times New Roman" w:cs="Times New Roman" w:eastAsia="Times New Roman" w:hAnsi="Times New Roman"/>
                <w:sz w:val="14"/>
                <w:szCs w:val="14"/>
                <w:color w:val="auto"/>
              </w:rPr>
              <w:t>(Zip Code)</w:t>
            </w:r>
          </w:p>
        </w:tc>
      </w:tr>
      <w:tr>
        <w:trPr>
          <w:trHeight w:val="365"/>
        </w:trPr>
        <w:tc>
          <w:tcPr>
            <w:tcW w:w="3560" w:type="dxa"/>
            <w:vAlign w:val="bottom"/>
          </w:tcPr>
          <w:p>
            <w:pPr>
              <w:spacing w:after="0"/>
              <w:rPr>
                <w:sz w:val="24"/>
                <w:szCs w:val="24"/>
                <w:color w:val="auto"/>
              </w:rPr>
            </w:pPr>
          </w:p>
        </w:tc>
        <w:tc>
          <w:tcPr>
            <w:tcW w:w="6100" w:type="dxa"/>
            <w:vAlign w:val="bottom"/>
          </w:tcPr>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t>(214) 756-6900</w:t>
            </w:r>
          </w:p>
        </w:tc>
      </w:tr>
      <w:tr>
        <w:trPr>
          <w:trHeight w:val="188"/>
        </w:trPr>
        <w:tc>
          <w:tcPr>
            <w:tcW w:w="3560" w:type="dxa"/>
            <w:vAlign w:val="bottom"/>
          </w:tcPr>
          <w:p>
            <w:pPr>
              <w:spacing w:after="0"/>
              <w:rPr>
                <w:sz w:val="16"/>
                <w:szCs w:val="16"/>
                <w:color w:val="auto"/>
              </w:rPr>
            </w:pPr>
          </w:p>
        </w:tc>
        <w:tc>
          <w:tcPr>
            <w:tcW w:w="6100" w:type="dxa"/>
            <w:vAlign w:val="bottom"/>
          </w:tcPr>
          <w:p>
            <w:pPr>
              <w:jc w:val="center"/>
              <w:ind w:right="273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bl>
    <w:p>
      <w:pPr>
        <w:ind w:left="1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w:t>
      </w:r>
    </w:p>
    <w:p>
      <w:pPr>
        <w:spacing w:after="0" w:line="4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57" w:lineRule="exact"/>
        <w:rPr>
          <w:sz w:val="24"/>
          <w:szCs w:val="24"/>
          <w:color w:val="auto"/>
        </w:rPr>
      </w:pPr>
    </w:p>
    <w:tbl>
      <w:tblPr>
        <w:tblLayout w:type="fixed"/>
        <w:tblInd w:w="860" w:type="dxa"/>
        <w:tblCellMar>
          <w:top w:w="0" w:type="dxa"/>
          <w:left w:w="0" w:type="dxa"/>
          <w:bottom w:w="0" w:type="dxa"/>
          <w:right w:w="0" w:type="dxa"/>
        </w:tblCellMar>
      </w:tblPr>
      <w:tr>
        <w:trPr>
          <w:trHeight w:val="188"/>
        </w:trPr>
        <w:tc>
          <w:tcPr>
            <w:tcW w:w="6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6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185"/>
        </w:trPr>
        <w:tc>
          <w:tcPr>
            <w:tcW w:w="66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10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w:t>
            </w:r>
          </w:p>
        </w:tc>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13"/>
        </w:trPr>
        <w:tc>
          <w:tcPr>
            <w:tcW w:w="276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1520" w:type="dxa"/>
            <w:vAlign w:val="bottom"/>
          </w:tcPr>
          <w:p>
            <w:pPr>
              <w:spacing w:after="0"/>
              <w:rPr>
                <w:sz w:val="18"/>
                <w:szCs w:val="18"/>
                <w:color w:val="auto"/>
              </w:rPr>
            </w:pPr>
          </w:p>
        </w:tc>
        <w:tc>
          <w:tcPr>
            <w:tcW w:w="24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WHG</w:t>
            </w:r>
          </w:p>
        </w:tc>
        <w:tc>
          <w:tcPr>
            <w:tcW w:w="26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149" w:lineRule="exact"/>
        <w:rPr>
          <w:sz w:val="24"/>
          <w:szCs w:val="24"/>
          <w:color w:val="auto"/>
        </w:rPr>
      </w:pPr>
    </w:p>
    <w:p>
      <w:pPr>
        <w:ind w:right="120"/>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8" w:lineRule="exact"/>
        <w:rPr>
          <w:sz w:val="24"/>
          <w:szCs w:val="24"/>
          <w:color w:val="auto"/>
        </w:rPr>
      </w:pPr>
    </w:p>
    <w:p>
      <w:pPr>
        <w:ind w:right="60"/>
        <w:spacing w:after="0" w:line="284"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definition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32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4960" w:type="dxa"/>
            <w:vAlign w:val="bottom"/>
          </w:tcPr>
          <w:p>
            <w:pPr>
              <w:ind w:left="2640"/>
              <w:spacing w:after="0"/>
              <w:rPr>
                <w:sz w:val="20"/>
                <w:szCs w:val="20"/>
                <w:color w:val="auto"/>
              </w:rPr>
            </w:pPr>
            <w:r>
              <w:rPr>
                <w:rFonts w:ascii="Times New Roman" w:cs="Times New Roman" w:eastAsia="Times New Roman" w:hAnsi="Times New Roman"/>
                <w:sz w:val="14"/>
                <w:szCs w:val="14"/>
                <w:color w:val="auto"/>
              </w:rPr>
              <w:t>Accelerated filer</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56"/>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32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4960" w:type="dxa"/>
            <w:vAlign w:val="bottom"/>
          </w:tcPr>
          <w:p>
            <w:pPr>
              <w:ind w:left="26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57"/>
        </w:trPr>
        <w:tc>
          <w:tcPr>
            <w:tcW w:w="18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4960" w:type="dxa"/>
            <w:vAlign w:val="bottom"/>
          </w:tcPr>
          <w:p>
            <w:pPr>
              <w:ind w:left="2640"/>
              <w:spacing w:after="0"/>
              <w:rPr>
                <w:sz w:val="20"/>
                <w:szCs w:val="20"/>
                <w:color w:val="auto"/>
              </w:rPr>
            </w:pPr>
            <w:r>
              <w:rPr>
                <w:rFonts w:ascii="Times New Roman" w:cs="Times New Roman" w:eastAsia="Times New Roman" w:hAnsi="Times New Roman"/>
                <w:sz w:val="14"/>
                <w:szCs w:val="14"/>
                <w:color w:val="auto"/>
              </w:rPr>
              <w:t>Emerging growth company</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08" w:lineRule="exact"/>
        <w:rPr>
          <w:sz w:val="24"/>
          <w:szCs w:val="24"/>
          <w:color w:val="auto"/>
        </w:rPr>
      </w:pPr>
    </w:p>
    <w:p>
      <w:pPr>
        <w:ind w:right="420"/>
        <w:spacing w:after="0" w:line="19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ind w:right="3620"/>
        <w:spacing w:after="0" w:line="22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Shares of common stock, par value $0.01 per share, outstanding as of October 20, 2022: 8,413,223.</w:t>
      </w:r>
    </w:p>
    <w:p>
      <w:pPr>
        <w:spacing w:after="0" w:line="1"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802640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58" w:right="4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WESTWOOD HOLDINGS GROUP,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1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PART I</w:t>
            </w:r>
          </w:p>
        </w:tc>
        <w:tc>
          <w:tcPr>
            <w:tcW w:w="8920" w:type="dxa"/>
            <w:vAlign w:val="bottom"/>
            <w:gridSpan w:val="16"/>
          </w:tcPr>
          <w:p>
            <w:pPr>
              <w:spacing w:after="0"/>
              <w:rPr>
                <w:sz w:val="20"/>
                <w:szCs w:val="20"/>
                <w:color w:val="auto"/>
              </w:rPr>
            </w:pPr>
            <w:r>
              <w:rPr>
                <w:rFonts w:ascii="Times New Roman" w:cs="Times New Roman" w:eastAsia="Times New Roman" w:hAnsi="Times New Roman"/>
                <w:sz w:val="16"/>
                <w:szCs w:val="16"/>
                <w:color w:val="auto"/>
              </w:rPr>
              <w:t>FINANCIAL INFORMATION</w:t>
            </w:r>
          </w:p>
        </w:tc>
        <w:tc>
          <w:tcPr>
            <w:tcW w:w="116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PAGE</w:t>
            </w:r>
          </w:p>
        </w:tc>
        <w:tc>
          <w:tcPr>
            <w:tcW w:w="0" w:type="dxa"/>
            <w:vAlign w:val="bottom"/>
          </w:tcPr>
          <w:p>
            <w:pPr>
              <w:spacing w:after="0"/>
              <w:rPr>
                <w:sz w:val="1"/>
                <w:szCs w:val="1"/>
                <w:color w:val="auto"/>
              </w:rPr>
            </w:pPr>
          </w:p>
        </w:tc>
      </w:tr>
      <w:tr>
        <w:trPr>
          <w:trHeight w:val="324"/>
        </w:trPr>
        <w:tc>
          <w:tcPr>
            <w:tcW w:w="11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Item 1.</w:t>
            </w:r>
          </w:p>
        </w:tc>
        <w:tc>
          <w:tcPr>
            <w:tcW w:w="8920" w:type="dxa"/>
            <w:vAlign w:val="bottom"/>
            <w:gridSpan w:val="16"/>
          </w:tcPr>
          <w:p>
            <w:pPr>
              <w:spacing w:after="0"/>
              <w:rPr>
                <w:sz w:val="20"/>
                <w:szCs w:val="20"/>
                <w:color w:val="auto"/>
              </w:rPr>
            </w:pPr>
            <w:r>
              <w:rPr>
                <w:rFonts w:ascii="Times New Roman" w:cs="Times New Roman" w:eastAsia="Times New Roman" w:hAnsi="Times New Roman"/>
                <w:sz w:val="16"/>
                <w:szCs w:val="16"/>
                <w:color w:val="auto"/>
              </w:rPr>
              <w:t>Financial Statements</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92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Condensed Consolidated Balance Sheets as of September 30, 2022 and December 31, 2021</w:t>
            </w:r>
          </w:p>
        </w:tc>
        <w:tc>
          <w:tcPr>
            <w:tcW w:w="116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0000FF"/>
              </w:rPr>
              <w:t>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92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Condensed Consolidated Statements of Comprehensive Income (Loss) for the Three and Nine Months Ended September 30, 2022 and</w:t>
            </w:r>
          </w:p>
        </w:tc>
        <w:tc>
          <w:tcPr>
            <w:tcW w:w="116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color w:val="0000FF"/>
              </w:rPr>
              <w:t>2</w:t>
            </w: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320" w:type="dxa"/>
            <w:vAlign w:val="bottom"/>
            <w:tcBorders>
              <w:top w:val="single" w:sz="8" w:color="0000FF"/>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3"/>
              </w:rPr>
              <w:t>2021</w:t>
            </w:r>
          </w:p>
        </w:tc>
        <w:tc>
          <w:tcPr>
            <w:tcW w:w="6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90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88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220" w:type="dxa"/>
            <w:vAlign w:val="bottom"/>
            <w:tcBorders>
              <w:top w:val="single" w:sz="8" w:color="0000FF"/>
            </w:tcBorders>
          </w:tcPr>
          <w:p>
            <w:pPr>
              <w:spacing w:after="0"/>
              <w:rPr>
                <w:sz w:val="12"/>
                <w:szCs w:val="12"/>
                <w:color w:val="auto"/>
              </w:rPr>
            </w:pPr>
          </w:p>
        </w:tc>
        <w:tc>
          <w:tcPr>
            <w:tcW w:w="124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3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6"/>
                <w:szCs w:val="16"/>
                <w:color w:val="0000FF"/>
              </w:rPr>
              <w:t>Condensed Consolidated Statement of Stockholders’ Equity for the Three and Nine Months Ended September 30, 2022 and 2021</w:t>
            </w:r>
          </w:p>
        </w:tc>
        <w:tc>
          <w:tcPr>
            <w:tcW w:w="540" w:type="dxa"/>
            <w:vAlign w:val="bottom"/>
            <w:gridSpan w:val="2"/>
          </w:tcPr>
          <w:p>
            <w:pPr>
              <w:spacing w:after="0"/>
              <w:rPr>
                <w:sz w:val="21"/>
                <w:szCs w:val="21"/>
                <w:color w:val="auto"/>
              </w:rPr>
            </w:pPr>
          </w:p>
        </w:tc>
        <w:tc>
          <w:tcPr>
            <w:tcW w:w="116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0000FF"/>
              </w:rPr>
              <w:t>3</w:t>
            </w: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1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6"/>
                <w:szCs w:val="16"/>
                <w:color w:val="0000FF"/>
              </w:rPr>
              <w:t>Condensed Consolidated Statements of Cash Flows for the Nine Months Ended September 30, 2022 and 2021</w:t>
            </w:r>
          </w:p>
        </w:tc>
        <w:tc>
          <w:tcPr>
            <w:tcW w:w="1780" w:type="dxa"/>
            <w:vAlign w:val="bottom"/>
            <w:gridSpan w:val="3"/>
          </w:tcPr>
          <w:p>
            <w:pPr>
              <w:spacing w:after="0"/>
              <w:rPr>
                <w:sz w:val="21"/>
                <w:szCs w:val="21"/>
                <w:color w:val="auto"/>
              </w:rPr>
            </w:pPr>
          </w:p>
        </w:tc>
        <w:tc>
          <w:tcPr>
            <w:tcW w:w="116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0000FF"/>
              </w:rPr>
              <w:t>5</w:t>
            </w: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0000FF"/>
              </w:rPr>
              <w:t>Notes to Condensed Consolidated Financial Statements</w:t>
            </w:r>
          </w:p>
        </w:tc>
        <w:tc>
          <w:tcPr>
            <w:tcW w:w="5320" w:type="dxa"/>
            <w:vAlign w:val="bottom"/>
            <w:gridSpan w:val="8"/>
          </w:tcPr>
          <w:p>
            <w:pPr>
              <w:spacing w:after="0"/>
              <w:rPr>
                <w:sz w:val="21"/>
                <w:szCs w:val="21"/>
                <w:color w:val="auto"/>
              </w:rPr>
            </w:pPr>
          </w:p>
        </w:tc>
        <w:tc>
          <w:tcPr>
            <w:tcW w:w="116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0000FF"/>
              </w:rPr>
              <w:t>6</w:t>
            </w:r>
          </w:p>
        </w:tc>
        <w:tc>
          <w:tcPr>
            <w:tcW w:w="0" w:type="dxa"/>
            <w:vAlign w:val="bottom"/>
          </w:tcPr>
          <w:p>
            <w:pPr>
              <w:spacing w:after="0"/>
              <w:rPr>
                <w:sz w:val="1"/>
                <w:szCs w:val="1"/>
                <w:color w:val="auto"/>
              </w:rPr>
            </w:pPr>
          </w:p>
        </w:tc>
      </w:tr>
      <w:tr>
        <w:trPr>
          <w:trHeight w:val="250"/>
        </w:trPr>
        <w:tc>
          <w:tcPr>
            <w:tcW w:w="11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Item 2.</w:t>
            </w:r>
          </w:p>
        </w:tc>
        <w:tc>
          <w:tcPr>
            <w:tcW w:w="58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3100" w:type="dxa"/>
            <w:vAlign w:val="bottom"/>
            <w:gridSpan w:val="5"/>
          </w:tcPr>
          <w:p>
            <w:pPr>
              <w:spacing w:after="0"/>
              <w:rPr>
                <w:sz w:val="21"/>
                <w:szCs w:val="21"/>
                <w:color w:val="auto"/>
              </w:rPr>
            </w:pPr>
          </w:p>
        </w:tc>
        <w:tc>
          <w:tcPr>
            <w:tcW w:w="116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0000FF"/>
              </w:rPr>
              <w:t>15</w:t>
            </w:r>
          </w:p>
        </w:tc>
        <w:tc>
          <w:tcPr>
            <w:tcW w:w="0" w:type="dxa"/>
            <w:vAlign w:val="bottom"/>
          </w:tcPr>
          <w:p>
            <w:pPr>
              <w:spacing w:after="0"/>
              <w:rPr>
                <w:sz w:val="1"/>
                <w:szCs w:val="1"/>
                <w:color w:val="auto"/>
              </w:rPr>
            </w:pPr>
          </w:p>
        </w:tc>
      </w:tr>
      <w:tr>
        <w:trPr>
          <w:trHeight w:val="250"/>
        </w:trPr>
        <w:tc>
          <w:tcPr>
            <w:tcW w:w="11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Item 3.</w:t>
            </w:r>
          </w:p>
        </w:tc>
        <w:tc>
          <w:tcPr>
            <w:tcW w:w="39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4980" w:type="dxa"/>
            <w:vAlign w:val="bottom"/>
            <w:gridSpan w:val="6"/>
          </w:tcPr>
          <w:p>
            <w:pPr>
              <w:spacing w:after="0"/>
              <w:rPr>
                <w:sz w:val="21"/>
                <w:szCs w:val="21"/>
                <w:color w:val="auto"/>
              </w:rPr>
            </w:pPr>
          </w:p>
        </w:tc>
        <w:tc>
          <w:tcPr>
            <w:tcW w:w="116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0000FF"/>
              </w:rPr>
              <w:t>22</w:t>
            </w:r>
          </w:p>
        </w:tc>
        <w:tc>
          <w:tcPr>
            <w:tcW w:w="0" w:type="dxa"/>
            <w:vAlign w:val="bottom"/>
          </w:tcPr>
          <w:p>
            <w:pPr>
              <w:spacing w:after="0"/>
              <w:rPr>
                <w:sz w:val="1"/>
                <w:szCs w:val="1"/>
                <w:color w:val="auto"/>
              </w:rPr>
            </w:pPr>
          </w:p>
        </w:tc>
      </w:tr>
      <w:tr>
        <w:trPr>
          <w:trHeight w:val="250"/>
        </w:trPr>
        <w:tc>
          <w:tcPr>
            <w:tcW w:w="11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Item 4.</w:t>
            </w:r>
          </w:p>
        </w:tc>
        <w:tc>
          <w:tcPr>
            <w:tcW w:w="16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7320" w:type="dxa"/>
            <w:vAlign w:val="bottom"/>
            <w:gridSpan w:val="10"/>
          </w:tcPr>
          <w:p>
            <w:pPr>
              <w:spacing w:after="0"/>
              <w:rPr>
                <w:sz w:val="21"/>
                <w:szCs w:val="21"/>
                <w:color w:val="auto"/>
              </w:rPr>
            </w:pPr>
          </w:p>
        </w:tc>
        <w:tc>
          <w:tcPr>
            <w:tcW w:w="116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0000FF"/>
              </w:rPr>
              <w:t>22</w:t>
            </w:r>
          </w:p>
        </w:tc>
        <w:tc>
          <w:tcPr>
            <w:tcW w:w="0" w:type="dxa"/>
            <w:vAlign w:val="bottom"/>
          </w:tcPr>
          <w:p>
            <w:pPr>
              <w:spacing w:after="0"/>
              <w:rPr>
                <w:sz w:val="1"/>
                <w:szCs w:val="1"/>
                <w:color w:val="auto"/>
              </w:rPr>
            </w:pPr>
          </w:p>
        </w:tc>
      </w:tr>
      <w:tr>
        <w:trPr>
          <w:trHeight w:val="250"/>
        </w:trPr>
        <w:tc>
          <w:tcPr>
            <w:tcW w:w="11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PART II</w:t>
            </w:r>
          </w:p>
        </w:tc>
        <w:tc>
          <w:tcPr>
            <w:tcW w:w="17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w w:val="99"/>
              </w:rPr>
              <w:t>OTHER INFORMATION</w:t>
            </w:r>
          </w:p>
        </w:tc>
        <w:tc>
          <w:tcPr>
            <w:tcW w:w="7220" w:type="dxa"/>
            <w:vAlign w:val="bottom"/>
            <w:gridSpan w:val="9"/>
          </w:tcPr>
          <w:p>
            <w:pPr>
              <w:spacing w:after="0"/>
              <w:rPr>
                <w:sz w:val="21"/>
                <w:szCs w:val="21"/>
                <w:color w:val="auto"/>
              </w:rPr>
            </w:pPr>
          </w:p>
        </w:tc>
        <w:tc>
          <w:tcPr>
            <w:tcW w:w="116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0000FF"/>
              </w:rPr>
              <w:t>24</w:t>
            </w:r>
          </w:p>
        </w:tc>
        <w:tc>
          <w:tcPr>
            <w:tcW w:w="0" w:type="dxa"/>
            <w:vAlign w:val="bottom"/>
          </w:tcPr>
          <w:p>
            <w:pPr>
              <w:spacing w:after="0"/>
              <w:rPr>
                <w:sz w:val="1"/>
                <w:szCs w:val="1"/>
                <w:color w:val="auto"/>
              </w:rPr>
            </w:pPr>
          </w:p>
        </w:tc>
      </w:tr>
      <w:tr>
        <w:trPr>
          <w:trHeight w:val="250"/>
        </w:trPr>
        <w:tc>
          <w:tcPr>
            <w:tcW w:w="11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Item 1.</w:t>
            </w:r>
          </w:p>
        </w:tc>
        <w:tc>
          <w:tcPr>
            <w:tcW w:w="892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Legal Proceedings</w:t>
            </w:r>
          </w:p>
        </w:tc>
        <w:tc>
          <w:tcPr>
            <w:tcW w:w="116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0000FF"/>
              </w:rPr>
              <w:t>24</w:t>
            </w:r>
          </w:p>
        </w:tc>
        <w:tc>
          <w:tcPr>
            <w:tcW w:w="0" w:type="dxa"/>
            <w:vAlign w:val="bottom"/>
          </w:tcPr>
          <w:p>
            <w:pPr>
              <w:spacing w:after="0"/>
              <w:rPr>
                <w:sz w:val="1"/>
                <w:szCs w:val="1"/>
                <w:color w:val="auto"/>
              </w:rPr>
            </w:pPr>
          </w:p>
        </w:tc>
      </w:tr>
      <w:tr>
        <w:trPr>
          <w:trHeight w:val="250"/>
        </w:trPr>
        <w:tc>
          <w:tcPr>
            <w:tcW w:w="11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Item 1A.</w:t>
            </w:r>
          </w:p>
        </w:tc>
        <w:tc>
          <w:tcPr>
            <w:tcW w:w="8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9"/>
              </w:rPr>
              <w:t>Risk Factors</w:t>
            </w:r>
          </w:p>
        </w:tc>
        <w:tc>
          <w:tcPr>
            <w:tcW w:w="380" w:type="dxa"/>
            <w:vAlign w:val="bottom"/>
            <w:tcBorders>
              <w:top w:val="single" w:sz="8" w:color="0000FF"/>
            </w:tcBorders>
          </w:tcPr>
          <w:p>
            <w:pPr>
              <w:spacing w:after="0"/>
              <w:rPr>
                <w:sz w:val="21"/>
                <w:szCs w:val="21"/>
                <w:color w:val="auto"/>
              </w:rPr>
            </w:pPr>
          </w:p>
        </w:tc>
        <w:tc>
          <w:tcPr>
            <w:tcW w:w="7720" w:type="dxa"/>
            <w:vAlign w:val="bottom"/>
            <w:gridSpan w:val="11"/>
          </w:tcPr>
          <w:p>
            <w:pPr>
              <w:spacing w:after="0"/>
              <w:rPr>
                <w:sz w:val="21"/>
                <w:szCs w:val="21"/>
                <w:color w:val="auto"/>
              </w:rPr>
            </w:pPr>
          </w:p>
        </w:tc>
        <w:tc>
          <w:tcPr>
            <w:tcW w:w="116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0000FF"/>
              </w:rPr>
              <w:t>24</w:t>
            </w:r>
          </w:p>
        </w:tc>
        <w:tc>
          <w:tcPr>
            <w:tcW w:w="0" w:type="dxa"/>
            <w:vAlign w:val="bottom"/>
          </w:tcPr>
          <w:p>
            <w:pPr>
              <w:spacing w:after="0"/>
              <w:rPr>
                <w:sz w:val="1"/>
                <w:szCs w:val="1"/>
                <w:color w:val="auto"/>
              </w:rPr>
            </w:pPr>
          </w:p>
        </w:tc>
      </w:tr>
      <w:tr>
        <w:trPr>
          <w:trHeight w:val="250"/>
        </w:trPr>
        <w:tc>
          <w:tcPr>
            <w:tcW w:w="11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Item 2.</w:t>
            </w:r>
          </w:p>
        </w:tc>
        <w:tc>
          <w:tcPr>
            <w:tcW w:w="39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6"/>
                <w:szCs w:val="16"/>
                <w:color w:val="0000FF"/>
              </w:rPr>
              <w:t>Unregistered Sales of Equity Securities and Use of Proceeds</w:t>
            </w:r>
          </w:p>
        </w:tc>
        <w:tc>
          <w:tcPr>
            <w:tcW w:w="5000" w:type="dxa"/>
            <w:vAlign w:val="bottom"/>
            <w:gridSpan w:val="7"/>
          </w:tcPr>
          <w:p>
            <w:pPr>
              <w:spacing w:after="0"/>
              <w:rPr>
                <w:sz w:val="21"/>
                <w:szCs w:val="21"/>
                <w:color w:val="auto"/>
              </w:rPr>
            </w:pPr>
          </w:p>
        </w:tc>
        <w:tc>
          <w:tcPr>
            <w:tcW w:w="116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0000FF"/>
              </w:rPr>
              <w:t>24</w:t>
            </w:r>
          </w:p>
        </w:tc>
        <w:tc>
          <w:tcPr>
            <w:tcW w:w="0" w:type="dxa"/>
            <w:vAlign w:val="bottom"/>
          </w:tcPr>
          <w:p>
            <w:pPr>
              <w:spacing w:after="0"/>
              <w:rPr>
                <w:sz w:val="1"/>
                <w:szCs w:val="1"/>
                <w:color w:val="auto"/>
              </w:rPr>
            </w:pPr>
          </w:p>
        </w:tc>
      </w:tr>
      <w:tr>
        <w:trPr>
          <w:trHeight w:val="250"/>
        </w:trPr>
        <w:tc>
          <w:tcPr>
            <w:tcW w:w="11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Item 6.</w:t>
            </w:r>
          </w:p>
        </w:tc>
        <w:tc>
          <w:tcPr>
            <w:tcW w:w="892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Exhibits</w:t>
            </w:r>
          </w:p>
        </w:tc>
        <w:tc>
          <w:tcPr>
            <w:tcW w:w="116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0000FF"/>
              </w:rPr>
              <w:t>25</w:t>
            </w:r>
          </w:p>
        </w:tc>
        <w:tc>
          <w:tcPr>
            <w:tcW w:w="0" w:type="dxa"/>
            <w:vAlign w:val="bottom"/>
          </w:tcPr>
          <w:p>
            <w:pPr>
              <w:spacing w:after="0"/>
              <w:rPr>
                <w:sz w:val="1"/>
                <w:szCs w:val="1"/>
                <w:color w:val="auto"/>
              </w:rPr>
            </w:pPr>
          </w:p>
        </w:tc>
      </w:tr>
      <w:tr>
        <w:trPr>
          <w:trHeight w:val="250"/>
        </w:trPr>
        <w:tc>
          <w:tcPr>
            <w:tcW w:w="11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0000FF"/>
              </w:rPr>
              <w:t>Signatures</w:t>
            </w:r>
          </w:p>
        </w:tc>
        <w:tc>
          <w:tcPr>
            <w:tcW w:w="16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0000FF"/>
              </w:rPr>
              <w:t>26</w:t>
            </w:r>
          </w:p>
        </w:tc>
        <w:tc>
          <w:tcPr>
            <w:tcW w:w="0" w:type="dxa"/>
            <w:vAlign w:val="bottom"/>
          </w:tcPr>
          <w:p>
            <w:pPr>
              <w:spacing w:after="0"/>
              <w:rPr>
                <w:sz w:val="1"/>
                <w:szCs w:val="1"/>
                <w:color w:val="auto"/>
              </w:rPr>
            </w:pPr>
          </w:p>
        </w:tc>
      </w:tr>
      <w:tr>
        <w:trPr>
          <w:trHeight w:val="2795"/>
        </w:trPr>
        <w:tc>
          <w:tcPr>
            <w:tcW w:w="120" w:type="dxa"/>
            <w:vAlign w:val="bottom"/>
            <w:tcBorders>
              <w:bottom w:val="single" w:sz="8" w:color="9A9A9A"/>
            </w:tcBorders>
          </w:tcPr>
          <w:p>
            <w:pPr>
              <w:spacing w:after="0"/>
              <w:rPr>
                <w:sz w:val="24"/>
                <w:szCs w:val="24"/>
                <w:color w:val="auto"/>
              </w:rPr>
            </w:pPr>
          </w:p>
        </w:tc>
        <w:tc>
          <w:tcPr>
            <w:tcW w:w="680" w:type="dxa"/>
            <w:vAlign w:val="bottom"/>
            <w:tcBorders>
              <w:top w:val="single" w:sz="8" w:color="0000FF"/>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WESTWOOD HOLDINGS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par value and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16"/>
                <w:szCs w:val="16"/>
                <w:color w:val="auto"/>
              </w:rPr>
            </w:pPr>
          </w:p>
        </w:tc>
        <w:tc>
          <w:tcPr>
            <w:tcW w:w="13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8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198"/>
        </w:trPr>
        <w:tc>
          <w:tcPr>
            <w:tcW w:w="8100" w:type="dxa"/>
            <w:vAlign w:val="bottom"/>
            <w:shd w:val="clear" w:color="auto" w:fill="CCEEFF"/>
          </w:tcPr>
          <w:p>
            <w:pPr>
              <w:ind w:left="37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15,206</w:t>
            </w:r>
          </w:p>
        </w:tc>
        <w:tc>
          <w:tcPr>
            <w:tcW w:w="0" w:type="dxa"/>
            <w:vAlign w:val="bottom"/>
          </w:tcPr>
          <w:p>
            <w:pPr>
              <w:spacing w:after="0"/>
              <w:rPr>
                <w:sz w:val="1"/>
                <w:szCs w:val="1"/>
                <w:color w:val="auto"/>
              </w:rPr>
            </w:pPr>
          </w:p>
        </w:tc>
      </w:tr>
      <w:tr>
        <w:trPr>
          <w:trHeight w:val="213"/>
        </w:trPr>
        <w:tc>
          <w:tcPr>
            <w:tcW w:w="81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Accounts receivable</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9,290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11,152</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Investments, at fair value</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65,024</w:t>
            </w:r>
          </w:p>
        </w:tc>
        <w:tc>
          <w:tcPr>
            <w:tcW w:w="0" w:type="dxa"/>
            <w:vAlign w:val="bottom"/>
          </w:tcPr>
          <w:p>
            <w:pPr>
              <w:spacing w:after="0"/>
              <w:rPr>
                <w:sz w:val="1"/>
                <w:szCs w:val="1"/>
                <w:color w:val="auto"/>
              </w:rPr>
            </w:pPr>
          </w:p>
        </w:tc>
      </w:tr>
      <w:tr>
        <w:trPr>
          <w:trHeight w:val="213"/>
        </w:trPr>
        <w:tc>
          <w:tcPr>
            <w:tcW w:w="81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Prepaid income taxes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Other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2,246</w:t>
            </w:r>
          </w:p>
        </w:tc>
        <w:tc>
          <w:tcPr>
            <w:tcW w:w="0" w:type="dxa"/>
            <w:vAlign w:val="bottom"/>
          </w:tcPr>
          <w:p>
            <w:pPr>
              <w:spacing w:after="0"/>
              <w:rPr>
                <w:sz w:val="1"/>
                <w:szCs w:val="1"/>
                <w:color w:val="auto"/>
              </w:rPr>
            </w:pPr>
          </w:p>
        </w:tc>
      </w:tr>
      <w:tr>
        <w:trPr>
          <w:trHeight w:val="207"/>
        </w:trPr>
        <w:tc>
          <w:tcPr>
            <w:tcW w:w="81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86,540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93,861</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4,455</w:t>
            </w:r>
          </w:p>
        </w:tc>
        <w:tc>
          <w:tcPr>
            <w:tcW w:w="0" w:type="dxa"/>
            <w:vAlign w:val="bottom"/>
          </w:tcPr>
          <w:p>
            <w:pPr>
              <w:spacing w:after="0"/>
              <w:rPr>
                <w:sz w:val="1"/>
                <w:szCs w:val="1"/>
                <w:color w:val="auto"/>
              </w:rPr>
            </w:pP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investments at fair value</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4,513</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16,401</w:t>
            </w:r>
          </w:p>
        </w:tc>
        <w:tc>
          <w:tcPr>
            <w:tcW w:w="0" w:type="dxa"/>
            <w:vAlign w:val="bottom"/>
          </w:tcPr>
          <w:p>
            <w:pPr>
              <w:spacing w:after="0"/>
              <w:rPr>
                <w:sz w:val="1"/>
                <w:szCs w:val="1"/>
                <w:color w:val="auto"/>
              </w:rPr>
            </w:pP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848</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4,868</w:t>
            </w:r>
          </w:p>
        </w:tc>
        <w:tc>
          <w:tcPr>
            <w:tcW w:w="0" w:type="dxa"/>
            <w:vAlign w:val="bottom"/>
          </w:tcPr>
          <w:p>
            <w:pPr>
              <w:spacing w:after="0"/>
              <w:rPr>
                <w:sz w:val="1"/>
                <w:szCs w:val="1"/>
                <w:color w:val="auto"/>
              </w:rPr>
            </w:pP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10,693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11,911</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 of accumulated depreciation of $9,096 and $8,637</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2,114</w:t>
            </w:r>
          </w:p>
        </w:tc>
        <w:tc>
          <w:tcPr>
            <w:tcW w:w="0" w:type="dxa"/>
            <w:vAlign w:val="bottom"/>
          </w:tcPr>
          <w:p>
            <w:pPr>
              <w:spacing w:after="0"/>
              <w:rPr>
                <w:sz w:val="1"/>
                <w:szCs w:val="1"/>
                <w:color w:val="auto"/>
              </w:rPr>
            </w:pPr>
          </w:p>
        </w:tc>
      </w:tr>
      <w:tr>
        <w:trPr>
          <w:trHeight w:val="213"/>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assets</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0" w:type="dxa"/>
            <w:vAlign w:val="bottom"/>
          </w:tcPr>
          <w:p>
            <w:pPr>
              <w:spacing w:after="0"/>
              <w:rPr>
                <w:sz w:val="1"/>
                <w:szCs w:val="1"/>
                <w:color w:val="auto"/>
              </w:rPr>
            </w:pPr>
          </w:p>
        </w:tc>
      </w:tr>
      <w:tr>
        <w:trPr>
          <w:trHeight w:val="235"/>
        </w:trPr>
        <w:tc>
          <w:tcPr>
            <w:tcW w:w="810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130,987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139,605</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230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81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2,876</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2,637</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Dividends payable</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w:t>
            </w:r>
          </w:p>
        </w:tc>
        <w:tc>
          <w:tcPr>
            <w:tcW w:w="0" w:type="dxa"/>
            <w:vAlign w:val="bottom"/>
          </w:tcPr>
          <w:p>
            <w:pPr>
              <w:spacing w:after="0"/>
              <w:rPr>
                <w:sz w:val="1"/>
                <w:szCs w:val="1"/>
                <w:color w:val="auto"/>
              </w:rPr>
            </w:pPr>
          </w:p>
        </w:tc>
      </w:tr>
      <w:tr>
        <w:trPr>
          <w:trHeight w:val="213"/>
        </w:trPr>
        <w:tc>
          <w:tcPr>
            <w:tcW w:w="81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Compensation and benefits payable</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9,530</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1,409</w:t>
            </w:r>
          </w:p>
        </w:tc>
        <w:tc>
          <w:tcPr>
            <w:tcW w:w="0" w:type="dxa"/>
            <w:vAlign w:val="bottom"/>
          </w:tcPr>
          <w:p>
            <w:pPr>
              <w:spacing w:after="0"/>
              <w:rPr>
                <w:sz w:val="1"/>
                <w:szCs w:val="1"/>
                <w:color w:val="auto"/>
              </w:rPr>
            </w:pPr>
          </w:p>
        </w:tc>
      </w:tr>
      <w:tr>
        <w:trPr>
          <w:trHeight w:val="213"/>
        </w:trPr>
        <w:tc>
          <w:tcPr>
            <w:tcW w:w="81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Income taxes payable</w:t>
            </w:r>
          </w:p>
        </w:tc>
        <w:tc>
          <w:tcPr>
            <w:tcW w:w="18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0" w:type="dxa"/>
            <w:vAlign w:val="bottom"/>
          </w:tcPr>
          <w:p>
            <w:pPr>
              <w:spacing w:after="0"/>
              <w:rPr>
                <w:sz w:val="1"/>
                <w:szCs w:val="1"/>
                <w:color w:val="auto"/>
              </w:rPr>
            </w:pPr>
          </w:p>
        </w:tc>
      </w:tr>
      <w:tr>
        <w:trPr>
          <w:trHeight w:val="212"/>
        </w:trPr>
        <w:tc>
          <w:tcPr>
            <w:tcW w:w="810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11,986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15,842</w:t>
            </w:r>
          </w:p>
        </w:tc>
        <w:tc>
          <w:tcPr>
            <w:tcW w:w="0" w:type="dxa"/>
            <w:vAlign w:val="bottom"/>
          </w:tcPr>
          <w:p>
            <w:pPr>
              <w:spacing w:after="0"/>
              <w:rPr>
                <w:sz w:val="1"/>
                <w:szCs w:val="1"/>
                <w:color w:val="auto"/>
              </w:rPr>
            </w:pP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dividends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1,133</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4,724</w:t>
            </w:r>
          </w:p>
        </w:tc>
        <w:tc>
          <w:tcPr>
            <w:tcW w:w="0" w:type="dxa"/>
            <w:vAlign w:val="bottom"/>
          </w:tcPr>
          <w:p>
            <w:pPr>
              <w:spacing w:after="0"/>
              <w:rPr>
                <w:sz w:val="1"/>
                <w:szCs w:val="1"/>
                <w:color w:val="auto"/>
              </w:rPr>
            </w:pPr>
          </w:p>
        </w:tc>
      </w:tr>
      <w:tr>
        <w:trPr>
          <w:trHeight w:val="207"/>
        </w:trPr>
        <w:tc>
          <w:tcPr>
            <w:tcW w:w="81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long-term liabilities</w:t>
            </w: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5,857</w:t>
            </w:r>
          </w:p>
        </w:tc>
        <w:tc>
          <w:tcPr>
            <w:tcW w:w="0" w:type="dxa"/>
            <w:vAlign w:val="bottom"/>
          </w:tcPr>
          <w:p>
            <w:pPr>
              <w:spacing w:after="0"/>
              <w:rPr>
                <w:sz w:val="1"/>
                <w:szCs w:val="1"/>
                <w:color w:val="auto"/>
              </w:rPr>
            </w:pPr>
          </w:p>
        </w:tc>
      </w:tr>
      <w:tr>
        <w:trPr>
          <w:trHeight w:val="212"/>
        </w:trPr>
        <w:tc>
          <w:tcPr>
            <w:tcW w:w="81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17,480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21,699</w:t>
            </w:r>
          </w:p>
        </w:tc>
        <w:tc>
          <w:tcPr>
            <w:tcW w:w="0" w:type="dxa"/>
            <w:vAlign w:val="bottom"/>
          </w:tcPr>
          <w:p>
            <w:pPr>
              <w:spacing w:after="0"/>
              <w:rPr>
                <w:sz w:val="1"/>
                <w:szCs w:val="1"/>
                <w:color w:val="auto"/>
              </w:rPr>
            </w:pPr>
          </w:p>
        </w:tc>
      </w:tr>
      <w:tr>
        <w:trPr>
          <w:trHeight w:val="19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10)</w:t>
            </w: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8100" w:type="dxa"/>
            <w:vAlign w:val="bottom"/>
          </w:tcPr>
          <w:p>
            <w:pPr>
              <w:ind w:left="480"/>
              <w:spacing w:after="0" w:line="162" w:lineRule="exact"/>
              <w:rPr>
                <w:sz w:val="20"/>
                <w:szCs w:val="20"/>
                <w:color w:val="auto"/>
              </w:rPr>
            </w:pPr>
            <w:r>
              <w:rPr>
                <w:rFonts w:ascii="Times New Roman" w:cs="Times New Roman" w:eastAsia="Times New Roman" w:hAnsi="Times New Roman"/>
                <w:sz w:val="16"/>
                <w:szCs w:val="16"/>
                <w:color w:val="auto"/>
              </w:rPr>
              <w:t>Common stock, $0.01 par value, authorized 25,000,000 shares, issued 11,058,937 and outstanding 8,410,659 shares</w:t>
            </w:r>
          </w:p>
        </w:tc>
        <w:tc>
          <w:tcPr>
            <w:tcW w:w="18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213"/>
        </w:trPr>
        <w:tc>
          <w:tcPr>
            <w:tcW w:w="810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at September 30, 2022; issued 10,658,644 and outstanding 8,253,491 shares at December 31, 2021</w:t>
            </w:r>
          </w:p>
        </w:tc>
        <w:tc>
          <w:tcPr>
            <w:tcW w:w="18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199,594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195,187</w:t>
            </w:r>
          </w:p>
        </w:tc>
        <w:tc>
          <w:tcPr>
            <w:tcW w:w="0" w:type="dxa"/>
            <w:vAlign w:val="bottom"/>
          </w:tcPr>
          <w:p>
            <w:pPr>
              <w:spacing w:after="0"/>
              <w:rPr>
                <w:sz w:val="1"/>
                <w:szCs w:val="1"/>
                <w:color w:val="auto"/>
              </w:rPr>
            </w:pPr>
          </w:p>
        </w:tc>
      </w:tr>
      <w:tr>
        <w:trPr>
          <w:trHeight w:val="213"/>
        </w:trPr>
        <w:tc>
          <w:tcPr>
            <w:tcW w:w="81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Treasury stock, at cost - 2,648,278 shares at September 30, 2022; 2,405,154 shares at December 31, 2021</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(81,750)</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Retained earnings (accumulated deficit)</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4,362</w:t>
            </w:r>
          </w:p>
        </w:tc>
        <w:tc>
          <w:tcPr>
            <w:tcW w:w="0" w:type="dxa"/>
            <w:vAlign w:val="bottom"/>
          </w:tcPr>
          <w:p>
            <w:pPr>
              <w:spacing w:after="0"/>
              <w:rPr>
                <w:sz w:val="1"/>
                <w:szCs w:val="1"/>
                <w:color w:val="auto"/>
              </w:rPr>
            </w:pPr>
          </w:p>
        </w:tc>
      </w:tr>
      <w:tr>
        <w:trPr>
          <w:trHeight w:val="207"/>
        </w:trPr>
        <w:tc>
          <w:tcPr>
            <w:tcW w:w="8100" w:type="dxa"/>
            <w:vAlign w:val="bottom"/>
            <w:tcBorders>
              <w:bottom w:val="single" w:sz="8" w:color="CCEEFF"/>
            </w:tcBorders>
          </w:tcPr>
          <w:p>
            <w:pPr>
              <w:ind w:left="80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113,507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117,906</w:t>
            </w:r>
          </w:p>
        </w:tc>
        <w:tc>
          <w:tcPr>
            <w:tcW w:w="0" w:type="dxa"/>
            <w:vAlign w:val="bottom"/>
          </w:tcPr>
          <w:p>
            <w:pPr>
              <w:spacing w:after="0"/>
              <w:rPr>
                <w:sz w:val="1"/>
                <w:szCs w:val="1"/>
                <w:color w:val="auto"/>
              </w:rPr>
            </w:pPr>
          </w:p>
        </w:tc>
      </w:tr>
      <w:tr>
        <w:trPr>
          <w:trHeight w:val="235"/>
        </w:trPr>
        <w:tc>
          <w:tcPr>
            <w:tcW w:w="810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130,987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139,605</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CONDENSED CONSOLIDATED STATEMENTS OF COMPREHENSIVE INCOME (LOSS) (In thousands, except per share data and share amounts) (Unaudited)</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60" w:type="dxa"/>
            <w:vAlign w:val="bottom"/>
            <w:gridSpan w:val="4"/>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REVENUES:</w:t>
            </w: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0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Advisory fees:</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0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Asset-based</w:t>
            </w:r>
          </w:p>
        </w:tc>
        <w:tc>
          <w:tcPr>
            <w:tcW w:w="2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10,474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12,011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33,244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33,846</w:t>
            </w:r>
          </w:p>
        </w:tc>
        <w:tc>
          <w:tcPr>
            <w:tcW w:w="0" w:type="dxa"/>
            <w:vAlign w:val="bottom"/>
          </w:tcPr>
          <w:p>
            <w:pPr>
              <w:spacing w:after="0"/>
              <w:rPr>
                <w:sz w:val="1"/>
                <w:szCs w:val="1"/>
                <w:color w:val="auto"/>
              </w:rPr>
            </w:pPr>
          </w:p>
        </w:tc>
      </w:tr>
      <w:tr>
        <w:trPr>
          <w:trHeight w:val="200"/>
        </w:trPr>
        <w:tc>
          <w:tcPr>
            <w:tcW w:w="508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Performance-based</w:t>
            </w:r>
          </w:p>
        </w:tc>
        <w:tc>
          <w:tcPr>
            <w:tcW w:w="26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1,959</w:t>
            </w:r>
          </w:p>
        </w:tc>
        <w:tc>
          <w:tcPr>
            <w:tcW w:w="0" w:type="dxa"/>
            <w:vAlign w:val="bottom"/>
          </w:tcPr>
          <w:p>
            <w:pPr>
              <w:spacing w:after="0"/>
              <w:rPr>
                <w:sz w:val="1"/>
                <w:szCs w:val="1"/>
                <w:color w:val="auto"/>
              </w:rPr>
            </w:pPr>
          </w:p>
        </w:tc>
      </w:tr>
      <w:tr>
        <w:trPr>
          <w:trHeight w:val="205"/>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Trust fees</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5,177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5,952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16,257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18,233</w:t>
            </w:r>
          </w:p>
        </w:tc>
        <w:tc>
          <w:tcPr>
            <w:tcW w:w="0" w:type="dxa"/>
            <w:vAlign w:val="bottom"/>
          </w:tcPr>
          <w:p>
            <w:pPr>
              <w:spacing w:after="0"/>
              <w:rPr>
                <w:sz w:val="1"/>
                <w:szCs w:val="1"/>
                <w:color w:val="auto"/>
              </w:rPr>
            </w:pPr>
          </w:p>
        </w:tc>
      </w:tr>
      <w:tr>
        <w:trPr>
          <w:trHeight w:val="200"/>
        </w:trPr>
        <w:tc>
          <w:tcPr>
            <w:tcW w:w="5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5"/>
                <w:szCs w:val="15"/>
                <w:color w:val="auto"/>
              </w:rPr>
              <w:t>Other, net</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(103)</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(1,276)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(375)</w:t>
            </w:r>
          </w:p>
        </w:tc>
        <w:tc>
          <w:tcPr>
            <w:tcW w:w="0" w:type="dxa"/>
            <w:vAlign w:val="bottom"/>
          </w:tcPr>
          <w:p>
            <w:pPr>
              <w:spacing w:after="0"/>
              <w:rPr>
                <w:sz w:val="1"/>
                <w:szCs w:val="1"/>
                <w:color w:val="auto"/>
              </w:rPr>
            </w:pPr>
          </w:p>
        </w:tc>
      </w:tr>
      <w:tr>
        <w:trPr>
          <w:trHeight w:val="198"/>
        </w:trPr>
        <w:tc>
          <w:tcPr>
            <w:tcW w:w="50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Total revenues</w:t>
            </w:r>
          </w:p>
        </w:tc>
        <w:tc>
          <w:tcPr>
            <w:tcW w:w="2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15,406</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17,860</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48,225</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53,663</w:t>
            </w:r>
          </w:p>
        </w:tc>
        <w:tc>
          <w:tcPr>
            <w:tcW w:w="0" w:type="dxa"/>
            <w:vAlign w:val="bottom"/>
          </w:tcPr>
          <w:p>
            <w:pPr>
              <w:spacing w:after="0"/>
              <w:rPr>
                <w:sz w:val="1"/>
                <w:szCs w:val="1"/>
                <w:color w:val="auto"/>
              </w:rPr>
            </w:pPr>
          </w:p>
        </w:tc>
      </w:tr>
      <w:tr>
        <w:trPr>
          <w:trHeight w:val="182"/>
        </w:trPr>
        <w:tc>
          <w:tcPr>
            <w:tcW w:w="50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EXPENSES:</w:t>
            </w: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Employee compensation and benefits</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9,526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10,268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28,993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32,053</w:t>
            </w:r>
          </w:p>
        </w:tc>
        <w:tc>
          <w:tcPr>
            <w:tcW w:w="0" w:type="dxa"/>
            <w:vAlign w:val="bottom"/>
          </w:tcPr>
          <w:p>
            <w:pPr>
              <w:spacing w:after="0"/>
              <w:rPr>
                <w:sz w:val="1"/>
                <w:szCs w:val="1"/>
                <w:color w:val="auto"/>
              </w:rPr>
            </w:pPr>
          </w:p>
        </w:tc>
      </w:tr>
      <w:tr>
        <w:trPr>
          <w:trHeight w:val="200"/>
        </w:trPr>
        <w:tc>
          <w:tcPr>
            <w:tcW w:w="50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Sales and marketing</w:t>
            </w: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1,326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892</w:t>
            </w:r>
          </w:p>
        </w:tc>
        <w:tc>
          <w:tcPr>
            <w:tcW w:w="0" w:type="dxa"/>
            <w:vAlign w:val="bottom"/>
          </w:tcPr>
          <w:p>
            <w:pPr>
              <w:spacing w:after="0"/>
              <w:rPr>
                <w:sz w:val="1"/>
                <w:szCs w:val="1"/>
                <w:color w:val="auto"/>
              </w:rPr>
            </w:pPr>
          </w:p>
        </w:tc>
      </w:tr>
      <w:tr>
        <w:trPr>
          <w:trHeight w:val="205"/>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Westwood mutual funds</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1,812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1,573</w:t>
            </w:r>
          </w:p>
        </w:tc>
        <w:tc>
          <w:tcPr>
            <w:tcW w:w="0" w:type="dxa"/>
            <w:vAlign w:val="bottom"/>
          </w:tcPr>
          <w:p>
            <w:pPr>
              <w:spacing w:after="0"/>
              <w:rPr>
                <w:sz w:val="1"/>
                <w:szCs w:val="1"/>
                <w:color w:val="auto"/>
              </w:rPr>
            </w:pPr>
          </w:p>
        </w:tc>
      </w:tr>
      <w:tr>
        <w:trPr>
          <w:trHeight w:val="200"/>
        </w:trPr>
        <w:tc>
          <w:tcPr>
            <w:tcW w:w="50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Information technology</w:t>
            </w: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2,170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1,937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5,934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6,190</w:t>
            </w:r>
          </w:p>
        </w:tc>
        <w:tc>
          <w:tcPr>
            <w:tcW w:w="0" w:type="dxa"/>
            <w:vAlign w:val="bottom"/>
          </w:tcPr>
          <w:p>
            <w:pPr>
              <w:spacing w:after="0"/>
              <w:rPr>
                <w:sz w:val="1"/>
                <w:szCs w:val="1"/>
                <w:color w:val="auto"/>
              </w:rPr>
            </w:pPr>
          </w:p>
        </w:tc>
      </w:tr>
      <w:tr>
        <w:trPr>
          <w:trHeight w:val="205"/>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Professional services</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4,655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3,471</w:t>
            </w:r>
          </w:p>
        </w:tc>
        <w:tc>
          <w:tcPr>
            <w:tcW w:w="0" w:type="dxa"/>
            <w:vAlign w:val="bottom"/>
          </w:tcPr>
          <w:p>
            <w:pPr>
              <w:spacing w:after="0"/>
              <w:rPr>
                <w:sz w:val="1"/>
                <w:szCs w:val="1"/>
                <w:color w:val="auto"/>
              </w:rPr>
            </w:pPr>
          </w:p>
        </w:tc>
      </w:tr>
      <w:tr>
        <w:trPr>
          <w:trHeight w:val="200"/>
        </w:trPr>
        <w:tc>
          <w:tcPr>
            <w:tcW w:w="5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2,182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1,779</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6,570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5,893</w:t>
            </w:r>
          </w:p>
        </w:tc>
        <w:tc>
          <w:tcPr>
            <w:tcW w:w="0" w:type="dxa"/>
            <w:vAlign w:val="bottom"/>
          </w:tcPr>
          <w:p>
            <w:pPr>
              <w:spacing w:after="0"/>
              <w:rPr>
                <w:sz w:val="1"/>
                <w:szCs w:val="1"/>
                <w:color w:val="auto"/>
              </w:rPr>
            </w:pPr>
          </w:p>
        </w:tc>
      </w:tr>
      <w:tr>
        <w:trPr>
          <w:trHeight w:val="198"/>
        </w:trPr>
        <w:tc>
          <w:tcPr>
            <w:tcW w:w="50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Total expenses</w:t>
            </w:r>
          </w:p>
        </w:tc>
        <w:tc>
          <w:tcPr>
            <w:tcW w:w="2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16,488</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15,816</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49,290</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50,072</w:t>
            </w:r>
          </w:p>
        </w:tc>
        <w:tc>
          <w:tcPr>
            <w:tcW w:w="0" w:type="dxa"/>
            <w:vAlign w:val="bottom"/>
          </w:tcPr>
          <w:p>
            <w:pPr>
              <w:spacing w:after="0"/>
              <w:rPr>
                <w:sz w:val="1"/>
                <w:szCs w:val="1"/>
                <w:color w:val="auto"/>
              </w:rPr>
            </w:pPr>
          </w:p>
        </w:tc>
      </w:tr>
      <w:tr>
        <w:trPr>
          <w:trHeight w:val="194"/>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Net operating income (loss)</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(1,082)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2,044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(1,065)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3,591</w:t>
            </w:r>
          </w:p>
        </w:tc>
        <w:tc>
          <w:tcPr>
            <w:tcW w:w="0" w:type="dxa"/>
            <w:vAlign w:val="bottom"/>
          </w:tcPr>
          <w:p>
            <w:pPr>
              <w:spacing w:after="0"/>
              <w:rPr>
                <w:sz w:val="1"/>
                <w:szCs w:val="1"/>
                <w:color w:val="auto"/>
              </w:rPr>
            </w:pPr>
          </w:p>
        </w:tc>
      </w:tr>
      <w:tr>
        <w:trPr>
          <w:trHeight w:val="198"/>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Realized gains on private investments</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8,371</w:t>
            </w:r>
          </w:p>
        </w:tc>
        <w:tc>
          <w:tcPr>
            <w:tcW w:w="0" w:type="dxa"/>
            <w:vAlign w:val="bottom"/>
          </w:tcPr>
          <w:p>
            <w:pPr>
              <w:spacing w:after="0"/>
              <w:rPr>
                <w:sz w:val="1"/>
                <w:szCs w:val="1"/>
                <w:color w:val="auto"/>
              </w:rPr>
            </w:pPr>
          </w:p>
        </w:tc>
      </w:tr>
      <w:tr>
        <w:trPr>
          <w:trHeight w:val="200"/>
        </w:trPr>
        <w:tc>
          <w:tcPr>
            <w:tcW w:w="50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Net change in unrealized appreciation (depreciation) on private investments</w:t>
            </w: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(2,124)</w:t>
            </w:r>
          </w:p>
        </w:tc>
        <w:tc>
          <w:tcPr>
            <w:tcW w:w="0" w:type="dxa"/>
            <w:vAlign w:val="bottom"/>
          </w:tcPr>
          <w:p>
            <w:pPr>
              <w:spacing w:after="0"/>
              <w:rPr>
                <w:sz w:val="1"/>
                <w:szCs w:val="1"/>
                <w:color w:val="auto"/>
              </w:rPr>
            </w:pPr>
          </w:p>
        </w:tc>
      </w:tr>
      <w:tr>
        <w:trPr>
          <w:trHeight w:val="205"/>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Net investment income</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93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562</w:t>
            </w:r>
          </w:p>
        </w:tc>
        <w:tc>
          <w:tcPr>
            <w:tcW w:w="0" w:type="dxa"/>
            <w:vAlign w:val="bottom"/>
          </w:tcPr>
          <w:p>
            <w:pPr>
              <w:spacing w:after="0"/>
              <w:rPr>
                <w:sz w:val="1"/>
                <w:szCs w:val="1"/>
                <w:color w:val="auto"/>
              </w:rPr>
            </w:pPr>
          </w:p>
        </w:tc>
      </w:tr>
      <w:tr>
        <w:trPr>
          <w:trHeight w:val="200"/>
        </w:trPr>
        <w:tc>
          <w:tcPr>
            <w:tcW w:w="5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5"/>
                <w:szCs w:val="15"/>
                <w:color w:val="auto"/>
              </w:rPr>
              <w:t>Other income</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198</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598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390</w:t>
            </w:r>
          </w:p>
        </w:tc>
        <w:tc>
          <w:tcPr>
            <w:tcW w:w="0" w:type="dxa"/>
            <w:vAlign w:val="bottom"/>
          </w:tcPr>
          <w:p>
            <w:pPr>
              <w:spacing w:after="0"/>
              <w:rPr>
                <w:sz w:val="1"/>
                <w:szCs w:val="1"/>
                <w:color w:val="auto"/>
              </w:rPr>
            </w:pPr>
          </w:p>
        </w:tc>
      </w:tr>
      <w:tr>
        <w:trPr>
          <w:trHeight w:val="198"/>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Income (loss) before income taxes</w:t>
            </w:r>
          </w:p>
        </w:tc>
        <w:tc>
          <w:tcPr>
            <w:tcW w:w="2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(1,021)</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2,360</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(885)</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10,790</w:t>
            </w:r>
          </w:p>
        </w:tc>
        <w:tc>
          <w:tcPr>
            <w:tcW w:w="0" w:type="dxa"/>
            <w:vAlign w:val="bottom"/>
          </w:tcPr>
          <w:p>
            <w:pPr>
              <w:spacing w:after="0"/>
              <w:rPr>
                <w:sz w:val="1"/>
                <w:szCs w:val="1"/>
                <w:color w:val="auto"/>
              </w:rPr>
            </w:pPr>
          </w:p>
        </w:tc>
      </w:tr>
      <w:tr>
        <w:trPr>
          <w:trHeight w:val="194"/>
        </w:trPr>
        <w:tc>
          <w:tcPr>
            <w:tcW w:w="5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5"/>
                <w:szCs w:val="15"/>
                <w:color w:val="auto"/>
              </w:rPr>
              <w:t>Income tax provision</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481</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618</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3,840</w:t>
            </w:r>
          </w:p>
        </w:tc>
        <w:tc>
          <w:tcPr>
            <w:tcW w:w="0" w:type="dxa"/>
            <w:vAlign w:val="bottom"/>
          </w:tcPr>
          <w:p>
            <w:pPr>
              <w:spacing w:after="0"/>
              <w:rPr>
                <w:sz w:val="1"/>
                <w:szCs w:val="1"/>
                <w:color w:val="auto"/>
              </w:rPr>
            </w:pPr>
          </w:p>
        </w:tc>
      </w:tr>
      <w:tr>
        <w:trPr>
          <w:trHeight w:val="196"/>
        </w:trPr>
        <w:tc>
          <w:tcPr>
            <w:tcW w:w="5080" w:type="dxa"/>
            <w:vAlign w:val="bottom"/>
            <w:tcBorders>
              <w:bottom w:val="single" w:sz="8" w:color="CCEEFF"/>
            </w:tcBorders>
            <w:shd w:val="clear" w:color="auto" w:fill="CCEEFF"/>
          </w:tcPr>
          <w:p>
            <w:pPr>
              <w:ind w:left="20"/>
              <w:spacing w:after="0" w:line="172" w:lineRule="exact"/>
              <w:rPr>
                <w:sz w:val="20"/>
                <w:szCs w:val="20"/>
                <w:color w:val="auto"/>
              </w:rPr>
            </w:pPr>
            <w:r>
              <w:rPr>
                <w:rFonts w:ascii="Times New Roman" w:cs="Times New Roman" w:eastAsia="Times New Roman" w:hAnsi="Times New Roman"/>
                <w:sz w:val="15"/>
                <w:szCs w:val="15"/>
                <w:b w:val="1"/>
                <w:bCs w:val="1"/>
                <w:color w:val="auto"/>
              </w:rPr>
              <w:t>Net income (loss)</w:t>
            </w:r>
          </w:p>
        </w:tc>
        <w:tc>
          <w:tcPr>
            <w:tcW w:w="260" w:type="dxa"/>
            <w:vAlign w:val="bottom"/>
            <w:tcBorders>
              <w:bottom w:val="single" w:sz="8" w:color="auto"/>
            </w:tcBorders>
            <w:shd w:val="clear" w:color="auto" w:fill="CCEEFF"/>
          </w:tcPr>
          <w:p>
            <w:pPr>
              <w:jc w:val="right"/>
              <w:ind w:right="84"/>
              <w:spacing w:after="0" w:line="172" w:lineRule="exact"/>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5"/>
                <w:szCs w:val="15"/>
                <w:color w:val="auto"/>
              </w:rPr>
              <w:t>(1,175)</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64"/>
              <w:spacing w:after="0" w:line="172" w:lineRule="exact"/>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5"/>
                <w:szCs w:val="15"/>
                <w:color w:val="auto"/>
              </w:rPr>
              <w:t>1,879</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4"/>
              <w:spacing w:after="0" w:line="172" w:lineRule="exact"/>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5"/>
                <w:szCs w:val="15"/>
                <w:color w:val="auto"/>
              </w:rPr>
              <w:t>(1,503)</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64"/>
              <w:spacing w:after="0" w:line="172" w:lineRule="exact"/>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5"/>
                <w:szCs w:val="15"/>
                <w:color w:val="auto"/>
              </w:rPr>
              <w:t>6,950</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Total comprehensive income (loss)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080" w:type="dxa"/>
            <w:vAlign w:val="bottom"/>
            <w:vMerge w:val="continue"/>
          </w:tcPr>
          <w:p>
            <w:pPr>
              <w:spacing w:after="0"/>
              <w:rPr>
                <w:sz w:val="15"/>
                <w:szCs w:val="15"/>
                <w:color w:val="auto"/>
              </w:rPr>
            </w:pPr>
          </w:p>
        </w:tc>
        <w:tc>
          <w:tcPr>
            <w:tcW w:w="26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(1,175)</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1,879</w:t>
            </w:r>
          </w:p>
        </w:tc>
        <w:tc>
          <w:tcPr>
            <w:tcW w:w="120" w:type="dxa"/>
            <w:vAlign w:val="bottom"/>
          </w:tcPr>
          <w:p>
            <w:pPr>
              <w:spacing w:after="0"/>
              <w:rPr>
                <w:sz w:val="15"/>
                <w:szCs w:val="15"/>
                <w:color w:val="auto"/>
              </w:rPr>
            </w:pPr>
          </w:p>
        </w:tc>
        <w:tc>
          <w:tcPr>
            <w:tcW w:w="26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(1,503)</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6,950</w:t>
            </w:r>
          </w:p>
        </w:tc>
        <w:tc>
          <w:tcPr>
            <w:tcW w:w="0" w:type="dxa"/>
            <w:vAlign w:val="bottom"/>
          </w:tcPr>
          <w:p>
            <w:pPr>
              <w:spacing w:after="0"/>
              <w:rPr>
                <w:sz w:val="1"/>
                <w:szCs w:val="1"/>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
        </w:trPr>
        <w:tc>
          <w:tcPr>
            <w:tcW w:w="50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50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Earnings (loss) per share:</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Basic</w:t>
            </w:r>
          </w:p>
        </w:tc>
        <w:tc>
          <w:tcPr>
            <w:tcW w:w="2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0.88</w:t>
            </w:r>
          </w:p>
        </w:tc>
        <w:tc>
          <w:tcPr>
            <w:tcW w:w="0" w:type="dxa"/>
            <w:vAlign w:val="bottom"/>
          </w:tcPr>
          <w:p>
            <w:pPr>
              <w:spacing w:after="0"/>
              <w:rPr>
                <w:sz w:val="1"/>
                <w:szCs w:val="1"/>
                <w:color w:val="auto"/>
              </w:rPr>
            </w:pPr>
          </w:p>
        </w:tc>
      </w:tr>
      <w:tr>
        <w:trPr>
          <w:trHeight w:val="200"/>
        </w:trPr>
        <w:tc>
          <w:tcPr>
            <w:tcW w:w="50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Diluted</w:t>
            </w: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(0.15)</w:t>
            </w:r>
          </w:p>
        </w:tc>
        <w:tc>
          <w:tcPr>
            <w:tcW w:w="100" w:type="dxa"/>
            <w:vAlign w:val="bottom"/>
          </w:tcPr>
          <w:p>
            <w:pPr>
              <w:spacing w:after="0"/>
              <w:rPr>
                <w:sz w:val="17"/>
                <w:szCs w:val="17"/>
                <w:color w:val="auto"/>
              </w:rPr>
            </w:pPr>
          </w:p>
        </w:tc>
        <w:tc>
          <w:tcPr>
            <w:tcW w:w="34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0.24</w:t>
            </w:r>
          </w:p>
        </w:tc>
        <w:tc>
          <w:tcPr>
            <w:tcW w:w="120" w:type="dxa"/>
            <w:vAlign w:val="bottom"/>
          </w:tcPr>
          <w:p>
            <w:pPr>
              <w:spacing w:after="0"/>
              <w:rPr>
                <w:sz w:val="17"/>
                <w:szCs w:val="17"/>
                <w:color w:val="auto"/>
              </w:rPr>
            </w:pP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(0.19)</w:t>
            </w:r>
          </w:p>
        </w:tc>
        <w:tc>
          <w:tcPr>
            <w:tcW w:w="100" w:type="dxa"/>
            <w:vAlign w:val="bottom"/>
          </w:tcPr>
          <w:p>
            <w:pPr>
              <w:spacing w:after="0"/>
              <w:rPr>
                <w:sz w:val="17"/>
                <w:szCs w:val="17"/>
                <w:color w:val="auto"/>
              </w:rPr>
            </w:pPr>
          </w:p>
        </w:tc>
        <w:tc>
          <w:tcPr>
            <w:tcW w:w="34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0.88</w:t>
            </w:r>
          </w:p>
        </w:tc>
        <w:tc>
          <w:tcPr>
            <w:tcW w:w="0" w:type="dxa"/>
            <w:vAlign w:val="bottom"/>
          </w:tcPr>
          <w:p>
            <w:pPr>
              <w:spacing w:after="0"/>
              <w:rPr>
                <w:sz w:val="1"/>
                <w:szCs w:val="1"/>
                <w:color w:val="auto"/>
              </w:rPr>
            </w:pPr>
          </w:p>
        </w:tc>
      </w:tr>
      <w:tr>
        <w:trPr>
          <w:trHeight w:val="205"/>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Weighted average shares outstanding:</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0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Basic</w:t>
            </w: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7,794,060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7,887,259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7,867,555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7,886,359</w:t>
            </w:r>
          </w:p>
        </w:tc>
        <w:tc>
          <w:tcPr>
            <w:tcW w:w="0" w:type="dxa"/>
            <w:vAlign w:val="bottom"/>
          </w:tcPr>
          <w:p>
            <w:pPr>
              <w:spacing w:after="0"/>
              <w:rPr>
                <w:sz w:val="1"/>
                <w:szCs w:val="1"/>
                <w:color w:val="auto"/>
              </w:rPr>
            </w:pPr>
          </w:p>
        </w:tc>
      </w:tr>
      <w:tr>
        <w:trPr>
          <w:trHeight w:val="205"/>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Diluted</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7,794,060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7,956,081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7,867,555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7,933,860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WESTWOOD HOLDINGS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2022 and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60" w:type="dxa"/>
            <w:vAlign w:val="bottom"/>
            <w:gridSpan w:val="8"/>
            <w:vMerge w:val="restart"/>
          </w:tcPr>
          <w:p>
            <w:pPr>
              <w:ind w:left="360"/>
              <w:spacing w:after="0"/>
              <w:rPr>
                <w:sz w:val="20"/>
                <w:szCs w:val="20"/>
                <w:color w:val="auto"/>
              </w:rPr>
            </w:pPr>
            <w:r>
              <w:rPr>
                <w:rFonts w:ascii="Times New Roman" w:cs="Times New Roman" w:eastAsia="Times New Roman" w:hAnsi="Times New Roman"/>
                <w:sz w:val="15"/>
                <w:szCs w:val="15"/>
                <w:b w:val="1"/>
                <w:bCs w:val="1"/>
                <w:color w:val="auto"/>
              </w:rPr>
              <w:t>Common Stock, Par</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3"/>
            <w:vMerge w:val="restart"/>
          </w:tcPr>
          <w:p>
            <w:pPr>
              <w:ind w:left="4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Treasury</w:t>
            </w:r>
          </w:p>
        </w:tc>
        <w:tc>
          <w:tcPr>
            <w:tcW w:w="40" w:type="dxa"/>
            <w:vAlign w:val="bottom"/>
          </w:tcPr>
          <w:p>
            <w:pPr>
              <w:spacing w:after="0"/>
              <w:rPr>
                <w:sz w:val="15"/>
                <w:szCs w:val="15"/>
                <w:color w:val="auto"/>
              </w:rPr>
            </w:pPr>
          </w:p>
        </w:tc>
        <w:tc>
          <w:tcPr>
            <w:tcW w:w="148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Retained Earnings</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60" w:type="dxa"/>
            <w:vAlign w:val="bottom"/>
            <w:gridSpan w:val="8"/>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3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3"/>
          </w:tcPr>
          <w:p>
            <w:pPr>
              <w:ind w:left="30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5"/>
          </w:tcPr>
          <w:p>
            <w:pPr>
              <w:ind w:left="40"/>
              <w:spacing w:after="0"/>
              <w:rPr>
                <w:sz w:val="20"/>
                <w:szCs w:val="20"/>
                <w:color w:val="auto"/>
              </w:rPr>
            </w:pPr>
            <w:r>
              <w:rPr>
                <w:rFonts w:ascii="Times New Roman" w:cs="Times New Roman" w:eastAsia="Times New Roman" w:hAnsi="Times New Roman"/>
                <w:sz w:val="15"/>
                <w:szCs w:val="15"/>
                <w:b w:val="1"/>
                <w:bCs w:val="1"/>
                <w:color w:val="auto"/>
              </w:rPr>
              <w:t>Paid-In Capital</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3"/>
          </w:tcPr>
          <w:p>
            <w:pPr>
              <w:ind w:left="140"/>
              <w:spacing w:after="0"/>
              <w:rPr>
                <w:sz w:val="20"/>
                <w:szCs w:val="20"/>
                <w:color w:val="auto"/>
              </w:rPr>
            </w:pPr>
            <w:r>
              <w:rPr>
                <w:rFonts w:ascii="Times New Roman" w:cs="Times New Roman" w:eastAsia="Times New Roman" w:hAnsi="Times New Roman"/>
                <w:sz w:val="15"/>
                <w:szCs w:val="15"/>
                <w:b w:val="1"/>
                <w:bCs w:val="1"/>
                <w:color w:val="auto"/>
              </w:rPr>
              <w:t>Stock</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200" w:type="dxa"/>
            <w:vAlign w:val="bottom"/>
          </w:tcPr>
          <w:p>
            <w:pPr>
              <w:spacing w:after="0"/>
              <w:rPr>
                <w:sz w:val="17"/>
                <w:szCs w:val="17"/>
                <w:color w:val="auto"/>
              </w:rPr>
            </w:pPr>
          </w:p>
        </w:tc>
        <w:tc>
          <w:tcPr>
            <w:tcW w:w="760" w:type="dxa"/>
            <w:vAlign w:val="bottom"/>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10"/>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June 30, 2022</w:t>
            </w: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8,511,014</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198,084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(83,970)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115,718</w:t>
            </w:r>
          </w:p>
        </w:tc>
        <w:tc>
          <w:tcPr>
            <w:tcW w:w="0" w:type="dxa"/>
            <w:vAlign w:val="bottom"/>
          </w:tcPr>
          <w:p>
            <w:pPr>
              <w:spacing w:after="0"/>
              <w:rPr>
                <w:sz w:val="1"/>
                <w:szCs w:val="1"/>
                <w:color w:val="auto"/>
              </w:rPr>
            </w:pPr>
          </w:p>
        </w:tc>
      </w:tr>
      <w:tr>
        <w:trPr>
          <w:trHeight w:val="213"/>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0" w:type="dxa"/>
            <w:vAlign w:val="bottom"/>
          </w:tcPr>
          <w:p>
            <w:pPr>
              <w:spacing w:after="0"/>
              <w:rPr>
                <w:sz w:val="18"/>
                <w:szCs w:val="18"/>
                <w:color w:val="auto"/>
              </w:rPr>
            </w:pP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(1,175)</w:t>
            </w:r>
          </w:p>
        </w:tc>
        <w:tc>
          <w:tcPr>
            <w:tcW w:w="0" w:type="dxa"/>
            <w:vAlign w:val="bottom"/>
          </w:tcPr>
          <w:p>
            <w:pPr>
              <w:spacing w:after="0"/>
              <w:rPr>
                <w:sz w:val="1"/>
                <w:szCs w:val="1"/>
                <w:color w:val="auto"/>
              </w:rPr>
            </w:pPr>
          </w:p>
        </w:tc>
      </w:tr>
      <w:tr>
        <w:trPr>
          <w:trHeight w:val="21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restricted stock, net of forfeitures</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declared ($0.15 per share)</w:t>
            </w:r>
          </w:p>
        </w:tc>
        <w:tc>
          <w:tcPr>
            <w:tcW w:w="20" w:type="dxa"/>
            <w:vAlign w:val="bottom"/>
          </w:tcPr>
          <w:p>
            <w:pPr>
              <w:spacing w:after="0"/>
              <w:rPr>
                <w:sz w:val="18"/>
                <w:szCs w:val="18"/>
                <w:color w:val="auto"/>
              </w:rPr>
            </w:pP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(1,288)</w:t>
            </w:r>
          </w:p>
        </w:tc>
        <w:tc>
          <w:tcPr>
            <w:tcW w:w="0" w:type="dxa"/>
            <w:vAlign w:val="bottom"/>
          </w:tcPr>
          <w:p>
            <w:pPr>
              <w:spacing w:after="0"/>
              <w:rPr>
                <w:sz w:val="1"/>
                <w:szCs w:val="1"/>
                <w:color w:val="auto"/>
              </w:rPr>
            </w:pPr>
          </w:p>
        </w:tc>
      </w:tr>
      <w:tr>
        <w:trPr>
          <w:trHeight w:val="21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1,509</w:t>
            </w:r>
          </w:p>
        </w:tc>
        <w:tc>
          <w:tcPr>
            <w:tcW w:w="0" w:type="dxa"/>
            <w:vAlign w:val="bottom"/>
          </w:tcPr>
          <w:p>
            <w:pPr>
              <w:spacing w:after="0"/>
              <w:rPr>
                <w:sz w:val="1"/>
                <w:szCs w:val="1"/>
                <w:color w:val="auto"/>
              </w:rPr>
            </w:pPr>
          </w:p>
        </w:tc>
      </w:tr>
      <w:tr>
        <w:trPr>
          <w:trHeight w:val="213"/>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treasury stock</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(99,444)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(1,257)</w:t>
            </w:r>
          </w:p>
        </w:tc>
        <w:tc>
          <w:tcPr>
            <w:tcW w:w="0" w:type="dxa"/>
            <w:vAlign w:val="bottom"/>
          </w:tcPr>
          <w:p>
            <w:pPr>
              <w:spacing w:after="0"/>
              <w:rPr>
                <w:sz w:val="1"/>
                <w:szCs w:val="1"/>
                <w:color w:val="auto"/>
              </w:rPr>
            </w:pPr>
          </w:p>
        </w:tc>
      </w:tr>
      <w:tr>
        <w:trPr>
          <w:trHeight w:val="234"/>
        </w:trPr>
        <w:tc>
          <w:tcPr>
            <w:tcW w:w="4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September 30, 2022</w:t>
            </w:r>
          </w:p>
        </w:tc>
        <w:tc>
          <w:tcPr>
            <w:tcW w:w="10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8,410,659</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199,594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(85,227)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113,507</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3"/>
        </w:trPr>
        <w:tc>
          <w:tcPr>
            <w:tcW w:w="4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60" w:type="dxa"/>
            <w:vAlign w:val="bottom"/>
            <w:gridSpan w:val="8"/>
          </w:tcPr>
          <w:p>
            <w:pPr>
              <w:ind w:left="380"/>
              <w:spacing w:after="0"/>
              <w:rPr>
                <w:sz w:val="20"/>
                <w:szCs w:val="20"/>
                <w:color w:val="auto"/>
              </w:rPr>
            </w:pPr>
            <w:r>
              <w:rPr>
                <w:rFonts w:ascii="Times New Roman" w:cs="Times New Roman" w:eastAsia="Times New Roman" w:hAnsi="Times New Roman"/>
                <w:sz w:val="15"/>
                <w:szCs w:val="15"/>
                <w:b w:val="1"/>
                <w:bCs w:val="1"/>
                <w:color w:val="auto"/>
              </w:rPr>
              <w:t>Common Stock, Par</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Treasury</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Borders>
              <w:top w:val="single" w:sz="8" w:color="auto"/>
            </w:tcBorders>
            <w:gridSpan w:val="3"/>
          </w:tcPr>
          <w:p>
            <w:pPr>
              <w:ind w:left="32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gridSpan w:val="4"/>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Paid-In Capital</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3"/>
          </w:tcPr>
          <w:p>
            <w:pPr>
              <w:ind w:left="160"/>
              <w:spacing w:after="0"/>
              <w:rPr>
                <w:sz w:val="20"/>
                <w:szCs w:val="20"/>
                <w:color w:val="auto"/>
              </w:rPr>
            </w:pPr>
            <w:r>
              <w:rPr>
                <w:rFonts w:ascii="Times New Roman" w:cs="Times New Roman" w:eastAsia="Times New Roman" w:hAnsi="Times New Roman"/>
                <w:sz w:val="15"/>
                <w:szCs w:val="15"/>
                <w:b w:val="1"/>
                <w:bCs w:val="1"/>
                <w:color w:val="auto"/>
              </w:rPr>
              <w:t>Stock</w:t>
            </w:r>
          </w:p>
        </w:tc>
        <w:tc>
          <w:tcPr>
            <w:tcW w:w="40" w:type="dxa"/>
            <w:vAlign w:val="bottom"/>
          </w:tcPr>
          <w:p>
            <w:pPr>
              <w:spacing w:after="0"/>
              <w:rPr>
                <w:sz w:val="17"/>
                <w:szCs w:val="17"/>
                <w:color w:val="auto"/>
              </w:rPr>
            </w:pPr>
          </w:p>
        </w:tc>
        <w:tc>
          <w:tcPr>
            <w:tcW w:w="148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Retained Earnings</w:t>
            </w:r>
          </w:p>
        </w:tc>
        <w:tc>
          <w:tcPr>
            <w:tcW w:w="200" w:type="dxa"/>
            <w:vAlign w:val="bottom"/>
          </w:tcPr>
          <w:p>
            <w:pPr>
              <w:spacing w:after="0"/>
              <w:rPr>
                <w:sz w:val="17"/>
                <w:szCs w:val="17"/>
                <w:color w:val="auto"/>
              </w:rPr>
            </w:pPr>
          </w:p>
        </w:tc>
        <w:tc>
          <w:tcPr>
            <w:tcW w:w="760" w:type="dxa"/>
            <w:vAlign w:val="bottom"/>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10"/>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June 30, 2021</w:t>
            </w:r>
          </w:p>
        </w:tc>
        <w:tc>
          <w:tcPr>
            <w:tcW w:w="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8,324,702</w:t>
            </w: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213,362</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(80,551)</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134,676</w:t>
            </w:r>
          </w:p>
        </w:tc>
        <w:tc>
          <w:tcPr>
            <w:tcW w:w="0" w:type="dxa"/>
            <w:vAlign w:val="bottom"/>
          </w:tcPr>
          <w:p>
            <w:pPr>
              <w:spacing w:after="0"/>
              <w:rPr>
                <w:sz w:val="1"/>
                <w:szCs w:val="1"/>
                <w:color w:val="auto"/>
              </w:rPr>
            </w:pPr>
          </w:p>
        </w:tc>
      </w:tr>
      <w:tr>
        <w:trPr>
          <w:trHeight w:val="213"/>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 w:type="dxa"/>
            <w:vAlign w:val="bottom"/>
          </w:tcPr>
          <w:p>
            <w:pPr>
              <w:spacing w:after="0"/>
              <w:rPr>
                <w:sz w:val="18"/>
                <w:szCs w:val="18"/>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1,879</w:t>
            </w:r>
          </w:p>
        </w:tc>
        <w:tc>
          <w:tcPr>
            <w:tcW w:w="0" w:type="dxa"/>
            <w:vAlign w:val="bottom"/>
          </w:tcPr>
          <w:p>
            <w:pPr>
              <w:spacing w:after="0"/>
              <w:rPr>
                <w:sz w:val="1"/>
                <w:szCs w:val="1"/>
                <w:color w:val="auto"/>
              </w:rPr>
            </w:pPr>
          </w:p>
        </w:tc>
      </w:tr>
      <w:tr>
        <w:trPr>
          <w:trHeight w:val="21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restricted stock, net of forfeitures</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(2,336)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Return of capital ($2.50 per share)</w:t>
            </w:r>
          </w:p>
        </w:tc>
        <w:tc>
          <w:tcPr>
            <w:tcW w:w="20" w:type="dxa"/>
            <w:vAlign w:val="bottom"/>
          </w:tcPr>
          <w:p>
            <w:pPr>
              <w:spacing w:after="0"/>
              <w:rPr>
                <w:sz w:val="18"/>
                <w:szCs w:val="18"/>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(20,823)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(20,823)</w:t>
            </w:r>
          </w:p>
        </w:tc>
        <w:tc>
          <w:tcPr>
            <w:tcW w:w="0" w:type="dxa"/>
            <w:vAlign w:val="bottom"/>
          </w:tcPr>
          <w:p>
            <w:pPr>
              <w:spacing w:after="0"/>
              <w:rPr>
                <w:sz w:val="1"/>
                <w:szCs w:val="1"/>
                <w:color w:val="auto"/>
              </w:rPr>
            </w:pPr>
          </w:p>
        </w:tc>
      </w:tr>
      <w:tr>
        <w:trPr>
          <w:trHeight w:val="21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declared ($0.10 per share)</w:t>
            </w:r>
          </w:p>
        </w:tc>
        <w:tc>
          <w:tcPr>
            <w:tcW w:w="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w:t>
            </w:r>
          </w:p>
        </w:tc>
        <w:tc>
          <w:tcPr>
            <w:tcW w:w="0" w:type="dxa"/>
            <w:vAlign w:val="bottom"/>
          </w:tcPr>
          <w:p>
            <w:pPr>
              <w:spacing w:after="0"/>
              <w:rPr>
                <w:sz w:val="1"/>
                <w:szCs w:val="1"/>
                <w:color w:val="auto"/>
              </w:rPr>
            </w:pPr>
          </w:p>
        </w:tc>
      </w:tr>
      <w:tr>
        <w:trPr>
          <w:trHeight w:val="213"/>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0" w:type="dxa"/>
            <w:vAlign w:val="bottom"/>
          </w:tcPr>
          <w:p>
            <w:pPr>
              <w:spacing w:after="0"/>
              <w:rPr>
                <w:sz w:val="18"/>
                <w:szCs w:val="18"/>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1,362</w:t>
            </w:r>
          </w:p>
        </w:tc>
        <w:tc>
          <w:tcPr>
            <w:tcW w:w="0" w:type="dxa"/>
            <w:vAlign w:val="bottom"/>
          </w:tcPr>
          <w:p>
            <w:pPr>
              <w:spacing w:after="0"/>
              <w:rPr>
                <w:sz w:val="1"/>
                <w:szCs w:val="1"/>
                <w:color w:val="auto"/>
              </w:rPr>
            </w:pPr>
          </w:p>
        </w:tc>
      </w:tr>
      <w:tr>
        <w:trPr>
          <w:trHeight w:val="21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treasury stock</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(25,502)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(499)</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0" w:type="dxa"/>
            <w:vAlign w:val="bottom"/>
          </w:tcPr>
          <w:p>
            <w:pPr>
              <w:spacing w:after="0"/>
              <w:rPr>
                <w:sz w:val="1"/>
                <w:szCs w:val="1"/>
                <w:color w:val="auto"/>
              </w:rPr>
            </w:pPr>
          </w:p>
        </w:tc>
      </w:tr>
      <w:tr>
        <w:trPr>
          <w:trHeight w:val="207"/>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September 30, 2021</w:t>
            </w:r>
          </w:p>
        </w:tc>
        <w:tc>
          <w:tcPr>
            <w:tcW w:w="2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8,296,864</w:t>
            </w:r>
          </w:p>
        </w:tc>
        <w:tc>
          <w:tcPr>
            <w:tcW w:w="4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193,901</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(81,050)</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2,769</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115,728</w:t>
            </w:r>
          </w:p>
        </w:tc>
        <w:tc>
          <w:tcPr>
            <w:tcW w:w="0" w:type="dxa"/>
            <w:vAlign w:val="bottom"/>
          </w:tcPr>
          <w:p>
            <w:pPr>
              <w:spacing w:after="0"/>
              <w:rPr>
                <w:sz w:val="1"/>
                <w:szCs w:val="1"/>
                <w:color w:val="auto"/>
              </w:rPr>
            </w:pPr>
          </w:p>
        </w:tc>
      </w:tr>
      <w:tr>
        <w:trPr>
          <w:trHeight w:val="23"/>
        </w:trPr>
        <w:tc>
          <w:tcPr>
            <w:tcW w:w="4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WESTWOOD HOLDINGS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2022 and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340" w:type="dxa"/>
            <w:vAlign w:val="bottom"/>
          </w:tcPr>
          <w:p>
            <w:pPr>
              <w:spacing w:after="0"/>
              <w:rPr>
                <w:sz w:val="15"/>
                <w:szCs w:val="15"/>
                <w:color w:val="auto"/>
              </w:rPr>
            </w:pPr>
          </w:p>
        </w:tc>
        <w:tc>
          <w:tcPr>
            <w:tcW w:w="2180" w:type="dxa"/>
            <w:vAlign w:val="bottom"/>
            <w:gridSpan w:val="5"/>
            <w:vMerge w:val="restart"/>
          </w:tcPr>
          <w:p>
            <w:pPr>
              <w:ind w:left="380"/>
              <w:spacing w:after="0"/>
              <w:rPr>
                <w:sz w:val="20"/>
                <w:szCs w:val="20"/>
                <w:color w:val="auto"/>
              </w:rPr>
            </w:pPr>
            <w:r>
              <w:rPr>
                <w:rFonts w:ascii="Times New Roman" w:cs="Times New Roman" w:eastAsia="Times New Roman" w:hAnsi="Times New Roman"/>
                <w:sz w:val="15"/>
                <w:szCs w:val="15"/>
                <w:b w:val="1"/>
                <w:bCs w:val="1"/>
                <w:color w:val="auto"/>
              </w:rPr>
              <w:t>Common Stock, Par</w:t>
            </w:r>
          </w:p>
        </w:tc>
        <w:tc>
          <w:tcPr>
            <w:tcW w:w="160" w:type="dxa"/>
            <w:vAlign w:val="bottom"/>
          </w:tcPr>
          <w:p>
            <w:pPr>
              <w:spacing w:after="0"/>
              <w:rPr>
                <w:sz w:val="15"/>
                <w:szCs w:val="15"/>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40" w:type="dxa"/>
            <w:vAlign w:val="bottom"/>
          </w:tcPr>
          <w:p>
            <w:pPr>
              <w:spacing w:after="0"/>
              <w:rPr>
                <w:sz w:val="15"/>
                <w:szCs w:val="15"/>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Treasury</w:t>
            </w:r>
          </w:p>
        </w:tc>
        <w:tc>
          <w:tcPr>
            <w:tcW w:w="152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Retained Earnings</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218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340" w:type="dxa"/>
            <w:vAlign w:val="bottom"/>
          </w:tcPr>
          <w:p>
            <w:pPr>
              <w:spacing w:after="0"/>
              <w:rPr>
                <w:sz w:val="17"/>
                <w:szCs w:val="17"/>
                <w:color w:val="auto"/>
              </w:rPr>
            </w:pPr>
          </w:p>
        </w:tc>
        <w:tc>
          <w:tcPr>
            <w:tcW w:w="118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00" w:type="dxa"/>
            <w:vAlign w:val="bottom"/>
          </w:tcPr>
          <w:p>
            <w:pPr>
              <w:spacing w:after="0"/>
              <w:rPr>
                <w:sz w:val="17"/>
                <w:szCs w:val="17"/>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Paid-In Capital</w:t>
            </w:r>
          </w:p>
        </w:tc>
        <w:tc>
          <w:tcPr>
            <w:tcW w:w="14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Stock</w:t>
            </w: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200" w:type="dxa"/>
            <w:vAlign w:val="bottom"/>
          </w:tcPr>
          <w:p>
            <w:pPr>
              <w:spacing w:after="0"/>
              <w:rPr>
                <w:sz w:val="17"/>
                <w:szCs w:val="17"/>
                <w:color w:val="auto"/>
              </w:rPr>
            </w:pPr>
          </w:p>
        </w:tc>
        <w:tc>
          <w:tcPr>
            <w:tcW w:w="760" w:type="dxa"/>
            <w:vAlign w:val="bottom"/>
          </w:tcPr>
          <w:p>
            <w:pPr>
              <w:jc w:val="right"/>
              <w:ind w:right="239"/>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10"/>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December 31, 2021</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8,253,491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195,187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(81,750)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117,906</w:t>
            </w:r>
          </w:p>
        </w:tc>
        <w:tc>
          <w:tcPr>
            <w:tcW w:w="0" w:type="dxa"/>
            <w:vAlign w:val="bottom"/>
          </w:tcPr>
          <w:p>
            <w:pPr>
              <w:spacing w:after="0"/>
              <w:rPr>
                <w:sz w:val="1"/>
                <w:szCs w:val="1"/>
                <w:color w:val="auto"/>
              </w:rPr>
            </w:pPr>
          </w:p>
        </w:tc>
      </w:tr>
      <w:tr>
        <w:trPr>
          <w:trHeight w:val="213"/>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(1,503)</w:t>
            </w:r>
          </w:p>
        </w:tc>
        <w:tc>
          <w:tcPr>
            <w:tcW w:w="0" w:type="dxa"/>
            <w:vAlign w:val="bottom"/>
          </w:tcPr>
          <w:p>
            <w:pPr>
              <w:spacing w:after="0"/>
              <w:rPr>
                <w:sz w:val="1"/>
                <w:szCs w:val="1"/>
                <w:color w:val="auto"/>
              </w:rPr>
            </w:pPr>
          </w:p>
        </w:tc>
      </w:tr>
      <w:tr>
        <w:trPr>
          <w:trHeight w:val="21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restricted stock, net of forfeitures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400,292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declared ($0.45 per share)</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(3,829)</w:t>
            </w:r>
          </w:p>
        </w:tc>
        <w:tc>
          <w:tcPr>
            <w:tcW w:w="0" w:type="dxa"/>
            <w:vAlign w:val="bottom"/>
          </w:tcPr>
          <w:p>
            <w:pPr>
              <w:spacing w:after="0"/>
              <w:rPr>
                <w:sz w:val="1"/>
                <w:szCs w:val="1"/>
                <w:color w:val="auto"/>
              </w:rPr>
            </w:pPr>
          </w:p>
        </w:tc>
      </w:tr>
      <w:tr>
        <w:trPr>
          <w:trHeight w:val="21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4,410</w:t>
            </w:r>
          </w:p>
        </w:tc>
        <w:tc>
          <w:tcPr>
            <w:tcW w:w="0" w:type="dxa"/>
            <w:vAlign w:val="bottom"/>
          </w:tcPr>
          <w:p>
            <w:pPr>
              <w:spacing w:after="0"/>
              <w:rPr>
                <w:sz w:val="1"/>
                <w:szCs w:val="1"/>
                <w:color w:val="auto"/>
              </w:rPr>
            </w:pPr>
          </w:p>
        </w:tc>
      </w:tr>
      <w:tr>
        <w:trPr>
          <w:trHeight w:val="213"/>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treasury stock</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(205,521)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(2,851)</w:t>
            </w:r>
          </w:p>
        </w:tc>
        <w:tc>
          <w:tcPr>
            <w:tcW w:w="0" w:type="dxa"/>
            <w:vAlign w:val="bottom"/>
          </w:tcPr>
          <w:p>
            <w:pPr>
              <w:spacing w:after="0"/>
              <w:rPr>
                <w:sz w:val="1"/>
                <w:szCs w:val="1"/>
                <w:color w:val="auto"/>
              </w:rPr>
            </w:pPr>
          </w:p>
        </w:tc>
      </w:tr>
      <w:tr>
        <w:trPr>
          <w:trHeight w:val="21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returned for payment of taxes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0" w:type="dxa"/>
            <w:vAlign w:val="bottom"/>
          </w:tcPr>
          <w:p>
            <w:pPr>
              <w:spacing w:after="0"/>
              <w:rPr>
                <w:sz w:val="1"/>
                <w:szCs w:val="1"/>
                <w:color w:val="auto"/>
              </w:rPr>
            </w:pPr>
          </w:p>
        </w:tc>
      </w:tr>
      <w:tr>
        <w:trPr>
          <w:trHeight w:val="207"/>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September 30, 2022</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8,410,659</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199,594</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(85,227)</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(970)</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113,507</w:t>
            </w:r>
          </w:p>
        </w:tc>
        <w:tc>
          <w:tcPr>
            <w:tcW w:w="0" w:type="dxa"/>
            <w:vAlign w:val="bottom"/>
          </w:tcPr>
          <w:p>
            <w:pPr>
              <w:spacing w:after="0"/>
              <w:rPr>
                <w:sz w:val="1"/>
                <w:szCs w:val="1"/>
                <w:color w:val="auto"/>
              </w:rPr>
            </w:pPr>
          </w:p>
        </w:tc>
      </w:tr>
      <w:tr>
        <w:trPr>
          <w:trHeight w:val="23"/>
        </w:trPr>
        <w:tc>
          <w:tcPr>
            <w:tcW w:w="43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42"/>
        </w:trPr>
        <w:tc>
          <w:tcPr>
            <w:tcW w:w="4340" w:type="dxa"/>
            <w:vAlign w:val="bottom"/>
          </w:tcPr>
          <w:p>
            <w:pPr>
              <w:spacing w:after="0"/>
              <w:rPr>
                <w:sz w:val="24"/>
                <w:szCs w:val="24"/>
                <w:color w:val="auto"/>
              </w:rPr>
            </w:pPr>
          </w:p>
        </w:tc>
        <w:tc>
          <w:tcPr>
            <w:tcW w:w="2180" w:type="dxa"/>
            <w:vAlign w:val="bottom"/>
            <w:gridSpan w:val="5"/>
            <w:vMerge w:val="restart"/>
          </w:tcPr>
          <w:p>
            <w:pPr>
              <w:ind w:left="380"/>
              <w:spacing w:after="0"/>
              <w:rPr>
                <w:sz w:val="20"/>
                <w:szCs w:val="20"/>
                <w:color w:val="auto"/>
              </w:rPr>
            </w:pPr>
            <w:r>
              <w:rPr>
                <w:rFonts w:ascii="Times New Roman" w:cs="Times New Roman" w:eastAsia="Times New Roman" w:hAnsi="Times New Roman"/>
                <w:sz w:val="15"/>
                <w:szCs w:val="15"/>
                <w:b w:val="1"/>
                <w:bCs w:val="1"/>
                <w:color w:val="auto"/>
              </w:rPr>
              <w:t>Common Stock, Par</w:t>
            </w:r>
          </w:p>
        </w:tc>
        <w:tc>
          <w:tcPr>
            <w:tcW w:w="160" w:type="dxa"/>
            <w:vAlign w:val="bottom"/>
          </w:tcPr>
          <w:p>
            <w:pPr>
              <w:spacing w:after="0"/>
              <w:rPr>
                <w:sz w:val="24"/>
                <w:szCs w:val="24"/>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40" w:type="dxa"/>
            <w:vAlign w:val="bottom"/>
          </w:tcPr>
          <w:p>
            <w:pPr>
              <w:spacing w:after="0"/>
              <w:rPr>
                <w:sz w:val="24"/>
                <w:szCs w:val="24"/>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Treasury</w:t>
            </w:r>
          </w:p>
        </w:tc>
        <w:tc>
          <w:tcPr>
            <w:tcW w:w="152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Retained Earnings</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218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340" w:type="dxa"/>
            <w:vAlign w:val="bottom"/>
          </w:tcPr>
          <w:p>
            <w:pPr>
              <w:spacing w:after="0"/>
              <w:rPr>
                <w:sz w:val="17"/>
                <w:szCs w:val="17"/>
                <w:color w:val="auto"/>
              </w:rPr>
            </w:pPr>
          </w:p>
        </w:tc>
        <w:tc>
          <w:tcPr>
            <w:tcW w:w="118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00" w:type="dxa"/>
            <w:vAlign w:val="bottom"/>
          </w:tcPr>
          <w:p>
            <w:pPr>
              <w:spacing w:after="0"/>
              <w:rPr>
                <w:sz w:val="17"/>
                <w:szCs w:val="17"/>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Paid-In Capital</w:t>
            </w:r>
          </w:p>
        </w:tc>
        <w:tc>
          <w:tcPr>
            <w:tcW w:w="14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Stock</w:t>
            </w: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200" w:type="dxa"/>
            <w:vAlign w:val="bottom"/>
          </w:tcPr>
          <w:p>
            <w:pPr>
              <w:spacing w:after="0"/>
              <w:rPr>
                <w:sz w:val="17"/>
                <w:szCs w:val="17"/>
                <w:color w:val="auto"/>
              </w:rPr>
            </w:pPr>
          </w:p>
        </w:tc>
        <w:tc>
          <w:tcPr>
            <w:tcW w:w="760" w:type="dxa"/>
            <w:vAlign w:val="bottom"/>
          </w:tcPr>
          <w:p>
            <w:pPr>
              <w:jc w:val="right"/>
              <w:ind w:right="239"/>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10"/>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December 31, 2020</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8,326,948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210,268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(77,967)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130,711</w:t>
            </w:r>
          </w:p>
        </w:tc>
        <w:tc>
          <w:tcPr>
            <w:tcW w:w="0" w:type="dxa"/>
            <w:vAlign w:val="bottom"/>
          </w:tcPr>
          <w:p>
            <w:pPr>
              <w:spacing w:after="0"/>
              <w:rPr>
                <w:sz w:val="1"/>
                <w:szCs w:val="1"/>
                <w:color w:val="auto"/>
              </w:rPr>
            </w:pPr>
          </w:p>
        </w:tc>
      </w:tr>
      <w:tr>
        <w:trPr>
          <w:trHeight w:val="213"/>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6,950</w:t>
            </w:r>
          </w:p>
        </w:tc>
        <w:tc>
          <w:tcPr>
            <w:tcW w:w="0" w:type="dxa"/>
            <w:vAlign w:val="bottom"/>
          </w:tcPr>
          <w:p>
            <w:pPr>
              <w:spacing w:after="0"/>
              <w:rPr>
                <w:sz w:val="1"/>
                <w:szCs w:val="1"/>
                <w:color w:val="auto"/>
              </w:rPr>
            </w:pPr>
          </w:p>
        </w:tc>
      </w:tr>
      <w:tr>
        <w:trPr>
          <w:trHeight w:val="21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restricted stock, net of forfeitures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158,134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Return of capital ($2.50 per share)</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(20,823)</w:t>
            </w:r>
          </w:p>
        </w:tc>
        <w:tc>
          <w:tcPr>
            <w:tcW w:w="0" w:type="dxa"/>
            <w:vAlign w:val="bottom"/>
          </w:tcPr>
          <w:p>
            <w:pPr>
              <w:spacing w:after="0"/>
              <w:rPr>
                <w:sz w:val="1"/>
                <w:szCs w:val="1"/>
                <w:color w:val="auto"/>
              </w:rPr>
            </w:pPr>
          </w:p>
        </w:tc>
      </w:tr>
      <w:tr>
        <w:trPr>
          <w:trHeight w:val="21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declared ($0.30 per share)</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(2,486)</w:t>
            </w:r>
          </w:p>
        </w:tc>
        <w:tc>
          <w:tcPr>
            <w:tcW w:w="0" w:type="dxa"/>
            <w:vAlign w:val="bottom"/>
          </w:tcPr>
          <w:p>
            <w:pPr>
              <w:spacing w:after="0"/>
              <w:rPr>
                <w:sz w:val="1"/>
                <w:szCs w:val="1"/>
                <w:color w:val="auto"/>
              </w:rPr>
            </w:pPr>
          </w:p>
        </w:tc>
      </w:tr>
      <w:tr>
        <w:trPr>
          <w:trHeight w:val="213"/>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4,459</w:t>
            </w:r>
          </w:p>
        </w:tc>
        <w:tc>
          <w:tcPr>
            <w:tcW w:w="0" w:type="dxa"/>
            <w:vAlign w:val="bottom"/>
          </w:tcPr>
          <w:p>
            <w:pPr>
              <w:spacing w:after="0"/>
              <w:rPr>
                <w:sz w:val="1"/>
                <w:szCs w:val="1"/>
                <w:color w:val="auto"/>
              </w:rPr>
            </w:pPr>
          </w:p>
        </w:tc>
      </w:tr>
      <w:tr>
        <w:trPr>
          <w:trHeight w:val="21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treasury stock</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(136,859)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(2,199)</w:t>
            </w:r>
          </w:p>
        </w:tc>
        <w:tc>
          <w:tcPr>
            <w:tcW w:w="0" w:type="dxa"/>
            <w:vAlign w:val="bottom"/>
          </w:tcPr>
          <w:p>
            <w:pPr>
              <w:spacing w:after="0"/>
              <w:rPr>
                <w:sz w:val="1"/>
                <w:szCs w:val="1"/>
                <w:color w:val="auto"/>
              </w:rPr>
            </w:pPr>
          </w:p>
        </w:tc>
      </w:tr>
      <w:tr>
        <w:trPr>
          <w:trHeight w:val="213"/>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 returned for payment of taxes</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w:t>
            </w:r>
          </w:p>
        </w:tc>
        <w:tc>
          <w:tcPr>
            <w:tcW w:w="0" w:type="dxa"/>
            <w:vAlign w:val="bottom"/>
          </w:tcPr>
          <w:p>
            <w:pPr>
              <w:spacing w:after="0"/>
              <w:rPr>
                <w:sz w:val="1"/>
                <w:szCs w:val="1"/>
                <w:color w:val="auto"/>
              </w:rPr>
            </w:pPr>
          </w:p>
        </w:tc>
      </w:tr>
      <w:tr>
        <w:trPr>
          <w:trHeight w:val="235"/>
        </w:trPr>
        <w:tc>
          <w:tcPr>
            <w:tcW w:w="4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September 30, 2021</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8,296,864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193,901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115,728</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WESTWOOD HOLDINGS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940" w:type="dxa"/>
            <w:vAlign w:val="bottom"/>
          </w:tcPr>
          <w:p>
            <w:pPr>
              <w:spacing w:after="0"/>
              <w:rPr>
                <w:sz w:val="17"/>
                <w:szCs w:val="17"/>
                <w:color w:val="auto"/>
              </w:rPr>
            </w:pPr>
          </w:p>
        </w:tc>
        <w:tc>
          <w:tcPr>
            <w:tcW w:w="2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5"/>
                <w:szCs w:val="15"/>
                <w:b w:val="1"/>
                <w:bCs w:val="1"/>
                <w:color w:val="auto"/>
              </w:rPr>
              <w:t>Nine Months Ended September 30,</w:t>
            </w:r>
          </w:p>
        </w:tc>
        <w:tc>
          <w:tcPr>
            <w:tcW w:w="480" w:type="dxa"/>
            <w:vAlign w:val="bottom"/>
            <w:tcBorders>
              <w:bottom w:val="single" w:sz="8" w:color="auto"/>
            </w:tcBorders>
          </w:tcPr>
          <w:p>
            <w:pPr>
              <w:spacing w:after="0"/>
              <w:rPr>
                <w:sz w:val="17"/>
                <w:szCs w:val="17"/>
                <w:color w:val="auto"/>
              </w:rPr>
            </w:pPr>
          </w:p>
        </w:tc>
      </w:tr>
      <w:tr>
        <w:trPr>
          <w:trHeight w:val="200"/>
        </w:trPr>
        <w:tc>
          <w:tcPr>
            <w:tcW w:w="794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2022</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5"/>
                <w:szCs w:val="15"/>
                <w:b w:val="1"/>
                <w:bCs w:val="1"/>
                <w:color w:val="auto"/>
              </w:rPr>
              <w:t>2021</w:t>
            </w:r>
          </w:p>
        </w:tc>
        <w:tc>
          <w:tcPr>
            <w:tcW w:w="480" w:type="dxa"/>
            <w:vAlign w:val="bottom"/>
            <w:tcBorders>
              <w:bottom w:val="single" w:sz="8" w:color="auto"/>
            </w:tcBorders>
          </w:tcPr>
          <w:p>
            <w:pPr>
              <w:spacing w:after="0"/>
              <w:rPr>
                <w:sz w:val="17"/>
                <w:szCs w:val="17"/>
                <w:color w:val="auto"/>
              </w:rPr>
            </w:pPr>
          </w:p>
        </w:tc>
      </w:tr>
      <w:tr>
        <w:trPr>
          <w:trHeight w:val="18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0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r>
      <w:tr>
        <w:trPr>
          <w:trHeight w:val="195"/>
        </w:trPr>
        <w:tc>
          <w:tcPr>
            <w:tcW w:w="79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income (loss)</w:t>
            </w:r>
          </w:p>
        </w:tc>
        <w:tc>
          <w:tcPr>
            <w:tcW w:w="1040" w:type="dxa"/>
            <w:vAlign w:val="bottom"/>
          </w:tcPr>
          <w:p>
            <w:pPr>
              <w:jc w:val="right"/>
              <w:ind w:right="865"/>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(1,503)</w:t>
            </w:r>
          </w:p>
        </w:tc>
        <w:tc>
          <w:tcPr>
            <w:tcW w:w="100" w:type="dxa"/>
            <w:vAlign w:val="bottom"/>
          </w:tcPr>
          <w:p>
            <w:pPr>
              <w:spacing w:after="0"/>
              <w:rPr>
                <w:sz w:val="16"/>
                <w:szCs w:val="16"/>
                <w:color w:val="auto"/>
              </w:rPr>
            </w:pPr>
          </w:p>
        </w:tc>
        <w:tc>
          <w:tcPr>
            <w:tcW w:w="1120" w:type="dxa"/>
            <w:vAlign w:val="bottom"/>
          </w:tcPr>
          <w:p>
            <w:pPr>
              <w:jc w:val="right"/>
              <w:ind w:right="946"/>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6,950</w:t>
            </w:r>
          </w:p>
        </w:tc>
      </w:tr>
      <w:tr>
        <w:trPr>
          <w:trHeight w:val="210"/>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operating activities:</w:t>
            </w: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195"/>
        </w:trPr>
        <w:tc>
          <w:tcPr>
            <w:tcW w:w="794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Depreciation</w:t>
            </w:r>
          </w:p>
        </w:tc>
        <w:tc>
          <w:tcPr>
            <w:tcW w:w="10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w:t>
            </w:r>
          </w:p>
        </w:tc>
      </w:tr>
      <w:tr>
        <w:trPr>
          <w:trHeight w:val="210"/>
        </w:trPr>
        <w:tc>
          <w:tcPr>
            <w:tcW w:w="7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1,218</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1,218</w:t>
            </w:r>
          </w:p>
        </w:tc>
      </w:tr>
      <w:tr>
        <w:trPr>
          <w:trHeight w:val="195"/>
        </w:trPr>
        <w:tc>
          <w:tcPr>
            <w:tcW w:w="794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Net change in unrealized depreciation on investments</w:t>
            </w:r>
          </w:p>
        </w:tc>
        <w:tc>
          <w:tcPr>
            <w:tcW w:w="10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1,822</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2,425</w:t>
            </w:r>
          </w:p>
        </w:tc>
      </w:tr>
      <w:tr>
        <w:trPr>
          <w:trHeight w:val="210"/>
        </w:trPr>
        <w:tc>
          <w:tcPr>
            <w:tcW w:w="7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Realized gains on private investments</w:t>
            </w:r>
          </w:p>
        </w:tc>
        <w:tc>
          <w:tcPr>
            <w:tcW w:w="10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(8,371)</w:t>
            </w:r>
          </w:p>
        </w:tc>
      </w:tr>
      <w:tr>
        <w:trPr>
          <w:trHeight w:val="195"/>
        </w:trPr>
        <w:tc>
          <w:tcPr>
            <w:tcW w:w="794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4,410</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4,459</w:t>
            </w:r>
          </w:p>
        </w:tc>
      </w:tr>
      <w:tr>
        <w:trPr>
          <w:trHeight w:val="210"/>
        </w:trPr>
        <w:tc>
          <w:tcPr>
            <w:tcW w:w="7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Deferred income taxes</w:t>
            </w: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w:t>
            </w:r>
          </w:p>
        </w:tc>
      </w:tr>
      <w:tr>
        <w:trPr>
          <w:trHeight w:val="195"/>
        </w:trPr>
        <w:tc>
          <w:tcPr>
            <w:tcW w:w="794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Non-cash lease expense</w:t>
            </w:r>
          </w:p>
        </w:tc>
        <w:tc>
          <w:tcPr>
            <w:tcW w:w="10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923</w:t>
            </w:r>
          </w:p>
        </w:tc>
      </w:tr>
      <w:tr>
        <w:trPr>
          <w:trHeight w:val="210"/>
        </w:trPr>
        <w:tc>
          <w:tcPr>
            <w:tcW w:w="7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Gain on asset disposition</w:t>
            </w:r>
          </w:p>
        </w:tc>
        <w:tc>
          <w:tcPr>
            <w:tcW w:w="10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r>
      <w:tr>
        <w:trPr>
          <w:trHeight w:val="195"/>
        </w:trPr>
        <w:tc>
          <w:tcPr>
            <w:tcW w:w="79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Change in operating assets and liabilities:</w:t>
            </w: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10"/>
        </w:trPr>
        <w:tc>
          <w:tcPr>
            <w:tcW w:w="7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Net sales of trading securities</w:t>
            </w: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12,149</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11,191</w:t>
            </w:r>
          </w:p>
        </w:tc>
      </w:tr>
      <w:tr>
        <w:trPr>
          <w:trHeight w:val="195"/>
        </w:trPr>
        <w:tc>
          <w:tcPr>
            <w:tcW w:w="794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Accounts receivable</w:t>
            </w:r>
          </w:p>
        </w:tc>
        <w:tc>
          <w:tcPr>
            <w:tcW w:w="10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1,862</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w:t>
            </w:r>
          </w:p>
        </w:tc>
      </w:tr>
      <w:tr>
        <w:trPr>
          <w:trHeight w:val="210"/>
        </w:trPr>
        <w:tc>
          <w:tcPr>
            <w:tcW w:w="7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Other current assets</w:t>
            </w: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95"/>
        </w:trPr>
        <w:tc>
          <w:tcPr>
            <w:tcW w:w="794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10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1,149</w:t>
            </w:r>
          </w:p>
        </w:tc>
      </w:tr>
      <w:tr>
        <w:trPr>
          <w:trHeight w:val="210"/>
        </w:trPr>
        <w:tc>
          <w:tcPr>
            <w:tcW w:w="7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Compensation and benefits payable</w:t>
            </w: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(3,622)</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w:t>
            </w:r>
          </w:p>
        </w:tc>
      </w:tr>
      <w:tr>
        <w:trPr>
          <w:trHeight w:val="195"/>
        </w:trPr>
        <w:tc>
          <w:tcPr>
            <w:tcW w:w="794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Income taxes payable</w:t>
            </w:r>
          </w:p>
        </w:tc>
        <w:tc>
          <w:tcPr>
            <w:tcW w:w="10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2,191</w:t>
            </w:r>
          </w:p>
        </w:tc>
      </w:tr>
      <w:tr>
        <w:trPr>
          <w:trHeight w:val="210"/>
        </w:trPr>
        <w:tc>
          <w:tcPr>
            <w:tcW w:w="7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Other liabilities</w:t>
            </w:r>
          </w:p>
        </w:tc>
        <w:tc>
          <w:tcPr>
            <w:tcW w:w="10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w:t>
            </w:r>
          </w:p>
        </w:tc>
        <w:tc>
          <w:tcPr>
            <w:tcW w:w="10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w:t>
            </w:r>
          </w:p>
        </w:tc>
      </w:tr>
      <w:tr>
        <w:trPr>
          <w:trHeight w:val="190"/>
        </w:trPr>
        <w:tc>
          <w:tcPr>
            <w:tcW w:w="794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0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15,319</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21,060</w:t>
            </w:r>
          </w:p>
        </w:tc>
      </w:tr>
      <w:tr>
        <w:trPr>
          <w:trHeight w:val="18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0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r>
      <w:tr>
        <w:trPr>
          <w:trHeight w:val="195"/>
        </w:trPr>
        <w:tc>
          <w:tcPr>
            <w:tcW w:w="79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Sale of investments</w:t>
            </w:r>
          </w:p>
        </w:tc>
        <w:tc>
          <w:tcPr>
            <w:tcW w:w="104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9,258</w:t>
            </w:r>
          </w:p>
        </w:tc>
      </w:tr>
      <w:tr>
        <w:trPr>
          <w:trHeight w:val="210"/>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Sale of property and equipment</w:t>
            </w:r>
          </w:p>
        </w:tc>
        <w:tc>
          <w:tcPr>
            <w:tcW w:w="10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w:t>
            </w:r>
          </w:p>
        </w:tc>
      </w:tr>
      <w:tr>
        <w:trPr>
          <w:trHeight w:val="195"/>
        </w:trPr>
        <w:tc>
          <w:tcPr>
            <w:tcW w:w="79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Purchase of property and equipment</w:t>
            </w:r>
          </w:p>
        </w:tc>
        <w:tc>
          <w:tcPr>
            <w:tcW w:w="10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r>
      <w:tr>
        <w:trPr>
          <w:trHeight w:val="210"/>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Purchase of investments</w:t>
            </w:r>
          </w:p>
        </w:tc>
        <w:tc>
          <w:tcPr>
            <w:tcW w:w="10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90"/>
        </w:trPr>
        <w:tc>
          <w:tcPr>
            <w:tcW w:w="794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104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Borders>
              <w:bottom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9,630</w:t>
            </w:r>
          </w:p>
        </w:tc>
      </w:tr>
      <w:tr>
        <w:trPr>
          <w:trHeight w:val="18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0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r>
    </w:tbl>
    <w:p>
      <w:pPr>
        <w:spacing w:after="0" w:line="1" w:lineRule="exact"/>
        <w:rPr>
          <w:sz w:val="20"/>
          <w:szCs w:val="20"/>
          <w:color w:val="auto"/>
        </w:rPr>
      </w:pPr>
    </w:p>
    <w:p>
      <w:pPr>
        <w:sectPr>
          <w:pgSz w:w="11900" w:h="16838" w:orient="portrait"/>
          <w:cols w:equalWidth="0" w:num="1">
            <w:col w:w="11240"/>
          </w:cols>
          <w:pgMar w:left="320" w:top="1251" w:right="339" w:bottom="1440" w:gutter="0" w:footer="0" w:header="0"/>
        </w:sectPr>
      </w:pPr>
    </w:p>
    <w:p>
      <w:pPr>
        <w:ind w:left="360"/>
        <w:spacing w:after="0"/>
        <w:rPr>
          <w:sz w:val="20"/>
          <w:szCs w:val="20"/>
          <w:color w:val="auto"/>
        </w:rPr>
      </w:pPr>
      <w:r>
        <w:rPr>
          <w:rFonts w:ascii="Times New Roman" w:cs="Times New Roman" w:eastAsia="Times New Roman" w:hAnsi="Times New Roman"/>
          <w:sz w:val="14"/>
          <w:szCs w:val="14"/>
          <w:color w:val="auto"/>
        </w:rPr>
        <w:t>Purchases of treasury stock</w:t>
      </w:r>
    </w:p>
    <w:p>
      <w:pPr>
        <w:spacing w:after="0" w:line="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Restricted stock returned for payment of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Cash dividends paid</w:t>
      </w:r>
    </w:p>
    <w:p>
      <w:pPr>
        <w:spacing w:after="0" w:line="4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Effect of currency rate changes on cash</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NET CHANGE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Cash and cash equivalents, beginning of period</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Cash and cash equivalents,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SUPPLEMENTAL CASH FLOW INFORMATION: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6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(2,851)</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(2,164)</w:t>
            </w:r>
          </w:p>
        </w:tc>
      </w:tr>
      <w:tr>
        <w:trPr>
          <w:trHeight w:val="193"/>
        </w:trPr>
        <w:tc>
          <w:tcPr>
            <w:tcW w:w="6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(884)</w:t>
            </w:r>
          </w:p>
        </w:tc>
      </w:tr>
      <w:tr>
        <w:trPr>
          <w:trHeight w:val="203"/>
        </w:trPr>
        <w:tc>
          <w:tcPr>
            <w:tcW w:w="6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(4,459)</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(22,125)</w:t>
            </w:r>
          </w:p>
        </w:tc>
      </w:tr>
      <w:tr>
        <w:trPr>
          <w:trHeight w:val="23"/>
        </w:trPr>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9"/>
        </w:trPr>
        <w:tc>
          <w:tcPr>
            <w:tcW w:w="6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(7,936)</w:t>
            </w:r>
          </w:p>
        </w:tc>
        <w:tc>
          <w:tcPr>
            <w:tcW w:w="10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(25,173)</w:t>
            </w:r>
          </w:p>
        </w:tc>
      </w:tr>
      <w:tr>
        <w:trPr>
          <w:trHeight w:val="196"/>
        </w:trPr>
        <w:tc>
          <w:tcPr>
            <w:tcW w:w="6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196"/>
        </w:trPr>
        <w:tc>
          <w:tcPr>
            <w:tcW w:w="6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7,264</w:t>
            </w:r>
          </w:p>
        </w:tc>
        <w:tc>
          <w:tcPr>
            <w:tcW w:w="10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5,445</w:t>
            </w:r>
          </w:p>
        </w:tc>
      </w:tr>
      <w:tr>
        <w:trPr>
          <w:trHeight w:val="196"/>
        </w:trPr>
        <w:tc>
          <w:tcPr>
            <w:tcW w:w="6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15,206</w:t>
            </w:r>
          </w:p>
        </w:tc>
        <w:tc>
          <w:tcPr>
            <w:tcW w:w="10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13,016</w:t>
            </w:r>
          </w:p>
        </w:tc>
      </w:tr>
      <w:tr>
        <w:trPr>
          <w:trHeight w:val="176"/>
        </w:trPr>
        <w:tc>
          <w:tcPr>
            <w:tcW w:w="6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22,470</w:t>
            </w:r>
          </w:p>
        </w:tc>
        <w:tc>
          <w:tcPr>
            <w:tcW w:w="100" w:type="dxa"/>
            <w:vAlign w:val="bottom"/>
          </w:tcPr>
          <w:p>
            <w:pPr>
              <w:spacing w:after="0"/>
              <w:rPr>
                <w:sz w:val="15"/>
                <w:szCs w:val="15"/>
                <w:color w:val="auto"/>
              </w:rPr>
            </w:pPr>
          </w:p>
        </w:tc>
        <w:tc>
          <w:tcPr>
            <w:tcW w:w="58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18,461</w:t>
            </w: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ectPr>
          <w:pgSz w:w="11900" w:h="16838" w:orient="portrait"/>
          <w:cols w:equalWidth="0" w:num="2">
            <w:col w:w="7220" w:space="720"/>
            <w:col w:w="3300"/>
          </w:cols>
          <w:pgMar w:left="320" w:top="1251" w:right="3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5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Cash paid during the period for income taxes</w:t>
            </w:r>
          </w:p>
        </w:tc>
        <w:tc>
          <w:tcPr>
            <w:tcW w:w="3040" w:type="dxa"/>
            <w:vAlign w:val="bottom"/>
            <w:shd w:val="clear" w:color="auto" w:fill="CCEEFF"/>
          </w:tcPr>
          <w:p>
            <w:pPr>
              <w:jc w:val="right"/>
              <w:ind w:right="467"/>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4"/>
                <w:szCs w:val="14"/>
                <w:color w:val="auto"/>
              </w:rPr>
              <w:t>1,807</w:t>
            </w:r>
          </w:p>
        </w:tc>
        <w:tc>
          <w:tcPr>
            <w:tcW w:w="720" w:type="dxa"/>
            <w:vAlign w:val="bottom"/>
            <w:shd w:val="clear" w:color="auto" w:fill="CCEEFF"/>
          </w:tcPr>
          <w:p>
            <w:pPr>
              <w:jc w:val="right"/>
              <w:ind w:right="487"/>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w:t>
            </w:r>
          </w:p>
        </w:tc>
      </w:tr>
      <w:tr>
        <w:trPr>
          <w:trHeight w:val="195"/>
        </w:trPr>
        <w:tc>
          <w:tcPr>
            <w:tcW w:w="55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Accrued dividends</w:t>
            </w:r>
          </w:p>
        </w:tc>
        <w:tc>
          <w:tcPr>
            <w:tcW w:w="3040" w:type="dxa"/>
            <w:vAlign w:val="bottom"/>
          </w:tcPr>
          <w:p>
            <w:pPr>
              <w:jc w:val="right"/>
              <w:ind w:right="467"/>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27"/>
              <w:spacing w:after="0"/>
              <w:rPr>
                <w:sz w:val="20"/>
                <w:szCs w:val="20"/>
                <w:color w:val="auto"/>
              </w:rPr>
            </w:pPr>
            <w:r>
              <w:rPr>
                <w:rFonts w:ascii="Times New Roman" w:cs="Times New Roman" w:eastAsia="Times New Roman" w:hAnsi="Times New Roman"/>
                <w:sz w:val="14"/>
                <w:szCs w:val="14"/>
                <w:color w:val="auto"/>
              </w:rPr>
              <w:t>2,280</w:t>
            </w:r>
          </w:p>
        </w:tc>
        <w:tc>
          <w:tcPr>
            <w:tcW w:w="720" w:type="dxa"/>
            <w:vAlign w:val="bottom"/>
          </w:tcPr>
          <w:p>
            <w:pPr>
              <w:jc w:val="right"/>
              <w:ind w:right="487"/>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2,481</w:t>
            </w:r>
          </w:p>
        </w:tc>
      </w:tr>
      <w:tr>
        <w:trPr>
          <w:trHeight w:val="210"/>
        </w:trPr>
        <w:tc>
          <w:tcPr>
            <w:tcW w:w="5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Additional operating lease right-of-use assets</w:t>
            </w:r>
          </w:p>
        </w:tc>
        <w:tc>
          <w:tcPr>
            <w:tcW w:w="3040" w:type="dxa"/>
            <w:vAlign w:val="bottom"/>
            <w:shd w:val="clear" w:color="auto" w:fill="CCEEFF"/>
          </w:tcPr>
          <w:p>
            <w:pPr>
              <w:jc w:val="right"/>
              <w:ind w:right="467"/>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1,217</w:t>
            </w:r>
          </w:p>
        </w:tc>
        <w:tc>
          <w:tcPr>
            <w:tcW w:w="720" w:type="dxa"/>
            <w:vAlign w:val="bottom"/>
            <w:shd w:val="clear" w:color="auto" w:fill="CCEEFF"/>
          </w:tcPr>
          <w:p>
            <w:pPr>
              <w:jc w:val="right"/>
              <w:ind w:right="487"/>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type w:val="continuous"/>
        </w:sectPr>
      </w:pPr>
    </w:p>
    <w:bookmarkStart w:id="7" w:name="page8"/>
    <w:bookmarkEnd w:id="7"/>
    <w:p>
      <w:pPr>
        <w:jc w:val="center"/>
        <w:ind w:left="340" w:right="2660"/>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(Unaudited)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THE BUSINESS</w:t>
      </w:r>
    </w:p>
    <w:p>
      <w:pPr>
        <w:spacing w:after="0" w:line="121" w:lineRule="exact"/>
        <w:rPr>
          <w:sz w:val="20"/>
          <w:szCs w:val="20"/>
          <w:color w:val="auto"/>
        </w:rPr>
      </w:pPr>
    </w:p>
    <w:p>
      <w:pPr>
        <w:ind w:right="200" w:firstLine="486"/>
        <w:spacing w:after="0" w:line="266" w:lineRule="auto"/>
        <w:rPr>
          <w:sz w:val="20"/>
          <w:szCs w:val="20"/>
          <w:color w:val="auto"/>
        </w:rPr>
      </w:pPr>
      <w:r>
        <w:rPr>
          <w:rFonts w:ascii="Times New Roman" w:cs="Times New Roman" w:eastAsia="Times New Roman" w:hAnsi="Times New Roman"/>
          <w:sz w:val="18"/>
          <w:szCs w:val="18"/>
          <w:color w:val="auto"/>
        </w:rPr>
        <w:t>Westwood Holdings Group, Inc. (“Westwood”, “the Company”, “we”, “us” or “our”) was incorporated under the laws of the State of Delaware on December 12, 2001. Westwood manages investment assets and provides services for its clients through its wholly-owned subsidiaries, Westwood Management Corp. and Westwood Advisors, L.L.C. (referred to hereinafter together as “Westwood Management”) and Westwood Trust.</w:t>
      </w:r>
    </w:p>
    <w:p>
      <w:pPr>
        <w:spacing w:after="0" w:line="68" w:lineRule="exact"/>
        <w:rPr>
          <w:sz w:val="20"/>
          <w:szCs w:val="20"/>
          <w:color w:val="auto"/>
        </w:rPr>
      </w:pPr>
    </w:p>
    <w:p>
      <w:pPr>
        <w:ind w:firstLine="486"/>
        <w:spacing w:after="0" w:line="281" w:lineRule="auto"/>
        <w:rPr>
          <w:sz w:val="20"/>
          <w:szCs w:val="20"/>
          <w:color w:val="auto"/>
        </w:rPr>
      </w:pPr>
      <w:r>
        <w:rPr>
          <w:rFonts w:ascii="Times New Roman" w:cs="Times New Roman" w:eastAsia="Times New Roman" w:hAnsi="Times New Roman"/>
          <w:sz w:val="17"/>
          <w:szCs w:val="17"/>
          <w:color w:val="auto"/>
        </w:rPr>
        <w:t>Westwood Management provides investment advisory services to institutional clients, a family of mutual funds called the Westwood Funds®, other mutual funds, individual investors and clients of Westwood Trust. Westwood Trust provides trust and custodial services and participation in self-sponsored common trust funds (“CTFs”) to institutions and high net worth individuals. Revenue is largely dependent on the total value and composition of assets under management ("AUM"). Accordingly, fluctuations in financial markets and in the composition of AUM impact our revenues and results of operations.</w:t>
      </w:r>
    </w:p>
    <w:p>
      <w:pPr>
        <w:spacing w:after="0" w:line="56"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Westwood Management is registered with the Securities and Exchange Commission ("SEC") as an investment advisor ("RIA") under the Investment Advisers Act of 1940. Westwood Trust is chartered and regulated by the Texas Department of Banking.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Pending Acquisition</w:t>
      </w:r>
    </w:p>
    <w:p>
      <w:pPr>
        <w:spacing w:after="0" w:line="121"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On May 26, 2022, we announced our acquisition of Salient Partners' ("Salient") asset management business for an upfront payment of $35.0 million on closing, with deferred payments of up to $25.0 million over several years, subject to satisfaction of certain revenue retention and growth targets. The transaction is subject to customary closing conditions, including fund shareholder and other client approvals.</w:t>
      </w:r>
    </w:p>
    <w:p>
      <w:pPr>
        <w:spacing w:after="0" w:line="68"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Salient is a real asset and alternative investment firm that offers a suite of strategies focused on energy and infrastructure, real estate and tactical alternative investments.</w:t>
      </w:r>
    </w:p>
    <w:p>
      <w:pPr>
        <w:spacing w:after="0" w:line="50" w:lineRule="exact"/>
        <w:rPr>
          <w:sz w:val="20"/>
          <w:szCs w:val="20"/>
          <w:color w:val="auto"/>
        </w:rPr>
      </w:pPr>
    </w:p>
    <w:p>
      <w:pPr>
        <w:ind w:left="40" w:right="6340" w:hanging="32"/>
        <w:spacing w:after="0" w:line="378" w:lineRule="auto"/>
        <w:tabs>
          <w:tab w:leader="none" w:pos="18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are unaudited and are presented in accordance with the requirements for quarterly reports on Form 10-Q and consequently do not include all of the information and footnote disclosures required by accounting principles generally accepted in the United States of America (“GAAP”). The Company’s Condensed Consolidated Financial Statements reflect all adjustments (consisting only of normal recurring adjustments) necessary in the opinion of management to present fairly our interim financial position and results of operations and cash flows for the periods presented. The accompanying Condensed Consolidated Financial Statements are presented in accordance with GAAP and the rules and regulations of the SEC.</w:t>
      </w:r>
    </w:p>
    <w:p>
      <w:pPr>
        <w:spacing w:after="0" w:line="79" w:lineRule="exact"/>
        <w:rPr>
          <w:sz w:val="20"/>
          <w:szCs w:val="20"/>
          <w:color w:val="auto"/>
        </w:rPr>
      </w:pPr>
    </w:p>
    <w:p>
      <w:pPr>
        <w:ind w:right="320" w:firstLine="486"/>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should be read in conjunction with our Consolidated Financial Statements, and notes thereto, included in our Annual Report on Form 10-K for the year ended December 31, 2021. Operating results for the periods in these Condensed Consolidated Financial Statements are not necessarily indicative of results for any future period. The accompanying Condensed Consolidated Financial Statements include the accounts of Westwood and its subsidiaries. All intercompany accounts and transactions have been eliminated upon consolidation.</w:t>
      </w:r>
    </w:p>
    <w:p>
      <w:pPr>
        <w:spacing w:after="0" w:line="200" w:lineRule="exact"/>
        <w:rPr>
          <w:sz w:val="20"/>
          <w:szCs w:val="20"/>
          <w:color w:val="auto"/>
        </w:rPr>
      </w:pPr>
    </w:p>
    <w:p>
      <w:pPr>
        <w:spacing w:after="0" w:line="222" w:lineRule="exact"/>
        <w:rPr>
          <w:sz w:val="20"/>
          <w:szCs w:val="20"/>
          <w:color w:val="auto"/>
        </w:rPr>
      </w:pPr>
    </w:p>
    <w:p>
      <w:pPr>
        <w:ind w:right="9580" w:firstLine="8"/>
        <w:spacing w:after="0" w:line="378"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Revenue Recognition</w:t>
      </w:r>
    </w:p>
    <w:p>
      <w:pPr>
        <w:ind w:firstLine="486"/>
        <w:spacing w:after="0" w:line="277" w:lineRule="auto"/>
        <w:rPr>
          <w:sz w:val="20"/>
          <w:szCs w:val="20"/>
          <w:color w:val="auto"/>
        </w:rPr>
      </w:pPr>
      <w:r>
        <w:rPr>
          <w:rFonts w:ascii="Times New Roman" w:cs="Times New Roman" w:eastAsia="Times New Roman" w:hAnsi="Times New Roman"/>
          <w:sz w:val="17"/>
          <w:szCs w:val="17"/>
          <w:color w:val="auto"/>
        </w:rPr>
        <w:t>Revenues are recognized when the performance obligation (the investment management and advisory or trust services provided to the client) defined by the investment advisory or sub-advisory agreement is satisfied. For each performance obligation, we determine at contract inception whether the revenue satisfies over time or at a point in time. We derive our revenues from investment advisory fees, trust fees and other sources of revenues such as gains and losses from our seed money investments into new investment strategies. The "Other, net” revenues on our Condensed Consolidated Statements of</w:t>
      </w:r>
    </w:p>
    <w:p>
      <w:pPr>
        <w:spacing w:after="0" w:line="2"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Comprehensive Income (Loss) are the unrealized gains and losses on our seed money investments, and our seed money investments are included in "Investments, at fair value" on our Condensed Consolidated Balance Sheets. Advisory and trust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8" w:name="page9"/>
    <w:bookmarkEnd w:id="8"/>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 (Continued) (Unaudited)</w:t>
      </w:r>
    </w:p>
    <w:p>
      <w:pPr>
        <w:spacing w:after="0" w:line="39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fees are calculated based on a percentage of AUM and the performance obligation is realized over the current calendar quarter. Once clients receive our investment advisory services we have an enforceable right to payment.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Advisory Fee Revenues</w:t>
      </w:r>
    </w:p>
    <w:p>
      <w:pPr>
        <w:spacing w:after="0" w:line="121"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Our advisory fees are generated by Westwood Management which manages client accounts under investment advisory and sub-advisory agreements. Advisory fees are typically calculated based on a percentage of AUM and are paid in accordance with the terms of the agreements. Advisory fees are paid quarterly in advance based on AUM on the last day of the preceding quarter, quarterly in arrears based on AUM on the last day of the quarter just ended or are based on a daily or monthly analysis of AUM for the stated period. We recognize advisory fee revenues as services are rendered. Since our advance paying clients' billing periods coincide with the calendar quarter to which such payments relate, revenue is recognized within the quarter and our Condensed Consolidated Financial Statements contain no deferred advisory fee revenues. Advisory clients typically consist of institutional and mutual fund accounts.</w:t>
      </w:r>
    </w:p>
    <w:p>
      <w:pPr>
        <w:spacing w:after="0" w:line="81"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Institutional investors include separate accounts of (i) corporate pension and profit sharing plans, public employee retirement funds, Taft-Hartley plans, endowments, foundations and individuals; (ii) subadvisory relationships where Westwood provides investment management services for funds offered by other financial institutions; (iii) pooled investment vehicles including collective investment trusts; and (iv) managed account relationships with brokerage firms and other registered investment advisors that offer Westwood products to their customers.</w:t>
      </w:r>
    </w:p>
    <w:p>
      <w:pPr>
        <w:spacing w:after="0" w:line="72" w:lineRule="exact"/>
        <w:rPr>
          <w:sz w:val="20"/>
          <w:szCs w:val="20"/>
          <w:color w:val="auto"/>
        </w:rPr>
      </w:pPr>
    </w:p>
    <w:p>
      <w:pPr>
        <w:jc w:val="both"/>
        <w:ind w:right="640" w:firstLine="486"/>
        <w:spacing w:after="0" w:line="312" w:lineRule="auto"/>
        <w:rPr>
          <w:sz w:val="20"/>
          <w:szCs w:val="20"/>
          <w:color w:val="auto"/>
        </w:rPr>
      </w:pPr>
      <w:r>
        <w:rPr>
          <w:rFonts w:ascii="Times New Roman" w:cs="Times New Roman" w:eastAsia="Times New Roman" w:hAnsi="Times New Roman"/>
          <w:sz w:val="17"/>
          <w:szCs w:val="17"/>
          <w:color w:val="auto"/>
        </w:rPr>
        <w:t>Mutual funds include the Westwood Funds®, a family of mutual funds for which Westwood Management serves as advisor. These funds are available to individual investors, as well as offered as part of our investment strategies for institutional investors and wealth management accounts.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Arrangements with Performance-Based Obligations</w:t>
      </w:r>
    </w:p>
    <w:p>
      <w:pPr>
        <w:spacing w:after="0" w:line="121" w:lineRule="exact"/>
        <w:rPr>
          <w:sz w:val="20"/>
          <w:szCs w:val="20"/>
          <w:color w:val="auto"/>
        </w:rPr>
      </w:pPr>
    </w:p>
    <w:p>
      <w:pPr>
        <w:ind w:right="500" w:firstLine="486"/>
        <w:spacing w:after="0" w:line="266" w:lineRule="auto"/>
        <w:rPr>
          <w:sz w:val="20"/>
          <w:szCs w:val="20"/>
          <w:color w:val="auto"/>
        </w:rPr>
      </w:pPr>
      <w:r>
        <w:rPr>
          <w:rFonts w:ascii="Times New Roman" w:cs="Times New Roman" w:eastAsia="Times New Roman" w:hAnsi="Times New Roman"/>
          <w:sz w:val="18"/>
          <w:szCs w:val="18"/>
          <w:color w:val="auto"/>
        </w:rPr>
        <w:t>A limited number of our advisory clients have a contractual performance-based fee component in their contracts, which generates additional revenues if we outperform a specified index over a specific period of time, and a limited number of our mutual fund offerings have fees that generate additional revenues if we outperform specified indices over specific periods of time.</w:t>
      </w:r>
    </w:p>
    <w:p>
      <w:pPr>
        <w:spacing w:after="0" w:line="68"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The revenue is based on future market performance and is subject to factors outside our control. We cannot conclude that a significant reversal in the cumulative amount of revenue recognized will not occur during the measurement period, and therefore the revenue is recorded at the end of the measurement period if the performance obligation has been satisfied.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Trust Fee Revenues</w:t>
      </w:r>
    </w:p>
    <w:p>
      <w:pPr>
        <w:spacing w:after="0" w:line="121"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Our trust fees are generated by Westwood Trust pursuant to trust or custodial agreements. Trust fees are separately negotiated with each client and are generally based on a percentage of AUM. Westwood Trust also provides trust services to a small number of clients on a fixed fee basis. The fees for most of our trust clients are calculated quarterly in arrears, based on a daily average of AUM for the quarter, or monthly, based on the month-end value of AUM. Since billing periods for most of Westwood Trust’s clients coincide with the calendar quarter, revenue is fully recognized within the quarter and our Condensed Consolidated Financial Statements contain no deferred advisory fee revenues.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Disaggregated</w:t>
      </w:r>
    </w:p>
    <w:p>
      <w:pPr>
        <w:spacing w:after="0" w:line="121" w:lineRule="exact"/>
        <w:rPr>
          <w:sz w:val="20"/>
          <w:szCs w:val="20"/>
          <w:color w:val="auto"/>
        </w:rPr>
      </w:pPr>
    </w:p>
    <w:p>
      <w:pPr>
        <w:ind w:right="160" w:firstLine="486"/>
        <w:spacing w:after="0" w:line="275" w:lineRule="auto"/>
        <w:rPr>
          <w:sz w:val="20"/>
          <w:szCs w:val="20"/>
          <w:color w:val="auto"/>
        </w:rPr>
      </w:pPr>
      <w:r>
        <w:rPr>
          <w:rFonts w:ascii="Times New Roman" w:cs="Times New Roman" w:eastAsia="Times New Roman" w:hAnsi="Times New Roman"/>
          <w:sz w:val="18"/>
          <w:szCs w:val="18"/>
          <w:color w:val="auto"/>
        </w:rPr>
        <w:t>Sales taxes are excluded from revenues. The following table presents our revenue disaggregated by account type (in thousands). In 2021, we recast certain prior year revenues related to performance-based fees.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60" w:type="dxa"/>
            <w:vAlign w:val="bottom"/>
          </w:tcPr>
          <w:p>
            <w:pPr>
              <w:spacing w:after="0"/>
              <w:rPr>
                <w:sz w:val="18"/>
                <w:szCs w:val="18"/>
                <w:color w:val="auto"/>
              </w:rPr>
            </w:pPr>
          </w:p>
        </w:tc>
        <w:tc>
          <w:tcPr>
            <w:tcW w:w="3640" w:type="dxa"/>
            <w:vAlign w:val="bottom"/>
            <w:gridSpan w:val="6"/>
          </w:tcPr>
          <w:p>
            <w:pPr>
              <w:ind w:left="5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40" w:type="dxa"/>
            <w:vAlign w:val="bottom"/>
          </w:tcPr>
          <w:p>
            <w:pPr>
              <w:spacing w:after="0"/>
              <w:rPr>
                <w:sz w:val="18"/>
                <w:szCs w:val="18"/>
                <w:color w:val="auto"/>
              </w:rPr>
            </w:pPr>
          </w:p>
        </w:tc>
        <w:tc>
          <w:tcPr>
            <w:tcW w:w="3200" w:type="dxa"/>
            <w:vAlign w:val="bottom"/>
            <w:gridSpan w:val="4"/>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4060" w:type="dxa"/>
            <w:vAlign w:val="bottom"/>
            <w:tcBorders>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Advisory Fees:</w:t>
            </w:r>
          </w:p>
        </w:tc>
        <w:tc>
          <w:tcPr>
            <w:tcW w:w="10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0"/>
        </w:trPr>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Institutional</w:t>
            </w:r>
          </w:p>
        </w:tc>
        <w:tc>
          <w:tcPr>
            <w:tcW w:w="1080" w:type="dxa"/>
            <w:vAlign w:val="bottom"/>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6,247</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19,928</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23,662</w:t>
            </w:r>
          </w:p>
        </w:tc>
      </w:tr>
      <w:tr>
        <w:trPr>
          <w:trHeight w:val="230"/>
        </w:trPr>
        <w:tc>
          <w:tcPr>
            <w:tcW w:w="4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Mutual Funds</w:t>
            </w: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11,648</w:t>
            </w:r>
          </w:p>
        </w:tc>
      </w:tr>
      <w:tr>
        <w:trPr>
          <w:trHeight w:val="229"/>
        </w:trPr>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Wealth Management</w:t>
            </w: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r>
      <w:tr>
        <w:trPr>
          <w:trHeight w:val="23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Trust Fees</w:t>
            </w: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18,233</w:t>
            </w:r>
          </w:p>
        </w:tc>
      </w:tr>
      <w:tr>
        <w:trPr>
          <w:trHeight w:val="230"/>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0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48"/>
        </w:trPr>
        <w:tc>
          <w:tcPr>
            <w:tcW w:w="40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1080" w:type="dxa"/>
            <w:vAlign w:val="bottom"/>
            <w:tcBorders>
              <w:bottom w:val="single" w:sz="8" w:color="auto"/>
            </w:tcBorders>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53,663</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 (Continued) (Unaudited)</w:t>
      </w:r>
    </w:p>
    <w:p>
      <w:pPr>
        <w:spacing w:after="0" w:line="391"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We serve clients primarily in the United States, as well as in certain international locations. The following table presents our revenue disaggregated by our clients' geographical locations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2022</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Advisory</w:t>
            </w:r>
          </w:p>
        </w:tc>
        <w:tc>
          <w:tcPr>
            <w:tcW w:w="280" w:type="dxa"/>
            <w:vAlign w:val="bottom"/>
          </w:tcPr>
          <w:p>
            <w:pPr>
              <w:spacing w:after="0"/>
              <w:rPr>
                <w:sz w:val="18"/>
                <w:szCs w:val="18"/>
                <w:color w:val="auto"/>
              </w:rPr>
            </w:pPr>
          </w:p>
        </w:tc>
        <w:tc>
          <w:tcPr>
            <w:tcW w:w="108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Trust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80" w:type="dxa"/>
            <w:vAlign w:val="bottom"/>
          </w:tcPr>
          <w:p>
            <w:pPr>
              <w:spacing w:after="0"/>
              <w:rPr>
                <w:sz w:val="18"/>
                <w:szCs w:val="18"/>
                <w:color w:val="auto"/>
              </w:rPr>
            </w:pPr>
          </w:p>
        </w:tc>
        <w:tc>
          <w:tcPr>
            <w:tcW w:w="98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29"/>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6"/>
              </w:rPr>
              <w:t>10,189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15,121</w:t>
            </w:r>
          </w:p>
        </w:tc>
      </w:tr>
      <w:tr>
        <w:trPr>
          <w:trHeight w:val="248"/>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10,474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15,406</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417"/>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2021</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Advisory</w:t>
            </w:r>
          </w:p>
        </w:tc>
        <w:tc>
          <w:tcPr>
            <w:tcW w:w="280" w:type="dxa"/>
            <w:vAlign w:val="bottom"/>
          </w:tcPr>
          <w:p>
            <w:pPr>
              <w:spacing w:after="0"/>
              <w:rPr>
                <w:sz w:val="24"/>
                <w:szCs w:val="24"/>
                <w:color w:val="auto"/>
              </w:rPr>
            </w:pPr>
          </w:p>
        </w:tc>
        <w:tc>
          <w:tcPr>
            <w:tcW w:w="108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Trust</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80" w:type="dxa"/>
            <w:vAlign w:val="bottom"/>
          </w:tcPr>
          <w:p>
            <w:pPr>
              <w:spacing w:after="0"/>
              <w:rPr>
                <w:sz w:val="24"/>
                <w:szCs w:val="24"/>
                <w:color w:val="auto"/>
              </w:rPr>
            </w:pPr>
          </w:p>
        </w:tc>
        <w:tc>
          <w:tcPr>
            <w:tcW w:w="98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30"/>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6"/>
              </w:rPr>
              <w:t>11,718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17,567</w:t>
            </w:r>
          </w:p>
        </w:tc>
      </w:tr>
      <w:tr>
        <w:trPr>
          <w:trHeight w:val="248"/>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12,011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17,860</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754"/>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2022</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Advisory</w:t>
            </w:r>
          </w:p>
        </w:tc>
        <w:tc>
          <w:tcPr>
            <w:tcW w:w="280" w:type="dxa"/>
            <w:vAlign w:val="bottom"/>
          </w:tcPr>
          <w:p>
            <w:pPr>
              <w:spacing w:after="0"/>
              <w:rPr>
                <w:sz w:val="24"/>
                <w:szCs w:val="24"/>
                <w:color w:val="auto"/>
              </w:rPr>
            </w:pPr>
          </w:p>
        </w:tc>
        <w:tc>
          <w:tcPr>
            <w:tcW w:w="108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Trust</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80" w:type="dxa"/>
            <w:vAlign w:val="bottom"/>
          </w:tcPr>
          <w:p>
            <w:pPr>
              <w:spacing w:after="0"/>
              <w:rPr>
                <w:sz w:val="24"/>
                <w:szCs w:val="24"/>
                <w:color w:val="auto"/>
              </w:rPr>
            </w:pPr>
          </w:p>
        </w:tc>
        <w:tc>
          <w:tcPr>
            <w:tcW w:w="98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r>
      <w:tr>
        <w:trPr>
          <w:trHeight w:val="230"/>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6"/>
              </w:rPr>
              <w:t>32,365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47,346</w:t>
            </w:r>
          </w:p>
        </w:tc>
      </w:tr>
      <w:tr>
        <w:trPr>
          <w:trHeight w:val="248"/>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33,244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48,225</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417"/>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2021</w:t>
            </w:r>
          </w:p>
        </w:tc>
        <w:tc>
          <w:tcPr>
            <w:tcW w:w="200" w:type="dxa"/>
            <w:vAlign w:val="bottom"/>
          </w:tcPr>
          <w:p>
            <w:pPr>
              <w:spacing w:after="0"/>
              <w:rPr>
                <w:sz w:val="24"/>
                <w:szCs w:val="24"/>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Advisory</w:t>
            </w:r>
          </w:p>
        </w:tc>
        <w:tc>
          <w:tcPr>
            <w:tcW w:w="1200" w:type="dxa"/>
            <w:vAlign w:val="bottom"/>
            <w:gridSpan w:val="3"/>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Trust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gridSpan w:val="6"/>
          </w:tcPr>
          <w:p>
            <w:pPr>
              <w:ind w:left="220"/>
              <w:spacing w:after="0"/>
              <w:rPr>
                <w:sz w:val="20"/>
                <w:szCs w:val="20"/>
                <w:color w:val="auto"/>
              </w:rPr>
            </w:pPr>
            <w:r>
              <w:rPr>
                <w:rFonts w:ascii="Times New Roman" w:cs="Times New Roman" w:eastAsia="Times New Roman" w:hAnsi="Times New Roman"/>
                <w:sz w:val="16"/>
                <w:szCs w:val="16"/>
                <w:b w:val="1"/>
                <w:bCs w:val="1"/>
                <w:color w:val="auto"/>
              </w:rPr>
              <w:t>Performance-based</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80" w:type="dxa"/>
            <w:vAlign w:val="bottom"/>
          </w:tcPr>
          <w:p>
            <w:pPr>
              <w:spacing w:after="0"/>
              <w:rPr>
                <w:sz w:val="24"/>
                <w:szCs w:val="24"/>
                <w:color w:val="auto"/>
              </w:rPr>
            </w:pPr>
          </w:p>
        </w:tc>
        <w:tc>
          <w:tcPr>
            <w:tcW w:w="98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18,233</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51,897</w:t>
            </w:r>
          </w:p>
        </w:tc>
      </w:tr>
      <w:tr>
        <w:trPr>
          <w:trHeight w:val="22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33,856</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18,233</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53,663</w:t>
            </w:r>
          </w:p>
        </w:tc>
      </w:tr>
      <w:tr>
        <w:trPr>
          <w:trHeight w:val="20"/>
        </w:trPr>
        <w:tc>
          <w:tcPr>
            <w:tcW w:w="4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SEGMENT REPORTING</w:t>
      </w:r>
    </w:p>
    <w:p>
      <w:pPr>
        <w:spacing w:after="0" w:line="175" w:lineRule="exact"/>
        <w:rPr>
          <w:sz w:val="20"/>
          <w:szCs w:val="20"/>
          <w:color w:val="auto"/>
        </w:rPr>
      </w:pPr>
    </w:p>
    <w:p>
      <w:pPr>
        <w:jc w:val="both"/>
        <w:ind w:right="60" w:firstLine="486"/>
        <w:spacing w:after="0" w:line="266" w:lineRule="auto"/>
        <w:rPr>
          <w:sz w:val="20"/>
          <w:szCs w:val="20"/>
          <w:color w:val="auto"/>
        </w:rPr>
      </w:pPr>
      <w:r>
        <w:rPr>
          <w:rFonts w:ascii="Times New Roman" w:cs="Times New Roman" w:eastAsia="Times New Roman" w:hAnsi="Times New Roman"/>
          <w:sz w:val="18"/>
          <w:szCs w:val="18"/>
          <w:color w:val="auto"/>
        </w:rPr>
        <w:t>We operate two segments: Advisory and Trust. These segments are managed separately based on the types of products and services offered and their related client bases. The Company’s segment information is prepared on the same basis that management reviews the financial information for operational decision-making purposes.</w:t>
      </w:r>
    </w:p>
    <w:p>
      <w:pPr>
        <w:spacing w:after="0" w:line="122"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The Company’s chief operating decision maker, our Chief Executive Officer, evaluates the performance of our segments based primarily on fee revenues and Economic Earnings, a non-GAAP measurement. We define Economic Earnings as net income (loss) plus non-cash equity-based compensation expense, amortization of intangible assets and deferred taxes related to goodwill. Although depreciation on fixed assets is a non-cash expense, we do not add it back when calculating Economic Earnings because depreciation charges represent an allocation of the decline in the value of the related assets that will ultimately require replacement. In addition, we do not adjust Economic Earnings for tax deductions related to restricted stock expense or amortization of intangible assets.</w:t>
      </w:r>
    </w:p>
    <w:p>
      <w:pPr>
        <w:spacing w:after="0" w:line="133"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Westwood Holdings Group, Inc., the parent company of Advisory and Trust, does not have revenues and is the entity in which we record typical holding company expenses including employee compensation and benefits for holding company employees, directors’ fees and investor relations costs. All segment accounting policies are the same as those described in the summary of significant accounting policies. Intersegment balances that eliminate in consolidation have been applied to the appropriate segment.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Advisory</w:t>
      </w:r>
    </w:p>
    <w:p>
      <w:pPr>
        <w:spacing w:after="0" w:line="121"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Our Advisory segment provides investment advisory services to (i) corporate pension and profit sharing plans, public employee retirement funds, Taft-Hartley plans, endowments, foundations and individuals, (ii) subadvisory relationships where Westwood provides investment management services to the Westwood Funds®, funds offered by other financial institutions and funds offered by our Trust segment and (iii) pooled investment vehicles, including collective investment</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0" w:name="page11"/>
    <w:bookmarkEnd w:id="10"/>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 (Continued) (Unaudited)</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trusts. Westwood Management provides investment advisory services to similar clients and is included in our Advisory segment.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Trust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Trust provides trust and custodial services and participation in common trust funds that it sponsors to institutions and high net worth individuals.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Westwood Trust is included in our Trust segment.</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Advisory</w:t>
            </w:r>
          </w:p>
        </w:tc>
        <w:tc>
          <w:tcPr>
            <w:tcW w:w="220" w:type="dxa"/>
            <w:vAlign w:val="bottom"/>
          </w:tcPr>
          <w:p>
            <w:pPr>
              <w:spacing w:after="0"/>
              <w:rPr>
                <w:sz w:val="16"/>
                <w:szCs w:val="16"/>
                <w:color w:val="auto"/>
              </w:rPr>
            </w:pPr>
          </w:p>
        </w:tc>
        <w:tc>
          <w:tcPr>
            <w:tcW w:w="9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Trust</w:t>
            </w:r>
          </w:p>
        </w:tc>
        <w:tc>
          <w:tcPr>
            <w:tcW w:w="14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Westwood</w:t>
            </w:r>
          </w:p>
        </w:tc>
        <w:tc>
          <w:tcPr>
            <w:tcW w:w="160" w:type="dxa"/>
            <w:vAlign w:val="bottom"/>
          </w:tcPr>
          <w:p>
            <w:pPr>
              <w:spacing w:after="0"/>
              <w:rPr>
                <w:sz w:val="16"/>
                <w:szCs w:val="16"/>
                <w:color w:val="auto"/>
              </w:rPr>
            </w:pP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60" w:type="dxa"/>
            <w:vAlign w:val="bottom"/>
          </w:tcPr>
          <w:p>
            <w:pPr>
              <w:spacing w:after="0"/>
              <w:rPr>
                <w:sz w:val="16"/>
                <w:szCs w:val="16"/>
                <w:color w:val="auto"/>
              </w:rPr>
            </w:pPr>
          </w:p>
        </w:tc>
        <w:tc>
          <w:tcPr>
            <w:tcW w:w="1140" w:type="dxa"/>
            <w:vAlign w:val="bottom"/>
            <w:vMerge w:val="restart"/>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50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Holdings</w:t>
            </w:r>
          </w:p>
        </w:tc>
        <w:tc>
          <w:tcPr>
            <w:tcW w:w="16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2022</w:t>
            </w: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fee revenues from external sources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10,474</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15,651</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intersegment revenues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48"/>
        </w:trPr>
        <w:tc>
          <w:tcPr>
            <w:tcW w:w="5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15,406</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30, 2022 segment assets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227,781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130,987</w:t>
            </w: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September 30, 2022 segment goodwill</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16,401</w:t>
            </w:r>
          </w:p>
        </w:tc>
        <w:tc>
          <w:tcPr>
            <w:tcW w:w="0" w:type="dxa"/>
            <w:vAlign w:val="bottom"/>
          </w:tcPr>
          <w:p>
            <w:pPr>
              <w:spacing w:after="0"/>
              <w:rPr>
                <w:sz w:val="1"/>
                <w:szCs w:val="1"/>
                <w:color w:val="auto"/>
              </w:rPr>
            </w:pPr>
          </w:p>
        </w:tc>
      </w:tr>
      <w:tr>
        <w:trPr>
          <w:trHeight w:val="256"/>
        </w:trPr>
        <w:tc>
          <w:tcPr>
            <w:tcW w:w="50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fee revenues from external sources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17,963</w:t>
            </w:r>
          </w:p>
        </w:tc>
        <w:tc>
          <w:tcPr>
            <w:tcW w:w="0" w:type="dxa"/>
            <w:vAlign w:val="bottom"/>
          </w:tcPr>
          <w:p>
            <w:pPr>
              <w:spacing w:after="0"/>
              <w:rPr>
                <w:sz w:val="1"/>
                <w:szCs w:val="1"/>
                <w:color w:val="auto"/>
              </w:rPr>
            </w:pPr>
          </w:p>
        </w:tc>
      </w:tr>
      <w:tr>
        <w:trPr>
          <w:trHeight w:val="229"/>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intersegment revenues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23"/>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12,484</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17,860</w:t>
            </w:r>
          </w:p>
        </w:tc>
        <w:tc>
          <w:tcPr>
            <w:tcW w:w="0" w:type="dxa"/>
            <w:vAlign w:val="bottom"/>
          </w:tcPr>
          <w:p>
            <w:pPr>
              <w:spacing w:after="0"/>
              <w:rPr>
                <w:sz w:val="1"/>
                <w:szCs w:val="1"/>
                <w:color w:val="auto"/>
              </w:rPr>
            </w:pPr>
          </w:p>
        </w:tc>
      </w:tr>
      <w:tr>
        <w:trPr>
          <w:trHeight w:val="20"/>
        </w:trPr>
        <w:tc>
          <w:tcPr>
            <w:tcW w:w="50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September 30, 2021 segment assets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215,903</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(150,405)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135,262</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30, 2021 segment goodwill</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16,401</w:t>
            </w:r>
          </w:p>
        </w:tc>
        <w:tc>
          <w:tcPr>
            <w:tcW w:w="0" w:type="dxa"/>
            <w:vAlign w:val="bottom"/>
          </w:tcPr>
          <w:p>
            <w:pPr>
              <w:spacing w:after="0"/>
              <w:rPr>
                <w:sz w:val="1"/>
                <w:szCs w:val="1"/>
                <w:color w:val="auto"/>
              </w:rPr>
            </w:pPr>
          </w:p>
        </w:tc>
      </w:tr>
      <w:tr>
        <w:trPr>
          <w:trHeight w:val="770"/>
        </w:trPr>
        <w:tc>
          <w:tcPr>
            <w:tcW w:w="5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Advisory</w:t>
            </w:r>
          </w:p>
        </w:tc>
        <w:tc>
          <w:tcPr>
            <w:tcW w:w="220" w:type="dxa"/>
            <w:vAlign w:val="bottom"/>
          </w:tcPr>
          <w:p>
            <w:pPr>
              <w:spacing w:after="0"/>
              <w:rPr>
                <w:sz w:val="24"/>
                <w:szCs w:val="24"/>
                <w:color w:val="auto"/>
              </w:rPr>
            </w:pPr>
          </w:p>
        </w:tc>
        <w:tc>
          <w:tcPr>
            <w:tcW w:w="9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Trust</w:t>
            </w:r>
          </w:p>
        </w:tc>
        <w:tc>
          <w:tcPr>
            <w:tcW w:w="140" w:type="dxa"/>
            <w:vAlign w:val="bottom"/>
          </w:tcPr>
          <w:p>
            <w:pPr>
              <w:spacing w:after="0"/>
              <w:rPr>
                <w:sz w:val="24"/>
                <w:szCs w:val="24"/>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Westwood</w:t>
            </w:r>
          </w:p>
        </w:tc>
        <w:tc>
          <w:tcPr>
            <w:tcW w:w="160" w:type="dxa"/>
            <w:vAlign w:val="bottom"/>
          </w:tcPr>
          <w:p>
            <w:pPr>
              <w:spacing w:after="0"/>
              <w:rPr>
                <w:sz w:val="24"/>
                <w:szCs w:val="24"/>
                <w:color w:val="auto"/>
              </w:rPr>
            </w:pP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60" w:type="dxa"/>
            <w:vAlign w:val="bottom"/>
          </w:tcPr>
          <w:p>
            <w:pPr>
              <w:spacing w:after="0"/>
              <w:rPr>
                <w:sz w:val="24"/>
                <w:szCs w:val="24"/>
                <w:color w:val="auto"/>
              </w:rPr>
            </w:pPr>
          </w:p>
        </w:tc>
        <w:tc>
          <w:tcPr>
            <w:tcW w:w="1140" w:type="dxa"/>
            <w:vAlign w:val="bottom"/>
            <w:vMerge w:val="restart"/>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50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Holdings</w:t>
            </w:r>
          </w:p>
        </w:tc>
        <w:tc>
          <w:tcPr>
            <w:tcW w:w="16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2022</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fee revenues from external sources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33,244</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49,501</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intersegment revenues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0" w:type="dxa"/>
            <w:vAlign w:val="bottom"/>
          </w:tcPr>
          <w:p>
            <w:pPr>
              <w:spacing w:after="0"/>
              <w:rPr>
                <w:sz w:val="1"/>
                <w:szCs w:val="1"/>
                <w:color w:val="auto"/>
              </w:rPr>
            </w:pPr>
          </w:p>
        </w:tc>
      </w:tr>
      <w:tr>
        <w:trPr>
          <w:trHeight w:val="248"/>
        </w:trPr>
        <w:tc>
          <w:tcPr>
            <w:tcW w:w="5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48,225</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fee revenues from external sources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35,805</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54,038</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intersegment revenues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48"/>
        </w:trPr>
        <w:tc>
          <w:tcPr>
            <w:tcW w:w="5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53,663</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INVESTMENTS</w:t>
      </w:r>
    </w:p>
    <w:p>
      <w:pPr>
        <w:spacing w:after="0" w:line="121"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During 2018, we made a $5.4 million strategic investment in InvestCloud, a digital financial services provider ("InvestCloud"), which is included in “Investments” on our Condensed Consolidated Balance Sheets. This investment represents an equity interest in a private company without a readily determinable fair value. The Company has elected to apply the measurement alternative of cost minus impairment, if any, plus or minus changes resulting from observable price changes.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 (Continued) (Unaudited)</w:t>
      </w:r>
    </w:p>
    <w:p>
      <w:pPr>
        <w:spacing w:after="0" w:line="391" w:lineRule="exact"/>
        <w:rPr>
          <w:sz w:val="20"/>
          <w:szCs w:val="20"/>
          <w:color w:val="auto"/>
        </w:rPr>
      </w:pPr>
    </w:p>
    <w:p>
      <w:pPr>
        <w:ind w:right="160" w:firstLine="486"/>
        <w:spacing w:after="0" w:line="312" w:lineRule="auto"/>
        <w:rPr>
          <w:sz w:val="20"/>
          <w:szCs w:val="20"/>
          <w:color w:val="auto"/>
        </w:rPr>
      </w:pPr>
      <w:r>
        <w:rPr>
          <w:rFonts w:ascii="Times New Roman" w:cs="Times New Roman" w:eastAsia="Times New Roman" w:hAnsi="Times New Roman"/>
          <w:sz w:val="17"/>
          <w:szCs w:val="17"/>
          <w:color w:val="auto"/>
        </w:rPr>
        <w:t>Following InvestCloud's recapitalization in the first quarter of 2021, we recorded a realized gain of approximately $8.3 million when our originally purchased shares were redeemed. Following this redemption we re-invested $4.4 million of our proceeds into newly-issued shares of InvestCloud.</w:t>
      </w:r>
    </w:p>
    <w:p>
      <w:pPr>
        <w:spacing w:after="0" w:line="32"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Our investment in Charis, the parent company of Westwood Private Bank ("Charis"), is included in “Noncurrent investments at fair value” on our Condensed Consolidated Balance Sheets and is measured at fair value on a recurring basis.</w:t>
      </w:r>
    </w:p>
    <w:p>
      <w:pPr>
        <w:spacing w:after="0" w:line="54" w:lineRule="exact"/>
        <w:rPr>
          <w:sz w:val="20"/>
          <w:szCs w:val="20"/>
          <w:color w:val="auto"/>
        </w:rPr>
      </w:pPr>
    </w:p>
    <w:p>
      <w:pPr>
        <w:jc w:val="both"/>
        <w:ind w:right="120" w:firstLine="486"/>
        <w:spacing w:after="0" w:line="266" w:lineRule="auto"/>
        <w:rPr>
          <w:sz w:val="20"/>
          <w:szCs w:val="20"/>
          <w:color w:val="auto"/>
        </w:rPr>
      </w:pPr>
      <w:r>
        <w:rPr>
          <w:rFonts w:ascii="Times New Roman" w:cs="Times New Roman" w:eastAsia="Times New Roman" w:hAnsi="Times New Roman"/>
          <w:sz w:val="18"/>
          <w:szCs w:val="18"/>
          <w:color w:val="auto"/>
        </w:rPr>
        <w:t>In the nine months ended September 30, 2022, we reported unrealized losses of approximately $0.6 million following fair value decreases resulting from market transactions. In the nine months ended September 30, 2021, we recorded unrealized gains of approximately $0.7 million, following fair value increases resulting from market transactions.</w:t>
      </w:r>
    </w:p>
    <w:p>
      <w:pPr>
        <w:spacing w:after="0" w:line="68" w:lineRule="exact"/>
        <w:rPr>
          <w:sz w:val="20"/>
          <w:szCs w:val="20"/>
          <w:color w:val="auto"/>
        </w:rPr>
      </w:pPr>
    </w:p>
    <w:p>
      <w:pPr>
        <w:ind w:right="300" w:firstLine="486"/>
        <w:spacing w:after="0" w:line="266" w:lineRule="auto"/>
        <w:rPr>
          <w:sz w:val="20"/>
          <w:szCs w:val="20"/>
          <w:color w:val="auto"/>
        </w:rPr>
      </w:pPr>
      <w:r>
        <w:rPr>
          <w:rFonts w:ascii="Times New Roman" w:cs="Times New Roman" w:eastAsia="Times New Roman" w:hAnsi="Times New Roman"/>
          <w:sz w:val="18"/>
          <w:szCs w:val="18"/>
          <w:color w:val="auto"/>
        </w:rPr>
        <w:t>In 2019 we made a $0.3 million investment in Westwood Hospitality Fund I, LLC, a private investment fund. Our investment is included in “Noncurrent investments at fair value” on our Condensed Consolidated Balance Sheets and is measured at fair value on a recurring basis using net asset value (“NAV”) as a practical expedient.</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All other investments are carried at fair value on a recurring basis and are accounted for as trading securities.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Investments carried at fair value are presented in the table below (in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60" w:type="dxa"/>
            <w:vAlign w:val="bottom"/>
          </w:tcPr>
          <w:p>
            <w:pPr>
              <w:spacing w:after="0"/>
              <w:rPr>
                <w:sz w:val="16"/>
                <w:szCs w:val="16"/>
                <w:color w:val="auto"/>
              </w:rPr>
            </w:pPr>
          </w:p>
        </w:tc>
        <w:tc>
          <w:tcPr>
            <w:tcW w:w="960" w:type="dxa"/>
            <w:vAlign w:val="bottom"/>
          </w:tcPr>
          <w:p>
            <w:pPr>
              <w:jc w:val="center"/>
              <w:ind w:right="71"/>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0" w:type="dxa"/>
            <w:vAlign w:val="bottom"/>
          </w:tcPr>
          <w:p>
            <w:pPr>
              <w:spacing w:after="0"/>
              <w:rPr>
                <w:sz w:val="1"/>
                <w:szCs w:val="1"/>
                <w:color w:val="auto"/>
              </w:rPr>
            </w:pPr>
          </w:p>
        </w:tc>
      </w:tr>
      <w:tr>
        <w:trPr>
          <w:trHeight w:val="162"/>
        </w:trPr>
        <w:tc>
          <w:tcPr>
            <w:tcW w:w="6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40" w:type="dxa"/>
            <w:vAlign w:val="bottom"/>
          </w:tcPr>
          <w:p>
            <w:pPr>
              <w:spacing w:after="0"/>
              <w:rPr>
                <w:sz w:val="14"/>
                <w:szCs w:val="14"/>
                <w:color w:val="auto"/>
              </w:rPr>
            </w:pPr>
          </w:p>
        </w:tc>
        <w:tc>
          <w:tcPr>
            <w:tcW w:w="11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40" w:type="dxa"/>
            <w:vAlign w:val="bottom"/>
          </w:tcPr>
          <w:p>
            <w:pPr>
              <w:spacing w:after="0"/>
              <w:rPr>
                <w:sz w:val="14"/>
                <w:szCs w:val="14"/>
                <w:color w:val="auto"/>
              </w:rPr>
            </w:pPr>
          </w:p>
        </w:tc>
        <w:tc>
          <w:tcPr>
            <w:tcW w:w="108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160" w:type="dxa"/>
            <w:vAlign w:val="bottom"/>
          </w:tcPr>
          <w:p>
            <w:pPr>
              <w:spacing w:after="0"/>
              <w:rPr>
                <w:sz w:val="14"/>
                <w:szCs w:val="14"/>
                <w:color w:val="auto"/>
              </w:rPr>
            </w:pPr>
          </w:p>
        </w:tc>
        <w:tc>
          <w:tcPr>
            <w:tcW w:w="960" w:type="dxa"/>
            <w:vAlign w:val="bottom"/>
          </w:tcPr>
          <w:p>
            <w:pPr>
              <w:jc w:val="center"/>
              <w:ind w:right="71"/>
              <w:spacing w:after="0" w:line="162" w:lineRule="exact"/>
              <w:rPr>
                <w:sz w:val="20"/>
                <w:szCs w:val="20"/>
                <w:color w:val="auto"/>
              </w:rPr>
            </w:pPr>
            <w:r>
              <w:rPr>
                <w:rFonts w:ascii="Times New Roman" w:cs="Times New Roman" w:eastAsia="Times New Roman" w:hAnsi="Times New Roman"/>
                <w:sz w:val="16"/>
                <w:szCs w:val="16"/>
                <w:b w:val="1"/>
                <w:bCs w:val="1"/>
                <w:color w:val="auto"/>
                <w:w w:val="95"/>
              </w:rPr>
              <w:t>Fair</w:t>
            </w:r>
          </w:p>
        </w:tc>
        <w:tc>
          <w:tcPr>
            <w:tcW w:w="0" w:type="dxa"/>
            <w:vAlign w:val="bottom"/>
          </w:tcPr>
          <w:p>
            <w:pPr>
              <w:spacing w:after="0"/>
              <w:rPr>
                <w:sz w:val="1"/>
                <w:szCs w:val="1"/>
                <w:color w:val="auto"/>
              </w:rPr>
            </w:pPr>
          </w:p>
        </w:tc>
      </w:tr>
      <w:tr>
        <w:trPr>
          <w:trHeight w:val="214"/>
        </w:trPr>
        <w:tc>
          <w:tcPr>
            <w:tcW w:w="6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60" w:type="dxa"/>
            <w:vAlign w:val="bottom"/>
          </w:tcPr>
          <w:p>
            <w:pPr>
              <w:spacing w:after="0"/>
              <w:rPr>
                <w:sz w:val="18"/>
                <w:szCs w:val="18"/>
                <w:color w:val="auto"/>
              </w:rPr>
            </w:pPr>
          </w:p>
        </w:tc>
        <w:tc>
          <w:tcPr>
            <w:tcW w:w="960" w:type="dxa"/>
            <w:vAlign w:val="bottom"/>
          </w:tcPr>
          <w:p>
            <w:pPr>
              <w:jc w:val="center"/>
              <w:ind w:right="71"/>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211"/>
        </w:trPr>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33,931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33,374</w:t>
            </w: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12,888</w:t>
            </w: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funds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4,082</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Exchange-traded bond funds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23"/>
        </w:trPr>
        <w:tc>
          <w:tcPr>
            <w:tcW w:w="64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trading securities</w:t>
            </w: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52,983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51,564</w:t>
            </w: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investment fund</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equity</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3,776</w:t>
            </w:r>
          </w:p>
        </w:tc>
        <w:tc>
          <w:tcPr>
            <w:tcW w:w="0" w:type="dxa"/>
            <w:vAlign w:val="bottom"/>
          </w:tcPr>
          <w:p>
            <w:pPr>
              <w:spacing w:after="0"/>
              <w:rPr>
                <w:sz w:val="1"/>
                <w:szCs w:val="1"/>
                <w:color w:val="auto"/>
              </w:rPr>
            </w:pPr>
          </w:p>
        </w:tc>
      </w:tr>
      <w:tr>
        <w:trPr>
          <w:trHeight w:val="223"/>
        </w:trPr>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investments carried at fair value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56,668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55,565</w:t>
            </w:r>
          </w:p>
        </w:tc>
        <w:tc>
          <w:tcPr>
            <w:tcW w:w="0" w:type="dxa"/>
            <w:vAlign w:val="bottom"/>
          </w:tcPr>
          <w:p>
            <w:pPr>
              <w:spacing w:after="0"/>
              <w:rPr>
                <w:sz w:val="1"/>
                <w:szCs w:val="1"/>
                <w:color w:val="auto"/>
              </w:rPr>
            </w:pP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39,435</w:t>
            </w: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19,661</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funds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4,286</w:t>
            </w: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Exchange-traded bond funds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23"/>
        </w:trPr>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trading securities</w:t>
            </w: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65,158</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65,024</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investment fund</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equity</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4,369</w:t>
            </w:r>
          </w:p>
        </w:tc>
        <w:tc>
          <w:tcPr>
            <w:tcW w:w="0" w:type="dxa"/>
            <w:vAlign w:val="bottom"/>
          </w:tcPr>
          <w:p>
            <w:pPr>
              <w:spacing w:after="0"/>
              <w:rPr>
                <w:sz w:val="1"/>
                <w:szCs w:val="1"/>
                <w:color w:val="auto"/>
              </w:rPr>
            </w:pPr>
          </w:p>
        </w:tc>
      </w:tr>
      <w:tr>
        <w:trPr>
          <w:trHeight w:val="248"/>
        </w:trPr>
        <w:tc>
          <w:tcPr>
            <w:tcW w:w="64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investments carried at fair value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69,537</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MEASUREMENTS</w:t>
      </w:r>
    </w:p>
    <w:p>
      <w:pPr>
        <w:spacing w:after="0" w:line="121"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ASC 820, Fair Value Measurements, defines fair value, establishes a framework for measuring fair value and requires disclosures regarding certain fair value measurements. ASC 820 establishes a three-tier hierarchy for measuring fair value, as follows:</w:t>
      </w:r>
    </w:p>
    <w:p>
      <w:pPr>
        <w:spacing w:after="0" w:line="54" w:lineRule="exact"/>
        <w:rPr>
          <w:sz w:val="20"/>
          <w:szCs w:val="20"/>
          <w:color w:val="auto"/>
        </w:rPr>
      </w:pPr>
    </w:p>
    <w:p>
      <w:pPr>
        <w:ind w:left="1140" w:hanging="565"/>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market prices in active markets for identical assets</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that are directly or indirectly observable</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significant unobservable inputs where there is little or no market activity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 (Continued) (Unaudited)</w:t>
      </w:r>
    </w:p>
    <w:p>
      <w:pPr>
        <w:spacing w:after="0" w:line="391"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Our strategic investment in InvestCloud, discussed in Note 5 “Investments,” is excluded from the recurring fair value table shown below because we have elected to apply the measurement alternative for this investment.</w:t>
      </w:r>
    </w:p>
    <w:p>
      <w:pPr>
        <w:spacing w:after="0" w:line="54"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values of our investments measured at fair value on a recurring basis within the fair value hierarchy as of the dates indicated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20" w:type="dxa"/>
            <w:vAlign w:val="bottom"/>
          </w:tcPr>
          <w:p>
            <w:pPr>
              <w:spacing w:after="0"/>
              <w:rPr>
                <w:sz w:val="14"/>
                <w:szCs w:val="14"/>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Pr>
          <w:p>
            <w:pPr>
              <w:spacing w:after="0"/>
              <w:rPr>
                <w:sz w:val="14"/>
                <w:szCs w:val="14"/>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40" w:type="dxa"/>
            <w:vAlign w:val="bottom"/>
          </w:tcPr>
          <w:p>
            <w:pPr>
              <w:spacing w:after="0"/>
              <w:rPr>
                <w:sz w:val="14"/>
                <w:szCs w:val="14"/>
                <w:color w:val="auto"/>
              </w:rPr>
            </w:pPr>
          </w:p>
        </w:tc>
        <w:tc>
          <w:tcPr>
            <w:tcW w:w="12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Measured at</w:t>
            </w:r>
          </w:p>
        </w:tc>
        <w:tc>
          <w:tcPr>
            <w:tcW w:w="240" w:type="dxa"/>
            <w:vAlign w:val="bottom"/>
          </w:tcPr>
          <w:p>
            <w:pPr>
              <w:spacing w:after="0"/>
              <w:rPr>
                <w:sz w:val="14"/>
                <w:szCs w:val="14"/>
                <w:color w:val="auto"/>
              </w:rPr>
            </w:pPr>
          </w:p>
        </w:tc>
        <w:tc>
          <w:tcPr>
            <w:tcW w:w="880" w:type="dxa"/>
            <w:vAlign w:val="bottom"/>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line="216" w:lineRule="exact"/>
              <w:rPr>
                <w:sz w:val="20"/>
                <w:szCs w:val="20"/>
                <w:color w:val="auto"/>
              </w:rPr>
            </w:pPr>
            <w:r>
              <w:rPr>
                <w:rFonts w:ascii="Times New Roman" w:cs="Times New Roman" w:eastAsia="Times New Roman" w:hAnsi="Times New Roman"/>
                <w:sz w:val="16"/>
                <w:szCs w:val="16"/>
                <w:b w:val="1"/>
                <w:bCs w:val="1"/>
                <w:color w:val="auto"/>
                <w:w w:val="87"/>
              </w:rPr>
              <w:t xml:space="preserve">NAV </w:t>
            </w:r>
            <w:r>
              <w:rPr>
                <w:rFonts w:ascii="Times New Roman" w:cs="Times New Roman" w:eastAsia="Times New Roman" w:hAnsi="Times New Roman"/>
                <w:sz w:val="21"/>
                <w:szCs w:val="21"/>
                <w:color w:val="auto"/>
                <w:w w:val="87"/>
                <w:vertAlign w:val="superscript"/>
              </w:rPr>
              <w:t>(1)</w:t>
            </w: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of September 30, 2022:</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trading securities</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51,564</w:t>
            </w:r>
          </w:p>
        </w:tc>
        <w:tc>
          <w:tcPr>
            <w:tcW w:w="100" w:type="dxa"/>
            <w:vAlign w:val="bottom"/>
          </w:tcPr>
          <w:p>
            <w:pPr>
              <w:spacing w:after="0"/>
              <w:rPr>
                <w:sz w:val="19"/>
                <w:szCs w:val="19"/>
                <w:color w:val="auto"/>
              </w:rPr>
            </w:pP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51,564</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investment fund</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equity</w:t>
            </w: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3,776</w:t>
            </w:r>
          </w:p>
        </w:tc>
        <w:tc>
          <w:tcPr>
            <w:tcW w:w="0" w:type="dxa"/>
            <w:vAlign w:val="bottom"/>
          </w:tcPr>
          <w:p>
            <w:pPr>
              <w:spacing w:after="0"/>
              <w:rPr>
                <w:sz w:val="1"/>
                <w:szCs w:val="1"/>
                <w:color w:val="auto"/>
              </w:rPr>
            </w:pPr>
          </w:p>
        </w:tc>
      </w:tr>
      <w:tr>
        <w:trPr>
          <w:trHeight w:val="248"/>
        </w:trPr>
        <w:tc>
          <w:tcPr>
            <w:tcW w:w="51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51,564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55,565</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trading securities</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65,024</w:t>
            </w:r>
          </w:p>
        </w:tc>
        <w:tc>
          <w:tcPr>
            <w:tcW w:w="100" w:type="dxa"/>
            <w:vAlign w:val="bottom"/>
          </w:tcPr>
          <w:p>
            <w:pPr>
              <w:spacing w:after="0"/>
              <w:rPr>
                <w:sz w:val="19"/>
                <w:szCs w:val="19"/>
                <w:color w:val="auto"/>
              </w:rPr>
            </w:pP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65,024</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investment fund</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equity</w:t>
            </w: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4,369</w:t>
            </w:r>
          </w:p>
        </w:tc>
        <w:tc>
          <w:tcPr>
            <w:tcW w:w="0" w:type="dxa"/>
            <w:vAlign w:val="bottom"/>
          </w:tcPr>
          <w:p>
            <w:pPr>
              <w:spacing w:after="0"/>
              <w:rPr>
                <w:sz w:val="1"/>
                <w:szCs w:val="1"/>
                <w:color w:val="auto"/>
              </w:rPr>
            </w:pPr>
          </w:p>
        </w:tc>
      </w:tr>
      <w:tr>
        <w:trPr>
          <w:trHeight w:val="248"/>
        </w:trPr>
        <w:tc>
          <w:tcPr>
            <w:tcW w:w="51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69,537</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left="20" w:right="620" w:firstLine="6"/>
        <w:spacing w:after="0" w:line="261" w:lineRule="auto"/>
        <w:tabs>
          <w:tab w:leader="none" w:pos="224"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Comprised of certain investments measured at fair value using net asset value ("NAV") as a practical expedient. The fair value amounts presented in this table are intended to permit reconciliation of the fair value hierarchy to the amounts presented on our Condensed Consolidated Balance Sheets.</w:t>
      </w:r>
    </w:p>
    <w:p>
      <w:pPr>
        <w:spacing w:after="0" w:line="316"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Our investment in Charis is included within Level 3 of the fair value hierarchy as we value that investment utilizing inputs not observable in the market. Our investment is measured at fair value on a recurring basis using a market approach based on a price to tangible book value multiple range that is determined to be reasonable in the current environment, or on market transactions. Management believes this valuation methodology is consistent with the banking industry and we reevaluate our methodology and inputs on a quarterly basis.</w:t>
      </w:r>
    </w:p>
    <w:p>
      <w:pPr>
        <w:spacing w:after="0" w:line="72" w:lineRule="exact"/>
        <w:rPr>
          <w:sz w:val="20"/>
          <w:szCs w:val="20"/>
          <w:color w:val="auto"/>
        </w:rPr>
      </w:pPr>
    </w:p>
    <w:p>
      <w:pPr>
        <w:ind w:right="680" w:firstLine="486"/>
        <w:spacing w:after="0" w:line="272" w:lineRule="auto"/>
        <w:rPr>
          <w:sz w:val="20"/>
          <w:szCs w:val="20"/>
          <w:color w:val="auto"/>
        </w:rPr>
      </w:pPr>
      <w:r>
        <w:rPr>
          <w:rFonts w:ascii="Times New Roman" w:cs="Times New Roman" w:eastAsia="Times New Roman" w:hAnsi="Times New Roman"/>
          <w:sz w:val="18"/>
          <w:szCs w:val="18"/>
          <w:color w:val="auto"/>
        </w:rPr>
        <w:t>The following table summarizes the changes in Level 3 investments measured at fair value on a recurring basis for the periods presented (in thousands):</w:t>
      </w:r>
    </w:p>
    <w:tbl>
      <w:tblPr>
        <w:tblLayout w:type="fixed"/>
        <w:tblInd w:w="0" w:type="dxa"/>
        <w:tblCellMar>
          <w:top w:w="0" w:type="dxa"/>
          <w:left w:w="0" w:type="dxa"/>
          <w:bottom w:w="0" w:type="dxa"/>
          <w:right w:w="0" w:type="dxa"/>
        </w:tblCellMar>
      </w:tblPr>
      <w:tr>
        <w:trPr>
          <w:trHeight w:val="206"/>
        </w:trPr>
        <w:tc>
          <w:tcPr>
            <w:tcW w:w="448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4480" w:type="dxa"/>
            <w:vAlign w:val="bottom"/>
            <w:tcBorders>
              <w:bottom w:val="single" w:sz="8" w:color="auto"/>
            </w:tcBorders>
            <w:gridSpan w:val="9"/>
          </w:tcPr>
          <w:p>
            <w:pPr>
              <w:jc w:val="right"/>
              <w:ind w:right="155"/>
              <w:spacing w:after="0"/>
              <w:rPr>
                <w:sz w:val="20"/>
                <w:szCs w:val="20"/>
                <w:color w:val="auto"/>
              </w:rPr>
            </w:pPr>
            <w:r>
              <w:rPr>
                <w:rFonts w:ascii="Times New Roman" w:cs="Times New Roman" w:eastAsia="Times New Roman" w:hAnsi="Times New Roman"/>
                <w:sz w:val="15"/>
                <w:szCs w:val="15"/>
                <w:b w:val="1"/>
                <w:bCs w:val="1"/>
                <w:color w:val="auto"/>
              </w:rPr>
              <w:t>Fair Value using Significant Unobservable Inputs (Level 3)</w:t>
            </w:r>
          </w:p>
        </w:tc>
        <w:tc>
          <w:tcPr>
            <w:tcW w:w="1220" w:type="dxa"/>
            <w:vAlign w:val="bottom"/>
            <w:tcBorders>
              <w:bottom w:val="single" w:sz="8" w:color="auto"/>
            </w:tcBorders>
          </w:tcPr>
          <w:p>
            <w:pPr>
              <w:spacing w:after="0"/>
              <w:rPr>
                <w:sz w:val="17"/>
                <w:szCs w:val="17"/>
                <w:color w:val="auto"/>
              </w:rPr>
            </w:pPr>
          </w:p>
        </w:tc>
      </w:tr>
      <w:tr>
        <w:trPr>
          <w:trHeight w:val="200"/>
        </w:trPr>
        <w:tc>
          <w:tcPr>
            <w:tcW w:w="4480" w:type="dxa"/>
            <w:vAlign w:val="bottom"/>
          </w:tcPr>
          <w:p>
            <w:pPr>
              <w:spacing w:after="0"/>
              <w:rPr>
                <w:sz w:val="17"/>
                <w:szCs w:val="17"/>
                <w:color w:val="auto"/>
              </w:rPr>
            </w:pPr>
          </w:p>
        </w:tc>
        <w:tc>
          <w:tcPr>
            <w:tcW w:w="2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5"/>
                <w:szCs w:val="15"/>
                <w:b w:val="1"/>
                <w:bCs w:val="1"/>
                <w:color w:val="auto"/>
              </w:rPr>
              <w:t>Three Months Ended September 30,</w:t>
            </w:r>
          </w:p>
        </w:tc>
        <w:tc>
          <w:tcPr>
            <w:tcW w:w="4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4"/>
          </w:tcPr>
          <w:p>
            <w:pPr>
              <w:jc w:val="right"/>
              <w:ind w:right="455"/>
              <w:spacing w:after="0"/>
              <w:rPr>
                <w:sz w:val="20"/>
                <w:szCs w:val="20"/>
                <w:color w:val="auto"/>
              </w:rPr>
            </w:pPr>
            <w:r>
              <w:rPr>
                <w:rFonts w:ascii="Times New Roman" w:cs="Times New Roman" w:eastAsia="Times New Roman" w:hAnsi="Times New Roman"/>
                <w:sz w:val="15"/>
                <w:szCs w:val="15"/>
                <w:b w:val="1"/>
                <w:bCs w:val="1"/>
                <w:color w:val="auto"/>
              </w:rPr>
              <w:t>Nine Months Ended September 30,</w:t>
            </w:r>
          </w:p>
        </w:tc>
      </w:tr>
      <w:tr>
        <w:trPr>
          <w:trHeight w:val="221"/>
        </w:trPr>
        <w:tc>
          <w:tcPr>
            <w:tcW w:w="448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2021</w:t>
            </w:r>
          </w:p>
        </w:tc>
        <w:tc>
          <w:tcPr>
            <w:tcW w:w="4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7"/>
                <w:szCs w:val="17"/>
                <w:b w:val="1"/>
                <w:bCs w:val="1"/>
                <w:color w:val="auto"/>
              </w:rPr>
              <w:t>2022</w:t>
            </w:r>
          </w:p>
        </w:tc>
        <w:tc>
          <w:tcPr>
            <w:tcW w:w="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25"/>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Beginning balance</w:t>
            </w:r>
          </w:p>
        </w:tc>
        <w:tc>
          <w:tcPr>
            <w:tcW w:w="1060" w:type="dxa"/>
            <w:vAlign w:val="bottom"/>
            <w:shd w:val="clear" w:color="auto" w:fill="CCEEFF"/>
          </w:tcPr>
          <w:p>
            <w:pPr>
              <w:jc w:val="right"/>
              <w:ind w:right="857"/>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4,024</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5"/>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4,087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4,369</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3,431</w:t>
            </w:r>
          </w:p>
        </w:tc>
      </w:tr>
      <w:tr>
        <w:trPr>
          <w:trHeight w:val="226"/>
        </w:trPr>
        <w:tc>
          <w:tcPr>
            <w:tcW w:w="4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Unrealized gains (losses) on private investments</w:t>
            </w:r>
          </w:p>
        </w:tc>
        <w:tc>
          <w:tcPr>
            <w:tcW w:w="10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(248)</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(593)</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643</w:t>
            </w:r>
          </w:p>
        </w:tc>
      </w:tr>
      <w:tr>
        <w:trPr>
          <w:trHeight w:val="248"/>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Ending balance</w:t>
            </w:r>
          </w:p>
        </w:tc>
        <w:tc>
          <w:tcPr>
            <w:tcW w:w="1060" w:type="dxa"/>
            <w:vAlign w:val="bottom"/>
            <w:tcBorders>
              <w:bottom w:val="single" w:sz="8" w:color="auto"/>
            </w:tcBorders>
            <w:shd w:val="clear" w:color="auto" w:fill="CCEEFF"/>
          </w:tcPr>
          <w:p>
            <w:pPr>
              <w:jc w:val="right"/>
              <w:ind w:right="857"/>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3,776</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35"/>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4,074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3,776</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4,074</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The September 30, 2022 private investment fair value of $3.8 million was valued using a market approach based on a price to tangible book value multiple, with unobservable book value multiples ranging from $1.47 to $1.99 per share, with a weighted average of $1.66 per share. Significant increases (decreases) in book value multiples in isolation would have resulted in a significantly higher (lower) fair value measurement.</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22222"/>
        </w:rPr>
        <w:t>7. INCOME TAXES</w:t>
      </w:r>
    </w:p>
    <w:p>
      <w:pPr>
        <w:spacing w:after="0" w:line="121"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Our effective income tax rate differed from the 21% statutory rate for the three and nine months ended 2022 and 2021 due to permanent differences between book and tax restricted stock expense based on a decrease in our stock price between the restricted stock grant and vesting dates.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EARNINGS (LOSS) PER SHARE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 (Continued) (Unaudited)</w:t>
      </w:r>
    </w:p>
    <w:p>
      <w:pPr>
        <w:spacing w:after="0" w:line="391" w:lineRule="exact"/>
        <w:rPr>
          <w:sz w:val="20"/>
          <w:szCs w:val="20"/>
          <w:color w:val="auto"/>
        </w:rPr>
      </w:pPr>
    </w:p>
    <w:p>
      <w:pPr>
        <w:ind w:right="160" w:firstLine="486"/>
        <w:spacing w:after="0" w:line="256" w:lineRule="auto"/>
        <w:rPr>
          <w:sz w:val="20"/>
          <w:szCs w:val="20"/>
          <w:color w:val="auto"/>
        </w:rPr>
      </w:pPr>
      <w:r>
        <w:rPr>
          <w:rFonts w:ascii="Times New Roman" w:cs="Times New Roman" w:eastAsia="Times New Roman" w:hAnsi="Times New Roman"/>
          <w:sz w:val="18"/>
          <w:szCs w:val="18"/>
          <w:color w:val="auto"/>
        </w:rPr>
        <w:t>Basic earnings (loss) per common share is computed by dividing net income (loss) available to common stockholders by the weighted average number of shares outstanding for the applicable period. Diluted earnings per share is computed based on the weighted average number of shares outstanding plus the effect of any dilutive shares of restricted stock granted to employees and non-employee directors. There were approximately 150,000 and 40,000 anti-dilutive restricted shares outstanding for the three months ended September 30, 2022 and September 30, 2021, respectively. There were approximately 108,000 and 138,000 anti-dilutive restricted shares outstanding for the nine months ended September 30, 2022 and September 30, 2021, respectively.</w:t>
      </w:r>
    </w:p>
    <w:p>
      <w:pPr>
        <w:spacing w:after="0" w:line="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(loss) per share (in thousands, except per share and share amounts):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120" w:type="dxa"/>
            <w:vAlign w:val="bottom"/>
            <w:gridSpan w:val="5"/>
          </w:tcPr>
          <w:p>
            <w:pPr>
              <w:ind w:left="180"/>
              <w:spacing w:after="0"/>
              <w:rPr>
                <w:sz w:val="20"/>
                <w:szCs w:val="20"/>
                <w:color w:val="auto"/>
              </w:rPr>
            </w:pPr>
            <w:r>
              <w:rPr>
                <w:rFonts w:ascii="Times New Roman" w:cs="Times New Roman" w:eastAsia="Times New Roman" w:hAnsi="Times New Roman"/>
                <w:sz w:val="15"/>
                <w:szCs w:val="15"/>
                <w:b w:val="1"/>
                <w:bCs w:val="1"/>
                <w:color w:val="auto"/>
              </w:rPr>
              <w:t>Three Months Ended September 30,</w:t>
            </w:r>
          </w:p>
        </w:tc>
        <w:tc>
          <w:tcPr>
            <w:tcW w:w="320" w:type="dxa"/>
            <w:vAlign w:val="bottom"/>
          </w:tcPr>
          <w:p>
            <w:pPr>
              <w:spacing w:after="0"/>
              <w:rPr>
                <w:sz w:val="17"/>
                <w:szCs w:val="17"/>
                <w:color w:val="auto"/>
              </w:rPr>
            </w:pPr>
          </w:p>
        </w:tc>
        <w:tc>
          <w:tcPr>
            <w:tcW w:w="3000" w:type="dxa"/>
            <w:vAlign w:val="bottom"/>
            <w:gridSpan w:val="4"/>
          </w:tcPr>
          <w:p>
            <w:pPr>
              <w:jc w:val="right"/>
              <w:ind w:right="436"/>
              <w:spacing w:after="0"/>
              <w:rPr>
                <w:sz w:val="20"/>
                <w:szCs w:val="20"/>
                <w:color w:val="auto"/>
              </w:rPr>
            </w:pPr>
            <w:r>
              <w:rPr>
                <w:rFonts w:ascii="Times New Roman" w:cs="Times New Roman" w:eastAsia="Times New Roman" w:hAnsi="Times New Roman"/>
                <w:sz w:val="15"/>
                <w:szCs w:val="15"/>
                <w:b w:val="1"/>
                <w:bCs w:val="1"/>
                <w:color w:val="auto"/>
              </w:rPr>
              <w:t>Nine Months Ended September 30,</w:t>
            </w:r>
          </w:p>
        </w:tc>
      </w:tr>
      <w:tr>
        <w:trPr>
          <w:trHeight w:val="200"/>
        </w:trPr>
        <w:tc>
          <w:tcPr>
            <w:tcW w:w="45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57"/>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57"/>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5"/>
                <w:szCs w:val="15"/>
                <w:b w:val="1"/>
                <w:bCs w:val="1"/>
                <w:color w:val="auto"/>
              </w:rPr>
              <w:t>2021</w:t>
            </w:r>
          </w:p>
        </w:tc>
      </w:tr>
      <w:tr>
        <w:trPr>
          <w:trHeight w:val="223"/>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(loss)</w:t>
            </w: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6,950</w:t>
            </w:r>
          </w:p>
        </w:tc>
      </w:tr>
      <w:tr>
        <w:trPr>
          <w:trHeight w:val="149"/>
        </w:trPr>
        <w:tc>
          <w:tcPr>
            <w:tcW w:w="4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22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Weighted average shares outstanding - basic</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7,794,060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7,887,259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7,867,555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7,886,359</w:t>
            </w:r>
          </w:p>
        </w:tc>
      </w:tr>
      <w:tr>
        <w:trPr>
          <w:trHeight w:val="226"/>
        </w:trPr>
        <w:tc>
          <w:tcPr>
            <w:tcW w:w="4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Dilutive potential shares from unvested restricted shares</w:t>
            </w:r>
          </w:p>
        </w:tc>
        <w:tc>
          <w:tcPr>
            <w:tcW w:w="3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68,822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47,501</w:t>
            </w:r>
          </w:p>
        </w:tc>
      </w:tr>
      <w:tr>
        <w:trPr>
          <w:trHeight w:val="227"/>
        </w:trPr>
        <w:tc>
          <w:tcPr>
            <w:tcW w:w="4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Weighted average shares outstanding - diluted</w:t>
            </w:r>
          </w:p>
        </w:tc>
        <w:tc>
          <w:tcPr>
            <w:tcW w:w="30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7,794,060</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7,956,081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7,867,555</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7,933,860</w:t>
            </w:r>
          </w:p>
        </w:tc>
      </w:tr>
      <w:tr>
        <w:trPr>
          <w:trHeight w:val="148"/>
        </w:trPr>
        <w:tc>
          <w:tcPr>
            <w:tcW w:w="4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22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Earnings (loss) per share:</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6"/>
        </w:trPr>
        <w:tc>
          <w:tcPr>
            <w:tcW w:w="4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Basic</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(0.15)</w:t>
            </w:r>
          </w:p>
        </w:tc>
        <w:tc>
          <w:tcPr>
            <w:tcW w:w="100" w:type="dxa"/>
            <w:vAlign w:val="bottom"/>
          </w:tcPr>
          <w:p>
            <w:pPr>
              <w:spacing w:after="0"/>
              <w:rPr>
                <w:sz w:val="19"/>
                <w:szCs w:val="19"/>
                <w:color w:val="auto"/>
              </w:rPr>
            </w:pPr>
          </w:p>
        </w:tc>
        <w:tc>
          <w:tcPr>
            <w:tcW w:w="38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0.24</w:t>
            </w:r>
          </w:p>
        </w:tc>
        <w:tc>
          <w:tcPr>
            <w:tcW w:w="100" w:type="dxa"/>
            <w:vAlign w:val="bottom"/>
          </w:tcPr>
          <w:p>
            <w:pPr>
              <w:spacing w:after="0"/>
              <w:rPr>
                <w:sz w:val="19"/>
                <w:szCs w:val="19"/>
                <w:color w:val="auto"/>
              </w:rPr>
            </w:pP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(0.19)</w:t>
            </w:r>
          </w:p>
        </w:tc>
        <w:tc>
          <w:tcPr>
            <w:tcW w:w="120" w:type="dxa"/>
            <w:vAlign w:val="bottom"/>
          </w:tcPr>
          <w:p>
            <w:pPr>
              <w:spacing w:after="0"/>
              <w:rPr>
                <w:sz w:val="19"/>
                <w:szCs w:val="19"/>
                <w:color w:val="auto"/>
              </w:rPr>
            </w:pPr>
          </w:p>
        </w:tc>
        <w:tc>
          <w:tcPr>
            <w:tcW w:w="38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0.88</w:t>
            </w:r>
          </w:p>
        </w:tc>
      </w:tr>
      <w:tr>
        <w:trPr>
          <w:trHeight w:val="233"/>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w:t>
            </w: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(0.15)</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(0.19)</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0.88</w:t>
            </w:r>
          </w:p>
        </w:tc>
      </w:tr>
    </w:tbl>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GOODWILL AND OTHER INTANGIBLE ASSETS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21"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Goodwill represents the excess of the cost of acquired assets over the fair value of the underlying identifiable assets at the date of acquisition. Goodwill is not amortized but is tested for impairment at least annually. We completed our most recent annual goodwill impairment assessment during the third quarter of 2022, and determined that no goodwill impairment related to the Trust segment was required. There was no goodwill impairment in the Trust segment during the three months ended September 30, 2022 or September 30,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Intangible Assets</w:t>
      </w:r>
    </w:p>
    <w:p>
      <w:pPr>
        <w:spacing w:after="0" w:line="121"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Our intangible assets represent the acquisition date fair value of acquired client relationships, trade names, non-compete agreements and internally developed software and are reflected net of amortization. In valuing these assets, we made significant estimates regarding their useful lives, growth rates and potential attrition. We periodically review intangible assets for events or circumstances that would indicate impairment. No intangible asset impairments were recorded during the three and nine months ended September 30, 2022 or September 30, 2021.</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22222"/>
        </w:rPr>
        <w:t>10. LEASES</w:t>
      </w:r>
    </w:p>
    <w:p>
      <w:pPr>
        <w:spacing w:after="0" w:line="121"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In the third quarter of 2022 we recorded additional right-of-use assets of $1.2 million as we have expanded our Houston, Texas office space and extended one of our leases. As of September 30, 2022 there have been no other material changes outside the ordinary course of business to our leases since December 31, 2021. For information regarding our leases, refer to Note 11 “Leases” in Part IV, Item 15. “Exhibits, Financial Statement Schedules” in our Annual Report on Form 10-K for the fiscal year ended December 31, 2021.</w:t>
      </w:r>
    </w:p>
    <w:p>
      <w:pPr>
        <w:spacing w:after="0" w:line="200" w:lineRule="exact"/>
        <w:rPr>
          <w:sz w:val="20"/>
          <w:szCs w:val="20"/>
          <w:color w:val="auto"/>
        </w:rPr>
      </w:pPr>
    </w:p>
    <w:p>
      <w:pPr>
        <w:spacing w:after="0" w:line="219" w:lineRule="exact"/>
        <w:rPr>
          <w:sz w:val="20"/>
          <w:szCs w:val="20"/>
          <w:color w:val="auto"/>
        </w:rPr>
      </w:pPr>
    </w:p>
    <w:p>
      <w:pPr>
        <w:ind w:right="8660" w:firstLine="8"/>
        <w:spacing w:after="0" w:line="378" w:lineRule="auto"/>
        <w:tabs>
          <w:tab w:leader="none" w:pos="2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Share Repurchase Program</w:t>
      </w: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September 30, 2022, we have $1.9 million of shares that may yet be repurchased under our plan.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 (Continued) (Unaudited)</w:t>
      </w:r>
    </w:p>
    <w:p>
      <w:pPr>
        <w:spacing w:after="0" w:line="39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the three months ended September 30, 2022, the Company repurchased 99,444 shares of our common stock at an average price of $12.64 per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including commissions, for an aggregate purchase price of $1.3 million under our share repurchase plan. During the three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2021, the Company repurchased 25,502 shares of our common stock at an average price of $19.57 per share, including commissions, for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purchase price of $0.5 million under our share repurchase plan.</w:t>
      </w:r>
    </w:p>
    <w:p>
      <w:pPr>
        <w:spacing w:after="0" w:line="99"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2022, the Company repurchased 169,630 shares of our common stock at an average price of $13.47 per share, including commissions, for an aggregate purchase price of $2.3 million under our share repurchase plan. During the nine months ended September 30, 2021, the Company repurchased 136,859 shares of our common stock at an average price of $16.07 per share, including commissions, for an aggregate purchase price of $2.2 million under our share repurchase plan.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Open Market Repurchases</w:t>
      </w:r>
    </w:p>
    <w:p>
      <w:pPr>
        <w:spacing w:after="0" w:line="121"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2022, the Company repurchased 35,891 shares of our common stock on the open market at an average price of $15.75 per share, including commissions, for an aggregate purchase price of $0.6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VARIABLE INTEREST ENTITIES</w:t>
      </w:r>
    </w:p>
    <w:p>
      <w:pPr>
        <w:spacing w:after="0" w:line="121"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We evaluated (i) our relationship as sponsor of the Common Trust Funds (“CTFs”) and managing member of the private equity funds Westwood Hospitality Fund I, LLC and Westwood Technology Opportunities Fund I, LP (collectively the “Private Funds”), (ii) our advisory relationships with the Westwood Funds®, and (iii) our investments in InvestCloud and Charis discussed in Note 5 “Investments” (“Private Equity”) to determine whether each of these entities is a variable interest entity (“VIE”) or voting ownership entity (“VOE”).</w:t>
      </w:r>
    </w:p>
    <w:p>
      <w:pPr>
        <w:spacing w:after="0" w:line="72"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Based on our analyses, we determined that the CTFs and Private Funds were VIEs, as the at-risk equity holders do not have the ability to direct the activities that most significantly impact the entities' economic performance, and the Company and its representatives have a majority control of the entities' respective boards of directors and can influence the respective entities' management and affairs.</w:t>
      </w:r>
    </w:p>
    <w:p>
      <w:pPr>
        <w:spacing w:after="0" w:line="68" w:lineRule="exact"/>
        <w:rPr>
          <w:sz w:val="20"/>
          <w:szCs w:val="20"/>
          <w:color w:val="auto"/>
        </w:rPr>
      </w:pPr>
    </w:p>
    <w:p>
      <w:pPr>
        <w:ind w:right="300" w:firstLine="486"/>
        <w:spacing w:after="0" w:line="266" w:lineRule="auto"/>
        <w:rPr>
          <w:sz w:val="20"/>
          <w:szCs w:val="20"/>
          <w:color w:val="auto"/>
        </w:rPr>
      </w:pPr>
      <w:r>
        <w:rPr>
          <w:rFonts w:ascii="Times New Roman" w:cs="Times New Roman" w:eastAsia="Times New Roman" w:hAnsi="Times New Roman"/>
          <w:sz w:val="18"/>
          <w:szCs w:val="18"/>
          <w:color w:val="auto"/>
        </w:rPr>
        <w:t>Based on our analyses, we determined the Westwood Funds® and Private Equity (i) have sufficient equity at risk to finance the entities' activities independently, (ii) have the obligation to absorb losses, the right to receive residual returns and the right to direct the activities of the entities that most significantly impact the entities' economic performance, and (iii) are not structured with disproportionate voting rights.</w:t>
      </w:r>
    </w:p>
    <w:p>
      <w:pPr>
        <w:spacing w:after="0" w:line="68" w:lineRule="exact"/>
        <w:rPr>
          <w:sz w:val="20"/>
          <w:szCs w:val="20"/>
          <w:color w:val="auto"/>
        </w:rPr>
      </w:pPr>
    </w:p>
    <w:p>
      <w:pPr>
        <w:ind w:right="820" w:firstLine="486"/>
        <w:spacing w:after="0" w:line="282" w:lineRule="auto"/>
        <w:rPr>
          <w:sz w:val="20"/>
          <w:szCs w:val="20"/>
          <w:color w:val="auto"/>
        </w:rPr>
      </w:pPr>
      <w:r>
        <w:rPr>
          <w:rFonts w:ascii="Times New Roman" w:cs="Times New Roman" w:eastAsia="Times New Roman" w:hAnsi="Times New Roman"/>
          <w:sz w:val="18"/>
          <w:szCs w:val="18"/>
          <w:color w:val="auto"/>
        </w:rPr>
        <w:t>Based on our analyses of our investments in these entities for the periods ended September 30, 2022 and December 31, 2021, we have not consolidated the CTFs or Private Funds under the VIE method or the Westwood Funds® or Private Equity under the VOE method.</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recognized fee revenue from the Westwood VIEs and Westwood VOEs as follows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60" w:type="dxa"/>
            <w:vAlign w:val="bottom"/>
            <w:gridSpan w:val="5"/>
          </w:tcPr>
          <w:p>
            <w:pPr>
              <w:ind w:left="10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20" w:type="dxa"/>
            <w:vAlign w:val="bottom"/>
          </w:tcPr>
          <w:p>
            <w:pPr>
              <w:spacing w:after="0"/>
              <w:rPr>
                <w:sz w:val="18"/>
                <w:szCs w:val="18"/>
                <w:color w:val="auto"/>
              </w:rPr>
            </w:pPr>
          </w:p>
        </w:tc>
        <w:tc>
          <w:tcPr>
            <w:tcW w:w="3980" w:type="dxa"/>
            <w:vAlign w:val="bottom"/>
            <w:gridSpan w:val="4"/>
          </w:tcPr>
          <w:p>
            <w:pPr>
              <w:jc w:val="right"/>
              <w:ind w:right="1315"/>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1"/>
        </w:trPr>
        <w:tc>
          <w:tcPr>
            <w:tcW w:w="29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2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September 30, 2021</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24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September 30, 2021</w:t>
            </w:r>
          </w:p>
        </w:tc>
      </w:tr>
      <w:tr>
        <w:trPr>
          <w:trHeight w:val="225"/>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Fee Revenues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 (Continued) (Unaudited)</w:t>
      </w:r>
    </w:p>
    <w:p>
      <w:pPr>
        <w:spacing w:after="0" w:line="39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displays the AUM and the risk of loss in each vehicle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6"/>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As of September 30, 2022</w:t>
            </w: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6640" w:type="dxa"/>
            <w:vAlign w:val="bottom"/>
          </w:tcPr>
          <w:p>
            <w:pPr>
              <w:spacing w:after="0"/>
              <w:rPr>
                <w:sz w:val="13"/>
                <w:szCs w:val="13"/>
                <w:color w:val="auto"/>
              </w:rPr>
            </w:pPr>
          </w:p>
        </w:tc>
        <w:tc>
          <w:tcPr>
            <w:tcW w:w="960" w:type="dxa"/>
            <w:vAlign w:val="bottom"/>
          </w:tcPr>
          <w:p>
            <w:pPr>
              <w:jc w:val="center"/>
              <w:ind w:left="439"/>
              <w:spacing w:after="0" w:line="158" w:lineRule="exact"/>
              <w:rPr>
                <w:sz w:val="20"/>
                <w:szCs w:val="20"/>
                <w:color w:val="auto"/>
              </w:rPr>
            </w:pPr>
            <w:r>
              <w:rPr>
                <w:rFonts w:ascii="Times New Roman" w:cs="Times New Roman" w:eastAsia="Times New Roman" w:hAnsi="Times New Roman"/>
                <w:sz w:val="16"/>
                <w:szCs w:val="16"/>
                <w:b w:val="1"/>
                <w:bCs w:val="1"/>
                <w:color w:val="auto"/>
              </w:rPr>
              <w:t>Assets</w:t>
            </w: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3"/>
            <w:vMerge w:val="restart"/>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40" w:type="dxa"/>
            <w:vAlign w:val="bottom"/>
          </w:tcPr>
          <w:p>
            <w:pPr>
              <w:spacing w:after="0"/>
              <w:rPr>
                <w:sz w:val="14"/>
                <w:szCs w:val="14"/>
                <w:color w:val="auto"/>
              </w:rPr>
            </w:pPr>
          </w:p>
        </w:tc>
        <w:tc>
          <w:tcPr>
            <w:tcW w:w="960" w:type="dxa"/>
            <w:vAlign w:val="bottom"/>
          </w:tcPr>
          <w:p>
            <w:pPr>
              <w:jc w:val="center"/>
              <w:ind w:left="439"/>
              <w:spacing w:after="0" w:line="162" w:lineRule="exact"/>
              <w:rPr>
                <w:sz w:val="20"/>
                <w:szCs w:val="20"/>
                <w:color w:val="auto"/>
              </w:rPr>
            </w:pPr>
            <w:r>
              <w:rPr>
                <w:rFonts w:ascii="Times New Roman" w:cs="Times New Roman" w:eastAsia="Times New Roman" w:hAnsi="Times New Roman"/>
                <w:sz w:val="16"/>
                <w:szCs w:val="16"/>
                <w:b w:val="1"/>
                <w:bCs w:val="1"/>
                <w:color w:val="auto"/>
              </w:rPr>
              <w:t>Under</w:t>
            </w: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32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Amount at Risk</w:t>
            </w:r>
          </w:p>
        </w:tc>
        <w:tc>
          <w:tcPr>
            <w:tcW w:w="0" w:type="dxa"/>
            <w:vAlign w:val="bottom"/>
          </w:tcPr>
          <w:p>
            <w:pPr>
              <w:spacing w:after="0"/>
              <w:rPr>
                <w:sz w:val="1"/>
                <w:szCs w:val="1"/>
                <w:color w:val="auto"/>
              </w:rPr>
            </w:pPr>
          </w:p>
        </w:tc>
      </w:tr>
      <w:tr>
        <w:trPr>
          <w:trHeight w:val="214"/>
        </w:trPr>
        <w:tc>
          <w:tcPr>
            <w:tcW w:w="6640" w:type="dxa"/>
            <w:vAlign w:val="bottom"/>
          </w:tcPr>
          <w:p>
            <w:pPr>
              <w:spacing w:after="0"/>
              <w:rPr>
                <w:sz w:val="18"/>
                <w:szCs w:val="18"/>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Management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Investment</w:t>
            </w: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VIEs/VOEs:</w:t>
            </w:r>
          </w:p>
        </w:tc>
        <w:tc>
          <w:tcPr>
            <w:tcW w:w="9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Westwood Funds®</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2,428</w:t>
            </w:r>
          </w:p>
        </w:tc>
        <w:tc>
          <w:tcPr>
            <w:tcW w:w="3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3"/>
          </w:tcPr>
          <w:p>
            <w:pPr>
              <w:ind w:left="1000"/>
              <w:spacing w:after="0"/>
              <w:rPr>
                <w:sz w:val="20"/>
                <w:szCs w:val="20"/>
                <w:color w:val="auto"/>
              </w:rPr>
            </w:pPr>
            <w:r>
              <w:rPr>
                <w:rFonts w:ascii="Times New Roman" w:cs="Times New Roman" w:eastAsia="Times New Roman" w:hAnsi="Times New Roman"/>
                <w:sz w:val="16"/>
                <w:szCs w:val="16"/>
                <w:color w:val="auto"/>
              </w:rPr>
              <w:t>—   $</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Trust Funds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Private Funds</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Private Equity</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 assets:</w:t>
            </w: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Wealth Management</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2,843</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Institutional</w:t>
            </w: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5,510</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Under Management</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11,466</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22222"/>
        </w:rPr>
        <w:t>13. RELATED PARTY TRANSACTIONS</w:t>
      </w:r>
    </w:p>
    <w:p>
      <w:pPr>
        <w:spacing w:after="0" w:line="121"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The Company engages in transactions with its affiliates in the ordinary course of business. Westwood Management provides investment advisory services to the Westwood Funds®. Under the terms of the investment advisory agreements, the Company earns quarterly fees paid by clients of the fund or by the funds directly. The fees are based on negotiated fee schedules applied to AUM. For the three and nine months ended September 30, 2022 and September 30, 2021, the Company earned immaterial fees from the affiliated funds.</w:t>
      </w:r>
    </w:p>
    <w:p>
      <w:pPr>
        <w:spacing w:after="0" w:line="72" w:lineRule="exact"/>
        <w:rPr>
          <w:sz w:val="20"/>
          <w:szCs w:val="20"/>
          <w:color w:val="auto"/>
        </w:rPr>
      </w:pPr>
    </w:p>
    <w:p>
      <w:pPr>
        <w:ind w:right="780" w:firstLine="486"/>
        <w:spacing w:after="0" w:line="282" w:lineRule="auto"/>
        <w:rPr>
          <w:sz w:val="20"/>
          <w:szCs w:val="20"/>
          <w:color w:val="auto"/>
        </w:rPr>
      </w:pPr>
      <w:r>
        <w:rPr>
          <w:rFonts w:ascii="Times New Roman" w:cs="Times New Roman" w:eastAsia="Times New Roman" w:hAnsi="Times New Roman"/>
          <w:sz w:val="18"/>
          <w:szCs w:val="18"/>
          <w:color w:val="auto"/>
        </w:rPr>
        <w:t>One of our directors serves as a consultant to the Company under a consulting agreement. We recorded immaterial expenses related to this agreement for both the three and nine months ended September 30, 2022 and September 30, 2021.</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Dividends Declared</w:t>
      </w:r>
    </w:p>
    <w:p>
      <w:pPr>
        <w:spacing w:after="0" w:line="119"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On October 26, 2022, the Board of Directors declared a quarterly cash dividend of $0.15 per share of common stock payable on January 3, 2023 to stockholders of record on December 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ind w:right="1040"/>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ITEM 2. MANAGEMENT’S DISCUSSION AND ANALYSIS OF FINANCIAL CONDITION AND RESULTS OF OPERATIONS </w:t>
      </w:r>
      <w:r>
        <w:rPr>
          <w:rFonts w:ascii="Times New Roman" w:cs="Times New Roman" w:eastAsia="Times New Roman" w:hAnsi="Times New Roman"/>
          <w:sz w:val="18"/>
          <w:szCs w:val="18"/>
          <w:b w:val="1"/>
          <w:bCs w:val="1"/>
          <w:u w:val="single" w:color="auto"/>
          <w:color w:val="auto"/>
        </w:rPr>
        <w:t>Forward-Looking Statements</w:t>
      </w:r>
    </w:p>
    <w:p>
      <w:pPr>
        <w:spacing w:after="0" w:line="2" w:lineRule="exact"/>
        <w:rPr>
          <w:sz w:val="20"/>
          <w:szCs w:val="20"/>
          <w:color w:val="auto"/>
        </w:rPr>
      </w:pPr>
    </w:p>
    <w:p>
      <w:pPr>
        <w:ind w:right="140" w:firstLine="486"/>
        <w:spacing w:after="0" w:line="255" w:lineRule="auto"/>
        <w:rPr>
          <w:sz w:val="20"/>
          <w:szCs w:val="20"/>
          <w:color w:val="auto"/>
        </w:rPr>
      </w:pPr>
      <w:r>
        <w:rPr>
          <w:rFonts w:ascii="Times New Roman" w:cs="Times New Roman" w:eastAsia="Times New Roman" w:hAnsi="Times New Roman"/>
          <w:sz w:val="18"/>
          <w:szCs w:val="18"/>
          <w:color w:val="auto"/>
        </w:rPr>
        <w:t>Statements in this report and the Annual Report to Stockholders that are not purely historical facts, including, without limitation, statements about our expected future financial position, results of operations or cash flows, as well as other statements including, without limitation, words such as “anticipate,” “believe,” “plan,” “estimate,” “expect,” “intend,” “should,” “could,” “goal,” “potentially,” “may,” “designed” and other similar expressions, constitute forward-looking statements within the meaning of Section 27A of the Securities Act of 1933, as amended, and Section 21E of the Securities Exchange Act of 1934, as amended. Actual results and the timing of some events could differ materially from those projected in or contemplated by the forward-looking statements due to a number of factors, including, without limitation, the risks described under “Risk Factors” in our Annual Report on Form 10-K for the year ended December 31, 2021 and those risks set forth below:</w:t>
      </w:r>
    </w:p>
    <w:p>
      <w:pPr>
        <w:spacing w:after="0" w:line="81"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composition and market value of our AUM;</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fee structure in light of competitive fee pressures;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actions of activist stockholders;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our common stockholders have included and may in the future include a return of capital;</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inclusion of foreign company investments in our AUM;</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adversely affecting the financial services industry;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effective cyber security;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risks;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market new investment strategies successfully;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and our relationships with current and potential customers;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personnel;</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perform operational tasks;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select and oversee third-party vendors;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the operations and funds of our subsidiaries;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effective information systems;</w:t>
      </w:r>
    </w:p>
    <w:p>
      <w:pPr>
        <w:spacing w:after="0" w:line="117" w:lineRule="exact"/>
        <w:rPr>
          <w:rFonts w:ascii="Times New Roman" w:cs="Times New Roman" w:eastAsia="Times New Roman" w:hAnsi="Times New Roman"/>
          <w:sz w:val="18"/>
          <w:szCs w:val="18"/>
          <w:color w:val="auto"/>
        </w:rPr>
      </w:pPr>
    </w:p>
    <w:p>
      <w:pPr>
        <w:ind w:left="980" w:right="140" w:hanging="324"/>
        <w:spacing w:after="0" w:line="282"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prevent misuse of assets and information in the possession of our employees and third-party vendors, which could damage our reputation and result in costly litigation and liability for our clients and us;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is thinly traded and may be subject to volatility;</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organizational documents contain provisions that may prevent or deter another group from paying a premium over the market price to our stockholders to acquire our stock;</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investment management industry;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avoid termination of client agreements and the related investment redemptions;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concentration of our revenues in a small number of customers;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investment consulting firms;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effects of the COVID-19 pandemic;</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execute on our strategic initiatives;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declare and pay dividends;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fund future capital requirements on favorable terms;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properly address conflicts of interest;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adequate insurance coverage; and</w:t>
      </w:r>
    </w:p>
    <w:p>
      <w:pPr>
        <w:sectPr>
          <w:pgSz w:w="11900" w:h="16838" w:orient="portrait"/>
          <w:cols w:equalWidth="0" w:num="1">
            <w:col w:w="11180"/>
          </w:cols>
          <w:pgMar w:left="320" w:top="108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9" w:right="399" w:bottom="1440" w:gutter="0" w:footer="0" w:header="0"/>
          <w:type w:val="continuous"/>
        </w:sectPr>
      </w:pPr>
    </w:p>
    <w:bookmarkStart w:id="17" w:name="page18"/>
    <w:bookmarkEnd w:id="17"/>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 effective system of internal controls.</w:t>
      </w:r>
    </w:p>
    <w:p>
      <w:pPr>
        <w:spacing w:after="0" w:line="117"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You should not unduly rely on these forward-looking statements, which speak only as of the date of this report. We are not obligated and do not undertake an obligation to publicly release any revisions to these forward-looking statements to reflect events or circumstances occurring after the date of this report or to reflect the occurrence of unanticipated events or otherwise.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121"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We manage investment assets and provide services for our clients through our subsidiaries, Westwood Management Corp. and Westwood Advisors, L.L.C. (each of which is an SEC-registered investment advisor and referred to hereinafter together as “Westwood Management”) and Westwood Trust. Westwood Management provides investment advisory services to institutional investors, a family of mutual funds called the Westwood Funds®, other mutual funds, individuals and clients of Westwood Trust. Westwood Trust provides trust and custodial services and participation in common trust funds to institutions and high net worth individuals. Our revenues are generally derived from fees based on a percentage of AUM.</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Pending Acquisition</w:t>
      </w:r>
    </w:p>
    <w:p>
      <w:pPr>
        <w:spacing w:after="0" w:line="119"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On May 26, 2022, we announced our acquisition of Salient's asset management business for an upfront payment of $35.0 million on closing, with deferred payments of up to $25.0 million over several years, subject to satisfaction of certain revenue retention and growth targets. The transaction is subject to customary closing conditions, including fund shareholder and other client approvals, and we currently expect to close the transaction in the fourth quarter of 2022.</w:t>
      </w:r>
    </w:p>
    <w:p>
      <w:pPr>
        <w:spacing w:after="0" w:line="72"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Salient is a real asset and alternative investment firm that offers a suite of strategies focused on energy and infrastructure, real estate and tactical alternative investments. The acquisition would add complementary, highly differentiated investment capabilities to us, and expand and enhance our multi-asset program, and we also foresee many opportunities to collaborate on new strategies.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We derive our revenues from investment advisory fees, trust fees and other revenues. Our advisory fees are generated by Westwood Management which manages client accounts under investment advisory and subadvisory agreements. Advisory fees are typically calculated based on a percentage of AUM and are paid in accordance with the terms of the agreements. Advisory fees are paid quarterly in advance based on AUM on the last day of the preceding quarter, quarterly in arrears based on AUM on the last day of the quarter just ended or are based on a daily or monthly analysis of AUM for the stated period. We recognize advisory fee revenues as services are rendered. Certain of our clients have a contractual performance-based fee component in their contracts, which generates additional revenues if we outperform a specified index over a specific period of time. We record revenue for performance-based fees at the end of the measurement period. Since our advance paying clients’ billing periods coincide with the calendar quarter to which such payments relate, revenue is recognized within the quarter, and our Condensed Consolidated Financial Statements contain no deferred advisory fee revenues.</w:t>
      </w:r>
    </w:p>
    <w:p>
      <w:pPr>
        <w:spacing w:after="0" w:line="80"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Our trust fees are generated by Westwood Trust pursuant to trust or custodial agreements. Trust fees are separately negotiated with each client and are generally based on a percentage of AUM. Westwood Trust also provides trust services to a small number of clients on a fixed fee basis. Trust fees are primarily calculated quarterly in arrears based on a daily average of AUM for the quarter. Since billing periods for most of Westwood Trust's clients coincide with the calendar quarter, revenue is fully recognized within the quarter, and our Condensed Consolidated Financial Statements contain no deferred advisory fee revenues.</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other revenues primarily consist of investment gains and losses from our seed money investments into new investment strategies.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compensation and benefits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Employee compensation and benefits expenses generally consist of salaries, incentive compensation, equity-based compensation and benefits.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Sales and marketing expenses relate to our marketing efforts, including travel and entertainment, direct marketing and advertising costs.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Westwood mutual funds</w:t>
      </w:r>
    </w:p>
    <w:p>
      <w:pPr>
        <w:spacing w:after="0" w:line="1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Westwood mutual funds expenses relate to our marketing, distribution and administration of the Westwood Funds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01"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t>Information technology</w:t>
      </w:r>
    </w:p>
    <w:p>
      <w:pPr>
        <w:spacing w:after="0" w:line="119"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Information technology expenses are generally costs associated with proprietary investment research tools, maintenance and support, computing hardware, software licenses, telecommunications and other related costs.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Professional services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Professional services expenses generally consist of costs associated with subadvisory fees, audit, tax, legal and other professional services.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ind w:right="520" w:firstLine="486"/>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generally consist of costs associated with the lease of office space, amortization, depreciation, insurance, custody expense, Board of Directors' fees, investor relations, licenses and fees, office supplies and other miscellaneous expenses.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Realized gains on private investments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Realized gains on private investments includes amounts by which the net proceeds from the sale or redemption of our private investments exceeded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change in unrealized appreciation (depreciation) on private investments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Net change in unrealized appreciation (depreciation) on private investments includes changes in the value of our private equity investments.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investment income</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Net investment income primarily includes interest and dividend income on fixed income securities and money market funds.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Other income primarily consists of income from the sublease of a portion of our corporate offices.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Assets Under Management</w:t>
      </w:r>
    </w:p>
    <w:p>
      <w:pPr>
        <w:spacing w:after="0" w:line="175"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AUM decreased $2.3 billion to $11.5 billion at September 30, 2022 compared with $13.8 billion at September 30, 2021. The average of beginning and ending AUM for the third quarter of 2022 was $11.8 billion compared to $14.1 billion for the third quarter of 2021.</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displays AUM as of September 30, 2022 and 2021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As of September 30,</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1"/>
        </w:trPr>
        <w:tc>
          <w:tcPr>
            <w:tcW w:w="74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5"/>
        </w:trPr>
        <w:tc>
          <w:tcPr>
            <w:tcW w:w="740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Institutional</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6,701</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w w:val="98"/>
              </w:rPr>
              <w:t>(18)%</w:t>
            </w:r>
          </w:p>
        </w:tc>
      </w:tr>
      <w:tr>
        <w:trPr>
          <w:trHeight w:val="229"/>
        </w:trPr>
        <w:tc>
          <w:tcPr>
            <w:tcW w:w="7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Wealth Management</w:t>
            </w:r>
            <w:r>
              <w:rPr>
                <w:rFonts w:ascii="Times New Roman" w:cs="Times New Roman" w:eastAsia="Times New Roman" w:hAnsi="Times New Roman"/>
                <w:sz w:val="23"/>
                <w:szCs w:val="23"/>
                <w:color w:val="auto"/>
                <w:vertAlign w:val="superscript"/>
              </w:rPr>
              <w:t>(2)</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4,236</w:t>
            </w: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auto"/>
              </w:rPr>
              <w:t>(17)</w:t>
            </w:r>
          </w:p>
        </w:tc>
      </w:tr>
      <w:tr>
        <w:trPr>
          <w:trHeight w:val="230"/>
        </w:trPr>
        <w:tc>
          <w:tcPr>
            <w:tcW w:w="7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Mutual Funds</w:t>
            </w:r>
            <w:r>
              <w:rPr>
                <w:rFonts w:ascii="Times New Roman" w:cs="Times New Roman" w:eastAsia="Times New Roman" w:hAnsi="Times New Roman"/>
                <w:sz w:val="23"/>
                <w:szCs w:val="23"/>
                <w:color w:val="auto"/>
                <w:vertAlign w:val="superscript"/>
              </w:rPr>
              <w:t>(3)</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13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(15)</w:t>
            </w:r>
          </w:p>
        </w:tc>
      </w:tr>
      <w:tr>
        <w:trPr>
          <w:trHeight w:val="22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AUM</w:t>
            </w:r>
            <w:r>
              <w:rPr>
                <w:rFonts w:ascii="Times New Roman" w:cs="Times New Roman" w:eastAsia="Times New Roman" w:hAnsi="Times New Roman"/>
                <w:sz w:val="9"/>
                <w:szCs w:val="9"/>
                <w:b w:val="1"/>
                <w:bCs w:val="1"/>
                <w:color w:val="auto"/>
              </w:rPr>
              <w:t>(4)</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13,800</w:t>
            </w: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auto"/>
                <w:w w:val="98"/>
              </w:rPr>
              <w:t>(17)%</w:t>
            </w:r>
          </w:p>
        </w:tc>
      </w:tr>
      <w:tr>
        <w:trPr>
          <w:trHeight w:val="20"/>
        </w:trPr>
        <w:tc>
          <w:tcPr>
            <w:tcW w:w="7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315" w:lineRule="exact"/>
        <w:rPr>
          <w:sz w:val="20"/>
          <w:szCs w:val="20"/>
          <w:color w:val="auto"/>
        </w:rPr>
      </w:pPr>
    </w:p>
    <w:p>
      <w:pPr>
        <w:jc w:val="both"/>
        <w:ind w:left="340" w:hanging="332"/>
        <w:spacing w:after="0" w:line="261" w:lineRule="auto"/>
        <w:tabs>
          <w:tab w:leader="none" w:pos="33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Institutional includes (i) separate accounts of corporate pension and profit sharing plans, public employee retirement funds, Taft-Hartley plans, endowments, foundations and individuals; (ii) subadvisory relationships where Westwood provides investment management services for funds offered by other financial institutions; (iii) pooled investment vehicles, including collective investment trusts; and (iv) managed account relationships with brokerage firms and other registered investment advisors that offer Westwood products to their customers.</w:t>
      </w:r>
    </w:p>
    <w:p>
      <w:pPr>
        <w:jc w:val="both"/>
        <w:ind w:left="340" w:hanging="332"/>
        <w:spacing w:after="0" w:line="256" w:lineRule="auto"/>
        <w:tabs>
          <w:tab w:leader="none" w:pos="33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Wealth Management includes assets for which Westwood Trust provides trust and custodial services and participation in common trust funds that it sponsors to institutions and high net worth individuals pursuant to trust or agency agreements and assets for which Westwood Advisors, L.L.C. provides advisory services to high net worth individuals. Investment subadvisory services are provided for the common trust funds by Westwood Management and external unaffiliated subadvisors. For certain assets in this category Westwood Trust currently provides limited custodial services for a minimal or no fee, viewing these assets as potentially converting to fee-generating managed assets in the future.</w:t>
      </w:r>
    </w:p>
    <w:p>
      <w:pPr>
        <w:spacing w:after="0" w:line="1" w:lineRule="exact"/>
        <w:rPr>
          <w:rFonts w:ascii="Times New Roman" w:cs="Times New Roman" w:eastAsia="Times New Roman" w:hAnsi="Times New Roman"/>
          <w:sz w:val="14"/>
          <w:szCs w:val="14"/>
          <w:color w:val="auto"/>
        </w:rPr>
      </w:pPr>
    </w:p>
    <w:p>
      <w:pPr>
        <w:ind w:left="340" w:hanging="332"/>
        <w:spacing w:after="0" w:line="261" w:lineRule="auto"/>
        <w:tabs>
          <w:tab w:leader="none" w:pos="33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Mutual Funds include the Westwood Funds®, a family of mutual funds for which Westwood Management serves as advisor. These funds are available to individual investors, institutional investors and wealth management accounts.</w:t>
      </w:r>
    </w:p>
    <w:p>
      <w:pPr>
        <w:ind w:left="340" w:right="20" w:hanging="332"/>
        <w:spacing w:after="0" w:line="283" w:lineRule="auto"/>
        <w:tabs>
          <w:tab w:leader="none" w:pos="33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AUM excludes $298 million and $283 million of assets under advisement (“AUA”) as of September 30, 2022 and 2021, respectively, related to our model portfolios for which we provided consulting advice but for which we did not have direct discretionary investment authority.</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Roll-Forward of Assets Under Management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2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0" w:type="dxa"/>
            <w:vAlign w:val="bottom"/>
          </w:tcPr>
          <w:p>
            <w:pPr>
              <w:spacing w:after="0"/>
              <w:rPr>
                <w:sz w:val="18"/>
                <w:szCs w:val="18"/>
                <w:color w:val="auto"/>
              </w:rPr>
            </w:pPr>
          </w:p>
        </w:tc>
        <w:tc>
          <w:tcPr>
            <w:tcW w:w="2640" w:type="dxa"/>
            <w:vAlign w:val="bottom"/>
            <w:gridSpan w:val="4"/>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4"/>
        </w:trPr>
        <w:tc>
          <w:tcPr>
            <w:tcW w:w="20" w:type="dxa"/>
            <w:vAlign w:val="bottom"/>
            <w:tcBorders>
              <w:bottom w:val="single" w:sz="8" w:color="CCEEFF"/>
            </w:tcBorders>
          </w:tcPr>
          <w:p>
            <w:pPr>
              <w:spacing w:after="0"/>
              <w:rPr>
                <w:sz w:val="18"/>
                <w:szCs w:val="18"/>
                <w:color w:val="auto"/>
              </w:rPr>
            </w:pPr>
          </w:p>
        </w:tc>
        <w:tc>
          <w:tcPr>
            <w:tcW w:w="536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1"/>
        </w:trPr>
        <w:tc>
          <w:tcPr>
            <w:tcW w:w="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b w:val="1"/>
                <w:bCs w:val="1"/>
                <w:color w:val="auto"/>
                <w:w w:val="98"/>
              </w:rPr>
              <w:t>Institutional</w:t>
            </w:r>
          </w:p>
        </w:tc>
        <w:tc>
          <w:tcPr>
            <w:tcW w:w="4400" w:type="dxa"/>
            <w:vAlign w:val="bottom"/>
            <w:tcBorders>
              <w:bottom w:val="single" w:sz="8" w:color="CCEEFF"/>
            </w:tcBorders>
            <w:gridSpan w:val="3"/>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53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Beginning of period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7,123</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7,037</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6,567</w:t>
            </w:r>
          </w:p>
        </w:tc>
      </w:tr>
      <w:tr>
        <w:trPr>
          <w:trHeight w:val="219"/>
        </w:trPr>
        <w:tc>
          <w:tcPr>
            <w:tcW w:w="20" w:type="dxa"/>
            <w:vAlign w:val="bottom"/>
            <w:shd w:val="clear" w:color="auto" w:fill="CCEEFF"/>
          </w:tcPr>
          <w:p>
            <w:pPr>
              <w:spacing w:after="0"/>
              <w:rPr>
                <w:sz w:val="19"/>
                <w:szCs w:val="19"/>
                <w:color w:val="auto"/>
              </w:rPr>
            </w:pPr>
          </w:p>
        </w:tc>
        <w:tc>
          <w:tcPr>
            <w:tcW w:w="536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Inflows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1,797</w:t>
            </w:r>
          </w:p>
        </w:tc>
      </w:tr>
      <w:tr>
        <w:trPr>
          <w:trHeight w:val="213"/>
        </w:trPr>
        <w:tc>
          <w:tcPr>
            <w:tcW w:w="20" w:type="dxa"/>
            <w:vAlign w:val="bottom"/>
            <w:tcBorders>
              <w:bottom w:val="single" w:sz="8" w:color="CCEEFF"/>
            </w:tcBorders>
          </w:tcPr>
          <w:p>
            <w:pPr>
              <w:spacing w:after="0"/>
              <w:rPr>
                <w:sz w:val="18"/>
                <w:szCs w:val="18"/>
                <w:color w:val="auto"/>
              </w:rPr>
            </w:pPr>
          </w:p>
        </w:tc>
        <w:tc>
          <w:tcPr>
            <w:tcW w:w="5360" w:type="dxa"/>
            <w:vAlign w:val="bottom"/>
            <w:tcBorders>
              <w:bottom w:val="single" w:sz="8" w:color="CCEEFF"/>
            </w:tcBorders>
            <w:gridSpan w:val="5"/>
          </w:tcPr>
          <w:p>
            <w:pPr>
              <w:ind w:left="340"/>
              <w:spacing w:after="0"/>
              <w:rPr>
                <w:sz w:val="20"/>
                <w:szCs w:val="20"/>
                <w:color w:val="auto"/>
              </w:rPr>
            </w:pPr>
            <w:r>
              <w:rPr>
                <w:rFonts w:ascii="Times New Roman" w:cs="Times New Roman" w:eastAsia="Times New Roman" w:hAnsi="Times New Roman"/>
                <w:sz w:val="16"/>
                <w:szCs w:val="16"/>
                <w:color w:val="auto"/>
              </w:rPr>
              <w:t>Outflows</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(779)</w:t>
            </w:r>
          </w:p>
        </w:tc>
      </w:tr>
      <w:tr>
        <w:trPr>
          <w:trHeight w:val="212"/>
        </w:trPr>
        <w:tc>
          <w:tcPr>
            <w:tcW w:w="20" w:type="dxa"/>
            <w:vAlign w:val="bottom"/>
            <w:shd w:val="clear" w:color="auto" w:fill="CCEEFF"/>
          </w:tcPr>
          <w:p>
            <w:pPr>
              <w:spacing w:after="0"/>
              <w:rPr>
                <w:sz w:val="18"/>
                <w:szCs w:val="18"/>
                <w:color w:val="auto"/>
              </w:rPr>
            </w:pPr>
          </w:p>
        </w:tc>
        <w:tc>
          <w:tcPr>
            <w:tcW w:w="53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client flows</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w:t>
            </w:r>
          </w:p>
        </w:tc>
      </w:tr>
      <w:tr>
        <w:trPr>
          <w:trHeight w:val="213"/>
        </w:trPr>
        <w:tc>
          <w:tcPr>
            <w:tcW w:w="20" w:type="dxa"/>
            <w:vAlign w:val="bottom"/>
          </w:tcPr>
          <w:p>
            <w:pPr>
              <w:spacing w:after="0"/>
              <w:rPr>
                <w:sz w:val="18"/>
                <w:szCs w:val="18"/>
                <w:color w:val="auto"/>
              </w:rPr>
            </w:pPr>
          </w:p>
        </w:tc>
        <w:tc>
          <w:tcPr>
            <w:tcW w:w="5360" w:type="dxa"/>
            <w:vAlign w:val="bottom"/>
            <w:gridSpan w:val="5"/>
          </w:tcPr>
          <w:p>
            <w:pPr>
              <w:ind w:left="340"/>
              <w:spacing w:after="0"/>
              <w:rPr>
                <w:sz w:val="20"/>
                <w:szCs w:val="20"/>
                <w:color w:val="auto"/>
              </w:rPr>
            </w:pPr>
            <w:r>
              <w:rPr>
                <w:rFonts w:ascii="Times New Roman" w:cs="Times New Roman" w:eastAsia="Times New Roman" w:hAnsi="Times New Roman"/>
                <w:sz w:val="16"/>
                <w:szCs w:val="16"/>
                <w:color w:val="auto"/>
              </w:rPr>
              <w:t>Global Convertibles transition</w:t>
            </w:r>
          </w:p>
        </w:tc>
        <w:tc>
          <w:tcPr>
            <w:tcW w:w="1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(1,593)</w:t>
            </w:r>
          </w:p>
        </w:tc>
      </w:tr>
      <w:tr>
        <w:trPr>
          <w:trHeight w:val="219"/>
        </w:trPr>
        <w:tc>
          <w:tcPr>
            <w:tcW w:w="20" w:type="dxa"/>
            <w:vAlign w:val="bottom"/>
            <w:shd w:val="clear" w:color="auto" w:fill="CCEEFF"/>
          </w:tcPr>
          <w:p>
            <w:pPr>
              <w:spacing w:after="0"/>
              <w:rPr>
                <w:sz w:val="19"/>
                <w:szCs w:val="19"/>
                <w:color w:val="auto"/>
              </w:rPr>
            </w:pPr>
          </w:p>
        </w:tc>
        <w:tc>
          <w:tcPr>
            <w:tcW w:w="536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Market appreciation (depreciation)</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w:t>
            </w:r>
          </w:p>
        </w:tc>
      </w:tr>
      <w:tr>
        <w:trPr>
          <w:trHeight w:val="207"/>
        </w:trPr>
        <w:tc>
          <w:tcPr>
            <w:tcW w:w="20" w:type="dxa"/>
            <w:vAlign w:val="bottom"/>
            <w:tcBorders>
              <w:bottom w:val="single" w:sz="8" w:color="CCEEFF"/>
            </w:tcBorders>
          </w:tcPr>
          <w:p>
            <w:pPr>
              <w:spacing w:after="0"/>
              <w:rPr>
                <w:sz w:val="17"/>
                <w:szCs w:val="17"/>
                <w:color w:val="auto"/>
              </w:rPr>
            </w:pPr>
          </w:p>
        </w:tc>
        <w:tc>
          <w:tcPr>
            <w:tcW w:w="536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6"/>
                <w:szCs w:val="16"/>
                <w:color w:val="auto"/>
              </w:rPr>
              <w:t>Net change</w:t>
            </w: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36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End of period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6,701</w:t>
            </w: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96"/>
        </w:trPr>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40" w:type="dxa"/>
            <w:vAlign w:val="bottom"/>
          </w:tcPr>
          <w:p>
            <w:pPr>
              <w:spacing w:after="0"/>
              <w:rPr>
                <w:sz w:val="8"/>
                <w:szCs w:val="8"/>
                <w:color w:val="auto"/>
              </w:rPr>
            </w:pPr>
          </w:p>
        </w:tc>
      </w:tr>
      <w:tr>
        <w:trPr>
          <w:trHeight w:val="189"/>
        </w:trPr>
        <w:tc>
          <w:tcPr>
            <w:tcW w:w="20" w:type="dxa"/>
            <w:vAlign w:val="bottom"/>
            <w:shd w:val="clear" w:color="auto" w:fill="CCEEFF"/>
          </w:tcPr>
          <w:p>
            <w:pPr>
              <w:spacing w:after="0"/>
              <w:rPr>
                <w:sz w:val="16"/>
                <w:szCs w:val="16"/>
                <w:color w:val="auto"/>
              </w:rPr>
            </w:pPr>
          </w:p>
        </w:tc>
        <w:tc>
          <w:tcPr>
            <w:tcW w:w="536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Wealth Management</w:t>
            </w: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37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53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Beginning of period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3,676</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4,427</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4,420</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4,335</w:t>
            </w:r>
          </w:p>
        </w:tc>
      </w:tr>
      <w:tr>
        <w:trPr>
          <w:trHeight w:val="219"/>
        </w:trPr>
        <w:tc>
          <w:tcPr>
            <w:tcW w:w="20" w:type="dxa"/>
            <w:vAlign w:val="bottom"/>
            <w:shd w:val="clear" w:color="auto" w:fill="CCEEFF"/>
          </w:tcPr>
          <w:p>
            <w:pPr>
              <w:spacing w:after="0"/>
              <w:rPr>
                <w:sz w:val="19"/>
                <w:szCs w:val="19"/>
                <w:color w:val="auto"/>
              </w:rPr>
            </w:pPr>
          </w:p>
        </w:tc>
        <w:tc>
          <w:tcPr>
            <w:tcW w:w="536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Inflows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r>
      <w:tr>
        <w:trPr>
          <w:trHeight w:val="213"/>
        </w:trPr>
        <w:tc>
          <w:tcPr>
            <w:tcW w:w="20" w:type="dxa"/>
            <w:vAlign w:val="bottom"/>
            <w:tcBorders>
              <w:bottom w:val="single" w:sz="8" w:color="CCEEFF"/>
            </w:tcBorders>
          </w:tcPr>
          <w:p>
            <w:pPr>
              <w:spacing w:after="0"/>
              <w:rPr>
                <w:sz w:val="18"/>
                <w:szCs w:val="18"/>
                <w:color w:val="auto"/>
              </w:rPr>
            </w:pPr>
          </w:p>
        </w:tc>
        <w:tc>
          <w:tcPr>
            <w:tcW w:w="5360" w:type="dxa"/>
            <w:vAlign w:val="bottom"/>
            <w:tcBorders>
              <w:bottom w:val="single" w:sz="8" w:color="CCEEFF"/>
            </w:tcBorders>
            <w:gridSpan w:val="5"/>
          </w:tcPr>
          <w:p>
            <w:pPr>
              <w:ind w:left="340"/>
              <w:spacing w:after="0"/>
              <w:rPr>
                <w:sz w:val="20"/>
                <w:szCs w:val="20"/>
                <w:color w:val="auto"/>
              </w:rPr>
            </w:pPr>
            <w:r>
              <w:rPr>
                <w:rFonts w:ascii="Times New Roman" w:cs="Times New Roman" w:eastAsia="Times New Roman" w:hAnsi="Times New Roman"/>
                <w:sz w:val="16"/>
                <w:szCs w:val="16"/>
                <w:color w:val="auto"/>
              </w:rPr>
              <w:t>Outflows</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(655)</w:t>
            </w:r>
          </w:p>
        </w:tc>
      </w:tr>
      <w:tr>
        <w:trPr>
          <w:trHeight w:val="212"/>
        </w:trPr>
        <w:tc>
          <w:tcPr>
            <w:tcW w:w="20" w:type="dxa"/>
            <w:vAlign w:val="bottom"/>
            <w:shd w:val="clear" w:color="auto" w:fill="CCEEFF"/>
          </w:tcPr>
          <w:p>
            <w:pPr>
              <w:spacing w:after="0"/>
              <w:rPr>
                <w:sz w:val="18"/>
                <w:szCs w:val="18"/>
                <w:color w:val="auto"/>
              </w:rPr>
            </w:pPr>
          </w:p>
        </w:tc>
        <w:tc>
          <w:tcPr>
            <w:tcW w:w="53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client flows</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w:t>
            </w:r>
          </w:p>
        </w:tc>
      </w:tr>
      <w:tr>
        <w:trPr>
          <w:trHeight w:val="213"/>
        </w:trPr>
        <w:tc>
          <w:tcPr>
            <w:tcW w:w="20" w:type="dxa"/>
            <w:vAlign w:val="bottom"/>
            <w:tcBorders>
              <w:bottom w:val="single" w:sz="8" w:color="CCEEFF"/>
            </w:tcBorders>
          </w:tcPr>
          <w:p>
            <w:pPr>
              <w:spacing w:after="0"/>
              <w:rPr>
                <w:sz w:val="18"/>
                <w:szCs w:val="18"/>
                <w:color w:val="auto"/>
              </w:rPr>
            </w:pPr>
          </w:p>
        </w:tc>
        <w:tc>
          <w:tcPr>
            <w:tcW w:w="5360" w:type="dxa"/>
            <w:vAlign w:val="bottom"/>
            <w:tcBorders>
              <w:bottom w:val="single" w:sz="8" w:color="CCEEFF"/>
            </w:tcBorders>
            <w:gridSpan w:val="5"/>
          </w:tcPr>
          <w:p>
            <w:pPr>
              <w:ind w:left="340"/>
              <w:spacing w:after="0"/>
              <w:rPr>
                <w:sz w:val="20"/>
                <w:szCs w:val="20"/>
                <w:color w:val="auto"/>
              </w:rPr>
            </w:pPr>
            <w:r>
              <w:rPr>
                <w:rFonts w:ascii="Times New Roman" w:cs="Times New Roman" w:eastAsia="Times New Roman" w:hAnsi="Times New Roman"/>
                <w:sz w:val="16"/>
                <w:szCs w:val="16"/>
                <w:color w:val="auto"/>
              </w:rPr>
              <w:t>Market appreciation (depreciation)</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w:t>
            </w:r>
          </w:p>
        </w:tc>
      </w:tr>
      <w:tr>
        <w:trPr>
          <w:trHeight w:val="209"/>
        </w:trPr>
        <w:tc>
          <w:tcPr>
            <w:tcW w:w="20" w:type="dxa"/>
            <w:vAlign w:val="bottom"/>
            <w:shd w:val="clear" w:color="auto" w:fill="CCEEFF"/>
          </w:tcPr>
          <w:p>
            <w:pPr>
              <w:spacing w:after="0"/>
              <w:rPr>
                <w:sz w:val="18"/>
                <w:szCs w:val="18"/>
                <w:color w:val="auto"/>
              </w:rPr>
            </w:pPr>
          </w:p>
        </w:tc>
        <w:tc>
          <w:tcPr>
            <w:tcW w:w="53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change</w:t>
            </w: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r>
      <w:tr>
        <w:trPr>
          <w:trHeight w:val="212"/>
        </w:trPr>
        <w:tc>
          <w:tcPr>
            <w:tcW w:w="20" w:type="dxa"/>
            <w:vAlign w:val="bottom"/>
          </w:tcPr>
          <w:p>
            <w:pPr>
              <w:spacing w:after="0"/>
              <w:rPr>
                <w:sz w:val="18"/>
                <w:szCs w:val="18"/>
                <w:color w:val="auto"/>
              </w:rPr>
            </w:pPr>
          </w:p>
        </w:tc>
        <w:tc>
          <w:tcPr>
            <w:tcW w:w="53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End of period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4,236</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3,528</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15"/>
        </w:trPr>
        <w:tc>
          <w:tcPr>
            <w:tcW w:w="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3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r>
      <w:tr>
        <w:trPr>
          <w:trHeight w:val="189"/>
        </w:trPr>
        <w:tc>
          <w:tcPr>
            <w:tcW w:w="20" w:type="dxa"/>
            <w:vAlign w:val="bottom"/>
          </w:tcPr>
          <w:p>
            <w:pPr>
              <w:spacing w:after="0"/>
              <w:rPr>
                <w:sz w:val="16"/>
                <w:szCs w:val="16"/>
                <w:color w:val="auto"/>
              </w:rPr>
            </w:pPr>
          </w:p>
        </w:tc>
        <w:tc>
          <w:tcPr>
            <w:tcW w:w="536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Mutual Funds</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3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Beginning of period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2,143</w:t>
            </w:r>
          </w:p>
        </w:tc>
      </w:tr>
      <w:tr>
        <w:trPr>
          <w:trHeight w:val="213"/>
        </w:trPr>
        <w:tc>
          <w:tcPr>
            <w:tcW w:w="20" w:type="dxa"/>
            <w:vAlign w:val="bottom"/>
          </w:tcPr>
          <w:p>
            <w:pPr>
              <w:spacing w:after="0"/>
              <w:rPr>
                <w:sz w:val="18"/>
                <w:szCs w:val="18"/>
                <w:color w:val="auto"/>
              </w:rPr>
            </w:pPr>
          </w:p>
        </w:tc>
        <w:tc>
          <w:tcPr>
            <w:tcW w:w="5360" w:type="dxa"/>
            <w:vAlign w:val="bottom"/>
            <w:gridSpan w:val="5"/>
          </w:tcPr>
          <w:p>
            <w:pPr>
              <w:ind w:left="340"/>
              <w:spacing w:after="0"/>
              <w:rPr>
                <w:sz w:val="20"/>
                <w:szCs w:val="20"/>
                <w:color w:val="auto"/>
              </w:rPr>
            </w:pPr>
            <w:r>
              <w:rPr>
                <w:rFonts w:ascii="Times New Roman" w:cs="Times New Roman" w:eastAsia="Times New Roman" w:hAnsi="Times New Roman"/>
                <w:sz w:val="16"/>
                <w:szCs w:val="16"/>
                <w:color w:val="auto"/>
              </w:rPr>
              <w:t>Inflows</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1,004</w:t>
            </w:r>
          </w:p>
        </w:tc>
      </w:tr>
      <w:tr>
        <w:trPr>
          <w:trHeight w:val="219"/>
        </w:trPr>
        <w:tc>
          <w:tcPr>
            <w:tcW w:w="20" w:type="dxa"/>
            <w:vAlign w:val="bottom"/>
            <w:shd w:val="clear" w:color="auto" w:fill="CCEEFF"/>
          </w:tcPr>
          <w:p>
            <w:pPr>
              <w:spacing w:after="0"/>
              <w:rPr>
                <w:sz w:val="19"/>
                <w:szCs w:val="19"/>
                <w:color w:val="auto"/>
              </w:rPr>
            </w:pPr>
          </w:p>
        </w:tc>
        <w:tc>
          <w:tcPr>
            <w:tcW w:w="536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Outflows</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w:t>
            </w:r>
          </w:p>
        </w:tc>
      </w:tr>
      <w:tr>
        <w:trPr>
          <w:trHeight w:val="207"/>
        </w:trPr>
        <w:tc>
          <w:tcPr>
            <w:tcW w:w="20" w:type="dxa"/>
            <w:vAlign w:val="bottom"/>
          </w:tcPr>
          <w:p>
            <w:pPr>
              <w:spacing w:after="0"/>
              <w:rPr>
                <w:sz w:val="17"/>
                <w:szCs w:val="17"/>
                <w:color w:val="auto"/>
              </w:rPr>
            </w:pPr>
          </w:p>
        </w:tc>
        <w:tc>
          <w:tcPr>
            <w:tcW w:w="53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Net client flows</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w:t>
            </w:r>
          </w:p>
        </w:tc>
      </w:tr>
      <w:tr>
        <w:trPr>
          <w:trHeight w:val="219"/>
        </w:trPr>
        <w:tc>
          <w:tcPr>
            <w:tcW w:w="20" w:type="dxa"/>
            <w:vAlign w:val="bottom"/>
            <w:shd w:val="clear" w:color="auto" w:fill="CCEEFF"/>
          </w:tcPr>
          <w:p>
            <w:pPr>
              <w:spacing w:after="0"/>
              <w:rPr>
                <w:sz w:val="19"/>
                <w:szCs w:val="19"/>
                <w:color w:val="auto"/>
              </w:rPr>
            </w:pPr>
          </w:p>
        </w:tc>
        <w:tc>
          <w:tcPr>
            <w:tcW w:w="536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Market appreciation (depreciation)</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r>
      <w:tr>
        <w:trPr>
          <w:trHeight w:val="207"/>
        </w:trPr>
        <w:tc>
          <w:tcPr>
            <w:tcW w:w="20" w:type="dxa"/>
            <w:vAlign w:val="bottom"/>
            <w:tcBorders>
              <w:bottom w:val="single" w:sz="8" w:color="CCEEFF"/>
            </w:tcBorders>
          </w:tcPr>
          <w:p>
            <w:pPr>
              <w:spacing w:after="0"/>
              <w:rPr>
                <w:sz w:val="17"/>
                <w:szCs w:val="17"/>
                <w:color w:val="auto"/>
              </w:rPr>
            </w:pPr>
          </w:p>
        </w:tc>
        <w:tc>
          <w:tcPr>
            <w:tcW w:w="536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6"/>
                <w:szCs w:val="16"/>
                <w:color w:val="auto"/>
              </w:rPr>
              <w:t>Net change</w:t>
            </w: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720</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36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End of period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2,863</w:t>
            </w: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40" w:type="dxa"/>
            <w:vAlign w:val="bottom"/>
          </w:tcPr>
          <w:p>
            <w:pPr>
              <w:spacing w:after="0"/>
              <w:rPr>
                <w:sz w:val="8"/>
                <w:szCs w:val="8"/>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7"/>
              </w:rPr>
              <w:t>Total AUM</w:t>
            </w:r>
          </w:p>
        </w:tc>
        <w:tc>
          <w:tcPr>
            <w:tcW w:w="4480" w:type="dxa"/>
            <w:vAlign w:val="bottom"/>
            <w:tcBorders>
              <w:bottom w:val="single" w:sz="8" w:color="CCEEFF"/>
            </w:tcBorders>
            <w:gridSpan w:val="4"/>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3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Beginning of period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12,135</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14,407</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14,503</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13,045</w:t>
            </w:r>
          </w:p>
        </w:tc>
      </w:tr>
      <w:tr>
        <w:trPr>
          <w:trHeight w:val="219"/>
        </w:trPr>
        <w:tc>
          <w:tcPr>
            <w:tcW w:w="20" w:type="dxa"/>
            <w:vAlign w:val="bottom"/>
            <w:shd w:val="clear" w:color="auto" w:fill="CCEEFF"/>
          </w:tcPr>
          <w:p>
            <w:pPr>
              <w:spacing w:after="0"/>
              <w:rPr>
                <w:sz w:val="19"/>
                <w:szCs w:val="19"/>
                <w:color w:val="auto"/>
              </w:rPr>
            </w:pPr>
          </w:p>
        </w:tc>
        <w:tc>
          <w:tcPr>
            <w:tcW w:w="536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Inflows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3,042</w:t>
            </w:r>
          </w:p>
        </w:tc>
      </w:tr>
      <w:tr>
        <w:trPr>
          <w:trHeight w:val="213"/>
        </w:trPr>
        <w:tc>
          <w:tcPr>
            <w:tcW w:w="20" w:type="dxa"/>
            <w:vAlign w:val="bottom"/>
            <w:tcBorders>
              <w:bottom w:val="single" w:sz="8" w:color="CCEEFF"/>
            </w:tcBorders>
          </w:tcPr>
          <w:p>
            <w:pPr>
              <w:spacing w:after="0"/>
              <w:rPr>
                <w:sz w:val="18"/>
                <w:szCs w:val="18"/>
                <w:color w:val="auto"/>
              </w:rPr>
            </w:pPr>
          </w:p>
        </w:tc>
        <w:tc>
          <w:tcPr>
            <w:tcW w:w="5360" w:type="dxa"/>
            <w:vAlign w:val="bottom"/>
            <w:tcBorders>
              <w:bottom w:val="single" w:sz="8" w:color="CCEEFF"/>
            </w:tcBorders>
            <w:gridSpan w:val="5"/>
          </w:tcPr>
          <w:p>
            <w:pPr>
              <w:ind w:left="340"/>
              <w:spacing w:after="0"/>
              <w:rPr>
                <w:sz w:val="20"/>
                <w:szCs w:val="20"/>
                <w:color w:val="auto"/>
              </w:rPr>
            </w:pPr>
            <w:r>
              <w:rPr>
                <w:rFonts w:ascii="Times New Roman" w:cs="Times New Roman" w:eastAsia="Times New Roman" w:hAnsi="Times New Roman"/>
                <w:sz w:val="16"/>
                <w:szCs w:val="16"/>
                <w:color w:val="auto"/>
              </w:rPr>
              <w:t>Outflows</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(833)</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(1,999)</w:t>
            </w:r>
          </w:p>
        </w:tc>
      </w:tr>
      <w:tr>
        <w:trPr>
          <w:trHeight w:val="212"/>
        </w:trPr>
        <w:tc>
          <w:tcPr>
            <w:tcW w:w="20" w:type="dxa"/>
            <w:vAlign w:val="bottom"/>
            <w:shd w:val="clear" w:color="auto" w:fill="CCEEFF"/>
          </w:tcPr>
          <w:p>
            <w:pPr>
              <w:spacing w:after="0"/>
              <w:rPr>
                <w:sz w:val="18"/>
                <w:szCs w:val="18"/>
                <w:color w:val="auto"/>
              </w:rPr>
            </w:pPr>
          </w:p>
        </w:tc>
        <w:tc>
          <w:tcPr>
            <w:tcW w:w="53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client flows</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w:t>
            </w:r>
          </w:p>
        </w:tc>
      </w:tr>
      <w:tr>
        <w:trPr>
          <w:trHeight w:val="213"/>
        </w:trPr>
        <w:tc>
          <w:tcPr>
            <w:tcW w:w="20" w:type="dxa"/>
            <w:vAlign w:val="bottom"/>
          </w:tcPr>
          <w:p>
            <w:pPr>
              <w:spacing w:after="0"/>
              <w:rPr>
                <w:sz w:val="18"/>
                <w:szCs w:val="18"/>
                <w:color w:val="auto"/>
              </w:rPr>
            </w:pPr>
          </w:p>
        </w:tc>
        <w:tc>
          <w:tcPr>
            <w:tcW w:w="5360" w:type="dxa"/>
            <w:vAlign w:val="bottom"/>
            <w:gridSpan w:val="5"/>
          </w:tcPr>
          <w:p>
            <w:pPr>
              <w:ind w:left="340"/>
              <w:spacing w:after="0"/>
              <w:rPr>
                <w:sz w:val="20"/>
                <w:szCs w:val="20"/>
                <w:color w:val="auto"/>
              </w:rPr>
            </w:pPr>
            <w:r>
              <w:rPr>
                <w:rFonts w:ascii="Times New Roman" w:cs="Times New Roman" w:eastAsia="Times New Roman" w:hAnsi="Times New Roman"/>
                <w:sz w:val="16"/>
                <w:szCs w:val="16"/>
                <w:color w:val="auto"/>
              </w:rPr>
              <w:t>Global Convertibles transition</w:t>
            </w:r>
          </w:p>
        </w:tc>
        <w:tc>
          <w:tcPr>
            <w:tcW w:w="1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(1,593)</w:t>
            </w:r>
          </w:p>
        </w:tc>
      </w:tr>
      <w:tr>
        <w:trPr>
          <w:trHeight w:val="219"/>
        </w:trPr>
        <w:tc>
          <w:tcPr>
            <w:tcW w:w="20" w:type="dxa"/>
            <w:vAlign w:val="bottom"/>
            <w:shd w:val="clear" w:color="auto" w:fill="CCEEFF"/>
          </w:tcPr>
          <w:p>
            <w:pPr>
              <w:spacing w:after="0"/>
              <w:rPr>
                <w:sz w:val="19"/>
                <w:szCs w:val="19"/>
                <w:color w:val="auto"/>
              </w:rPr>
            </w:pPr>
          </w:p>
        </w:tc>
        <w:tc>
          <w:tcPr>
            <w:tcW w:w="536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Market appreciation (depreciation)</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1,305</w:t>
            </w:r>
          </w:p>
        </w:tc>
      </w:tr>
      <w:tr>
        <w:trPr>
          <w:trHeight w:val="207"/>
        </w:trPr>
        <w:tc>
          <w:tcPr>
            <w:tcW w:w="20" w:type="dxa"/>
            <w:vAlign w:val="bottom"/>
            <w:tcBorders>
              <w:bottom w:val="single" w:sz="8" w:color="CCEEFF"/>
            </w:tcBorders>
          </w:tcPr>
          <w:p>
            <w:pPr>
              <w:spacing w:after="0"/>
              <w:rPr>
                <w:sz w:val="17"/>
                <w:szCs w:val="17"/>
                <w:color w:val="auto"/>
              </w:rPr>
            </w:pPr>
          </w:p>
        </w:tc>
        <w:tc>
          <w:tcPr>
            <w:tcW w:w="536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6"/>
                <w:szCs w:val="16"/>
                <w:color w:val="auto"/>
              </w:rPr>
              <w:t>Net change</w:t>
            </w: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755</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36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End of period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11,466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13,800</w:t>
            </w: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11,466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2022 compared to the three months ended September 30, 2021</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$0.7 billion decrease in AUM for the three months ended September 30, 2022 was due to market depreciation of $0.4 billion and net outflows of $0.2 billion. Net outflows were primarily related to our LargeCap Value strategy.</w:t>
      </w:r>
    </w:p>
    <w:p>
      <w:pPr>
        <w:spacing w:after="0" w:line="54"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$0.6 billion decrease in AUM for the three months ended September 30, 2021 was due to net outflows of $0.4 billion and market depreciation of $0.2 billion. Net outflows were primarily related to our LargeCap Value and SmallCap Value strategies.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2022 compared to the nine months ended September 30, 2021</w:t>
      </w:r>
    </w:p>
    <w:p>
      <w:pPr>
        <w:spacing w:after="0" w:line="121"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The $3.0 billion decrease in AUM for the nine months ended September 30, 2022 was due to market depreciation of $2.6 billion and net outflows of $0.5 billion. Net outflows were primarily related to our LargeCap Value and Income Opportunity strategies.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7" w:right="339" w:bottom="1440" w:gutter="0" w:footer="0" w:header="0"/>
        </w:sectPr>
      </w:pPr>
    </w:p>
    <w:bookmarkStart w:id="20" w:name="page21"/>
    <w:bookmarkEnd w:id="20"/>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The $0.8 billion increase in AUM for the nine months ended September 30, 2021 was due to market appreciation of $1.3 billion offset by net outflows of $0.6 billion. Net outflows were primarily related to the outflow of $1.6 billion from the closure of two Global Convertibles accounts. In the fourth quarter of 2020 we made the decision to exit the stand-alone convertibles business and our Global Convertibles team reverted to Aviva Investors, the firm from which they had previously joined Westwood. As a result, $1.6 billion in two sub-advised Global Convertibles mandates returned to Aviva as of April 1, 2021. These outflows were partially offset by net inflows to our SmallCap Value strategy.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121" w:lineRule="exact"/>
        <w:rPr>
          <w:sz w:val="20"/>
          <w:szCs w:val="20"/>
          <w:color w:val="auto"/>
        </w:rPr>
      </w:pPr>
    </w:p>
    <w:p>
      <w:pPr>
        <w:ind w:right="80" w:firstLine="486"/>
        <w:spacing w:after="0" w:line="264" w:lineRule="auto"/>
        <w:rPr>
          <w:sz w:val="20"/>
          <w:szCs w:val="20"/>
          <w:color w:val="auto"/>
        </w:rPr>
      </w:pPr>
      <w:r>
        <w:rPr>
          <w:rFonts w:ascii="Times New Roman" w:cs="Times New Roman" w:eastAsia="Times New Roman" w:hAnsi="Times New Roman"/>
          <w:sz w:val="18"/>
          <w:szCs w:val="18"/>
          <w:color w:val="auto"/>
        </w:rPr>
        <w:t>The following table (dollars in thousands) and discussion of our results of operations are based upon data derived from the Condensed Consolidated Statements of Comprehensive Income contained in our Condensed Consolidated Financial Statements and should be read in conjunction with those statements included elsewhere in this report.</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gridSpan w:val="4"/>
          </w:tcPr>
          <w:p>
            <w:pPr>
              <w:jc w:val="right"/>
              <w:ind w:right="279"/>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gridSpan w:val="4"/>
          </w:tcPr>
          <w:p>
            <w:pPr>
              <w:jc w:val="right"/>
              <w:ind w:right="319"/>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5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4"/>
          </w:tcPr>
          <w:p>
            <w:pPr>
              <w:jc w:val="right"/>
              <w:ind w:right="519"/>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100" w:type="dxa"/>
            <w:vAlign w:val="bottom"/>
          </w:tcPr>
          <w:p>
            <w:pPr>
              <w:spacing w:after="0"/>
              <w:rPr>
                <w:sz w:val="17"/>
                <w:szCs w:val="17"/>
                <w:color w:val="auto"/>
              </w:rPr>
            </w:pPr>
          </w:p>
        </w:tc>
        <w:tc>
          <w:tcPr>
            <w:tcW w:w="12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4"/>
          </w:tcPr>
          <w:p>
            <w:pPr>
              <w:jc w:val="right"/>
              <w:ind w:right="519"/>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59"/>
              <w:spacing w:after="0"/>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60"/>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79"/>
              <w:spacing w:after="0"/>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Pr>
          <w:p>
            <w:pPr>
              <w:spacing w:after="0"/>
              <w:rPr>
                <w:sz w:val="18"/>
                <w:szCs w:val="18"/>
                <w:color w:val="auto"/>
              </w:rPr>
            </w:pPr>
          </w:p>
        </w:tc>
        <w:tc>
          <w:tcPr>
            <w:tcW w:w="1000" w:type="dxa"/>
            <w:vAlign w:val="bottom"/>
          </w:tcPr>
          <w:p>
            <w:pPr>
              <w:jc w:val="right"/>
              <w:ind w:right="164"/>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0" w:type="dxa"/>
            <w:vAlign w:val="bottom"/>
          </w:tcPr>
          <w:p>
            <w:pPr>
              <w:spacing w:after="0"/>
              <w:rPr>
                <w:sz w:val="1"/>
                <w:szCs w:val="1"/>
                <w:color w:val="auto"/>
              </w:rPr>
            </w:pPr>
          </w:p>
        </w:tc>
      </w:tr>
      <w:tr>
        <w:trPr>
          <w:trHeight w:val="196"/>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Advisory fees: asset-based</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10,474</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12,011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4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33,244</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33,846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Advisory fees: performance-based</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NM</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1,959</w:t>
            </w:r>
          </w:p>
        </w:tc>
        <w:tc>
          <w:tcPr>
            <w:tcW w:w="110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3"/>
        </w:trPr>
        <w:tc>
          <w:tcPr>
            <w:tcW w:w="4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Trust fees: asset-based</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5,952</w:t>
            </w:r>
          </w:p>
        </w:tc>
        <w:tc>
          <w:tcPr>
            <w:tcW w:w="1120" w:type="dxa"/>
            <w:vAlign w:val="bottom"/>
            <w:gridSpan w:val="2"/>
          </w:tcPr>
          <w:p>
            <w:pPr>
              <w:jc w:val="right"/>
              <w:ind w:right="96"/>
              <w:spacing w:after="0"/>
              <w:rPr>
                <w:sz w:val="20"/>
                <w:szCs w:val="20"/>
                <w:color w:val="auto"/>
              </w:rPr>
            </w:pPr>
            <w:r>
              <w:rPr>
                <w:rFonts w:ascii="Times New Roman" w:cs="Times New Roman" w:eastAsia="Times New Roman" w:hAnsi="Times New Roman"/>
                <w:sz w:val="16"/>
                <w:szCs w:val="16"/>
                <w:color w:val="auto"/>
              </w:rPr>
              <w:t>(13)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16,257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18,233</w:t>
            </w:r>
          </w:p>
        </w:tc>
        <w:tc>
          <w:tcPr>
            <w:tcW w:w="1100" w:type="dxa"/>
            <w:vAlign w:val="bottom"/>
            <w:gridSpan w:val="2"/>
          </w:tcPr>
          <w:p>
            <w:pPr>
              <w:jc w:val="right"/>
              <w:ind w:right="84"/>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net</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12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6"/>
                <w:szCs w:val="16"/>
                <w:color w:val="auto"/>
              </w:rPr>
              <w:t>138</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100" w:type="dxa"/>
            <w:vAlign w:val="bottom"/>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240</w:t>
            </w:r>
          </w:p>
        </w:tc>
        <w:tc>
          <w:tcPr>
            <w:tcW w:w="0" w:type="dxa"/>
            <w:vAlign w:val="bottom"/>
          </w:tcPr>
          <w:p>
            <w:pPr>
              <w:spacing w:after="0"/>
              <w:rPr>
                <w:sz w:val="1"/>
                <w:szCs w:val="1"/>
                <w:color w:val="auto"/>
              </w:rPr>
            </w:pPr>
          </w:p>
        </w:tc>
      </w:tr>
      <w:tr>
        <w:trPr>
          <w:trHeight w:val="207"/>
        </w:trPr>
        <w:tc>
          <w:tcPr>
            <w:tcW w:w="45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revenues</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15,406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17,860</w:t>
            </w:r>
          </w:p>
        </w:tc>
        <w:tc>
          <w:tcPr>
            <w:tcW w:w="1120" w:type="dxa"/>
            <w:vAlign w:val="bottom"/>
            <w:gridSpan w:val="2"/>
          </w:tcPr>
          <w:p>
            <w:pPr>
              <w:jc w:val="right"/>
              <w:ind w:right="96"/>
              <w:spacing w:after="0"/>
              <w:rPr>
                <w:sz w:val="20"/>
                <w:szCs w:val="20"/>
                <w:color w:val="auto"/>
              </w:rPr>
            </w:pPr>
            <w:r>
              <w:rPr>
                <w:rFonts w:ascii="Times New Roman" w:cs="Times New Roman" w:eastAsia="Times New Roman" w:hAnsi="Times New Roman"/>
                <w:sz w:val="16"/>
                <w:szCs w:val="16"/>
                <w:color w:val="auto"/>
              </w:rPr>
              <w:t>(14)</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48,225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53,663</w:t>
            </w:r>
          </w:p>
        </w:tc>
        <w:tc>
          <w:tcPr>
            <w:tcW w:w="1100" w:type="dxa"/>
            <w:vAlign w:val="bottom"/>
            <w:gridSpan w:val="2"/>
          </w:tcPr>
          <w:p>
            <w:pPr>
              <w:jc w:val="right"/>
              <w:ind w:right="84"/>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Employee compensation and benefits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10,268</w:t>
            </w:r>
          </w:p>
        </w:tc>
        <w:tc>
          <w:tcPr>
            <w:tcW w:w="1120" w:type="dxa"/>
            <w:vAlign w:val="bottom"/>
            <w:gridSpan w:val="2"/>
          </w:tcPr>
          <w:p>
            <w:pPr>
              <w:jc w:val="right"/>
              <w:ind w:right="96"/>
              <w:spacing w:after="0"/>
              <w:rPr>
                <w:sz w:val="20"/>
                <w:szCs w:val="20"/>
                <w:color w:val="auto"/>
              </w:rPr>
            </w:pPr>
            <w:r>
              <w:rPr>
                <w:rFonts w:ascii="Times New Roman" w:cs="Times New Roman" w:eastAsia="Times New Roman" w:hAnsi="Times New Roman"/>
                <w:sz w:val="16"/>
                <w:szCs w:val="16"/>
                <w:color w:val="auto"/>
              </w:rPr>
              <w:t>(7)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28,993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32,053</w:t>
            </w:r>
          </w:p>
        </w:tc>
        <w:tc>
          <w:tcPr>
            <w:tcW w:w="1100" w:type="dxa"/>
            <w:vAlign w:val="bottom"/>
            <w:gridSpan w:val="2"/>
          </w:tcPr>
          <w:p>
            <w:pPr>
              <w:jc w:val="right"/>
              <w:ind w:right="84"/>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Sales and marketing</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12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6"/>
                <w:szCs w:val="16"/>
                <w:color w:val="auto"/>
              </w:rPr>
              <w:t>15</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w:t>
            </w:r>
          </w:p>
        </w:tc>
        <w:tc>
          <w:tcPr>
            <w:tcW w:w="1100" w:type="dxa"/>
            <w:vAlign w:val="bottom"/>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213"/>
        </w:trPr>
        <w:tc>
          <w:tcPr>
            <w:tcW w:w="4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Westwood mutual funds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w:t>
            </w:r>
          </w:p>
        </w:tc>
        <w:tc>
          <w:tcPr>
            <w:tcW w:w="1120" w:type="dxa"/>
            <w:vAlign w:val="bottom"/>
            <w:gridSpan w:val="2"/>
          </w:tcPr>
          <w:p>
            <w:pPr>
              <w:jc w:val="right"/>
              <w:ind w:right="96"/>
              <w:spacing w:after="0"/>
              <w:rPr>
                <w:sz w:val="20"/>
                <w:szCs w:val="20"/>
                <w:color w:val="auto"/>
              </w:rPr>
            </w:pPr>
            <w:r>
              <w:rPr>
                <w:rFonts w:ascii="Times New Roman" w:cs="Times New Roman" w:eastAsia="Times New Roman" w:hAnsi="Times New Roman"/>
                <w:sz w:val="16"/>
                <w:szCs w:val="16"/>
                <w:color w:val="auto"/>
              </w:rPr>
              <w:t>(24)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1,573</w:t>
            </w:r>
          </w:p>
        </w:tc>
        <w:tc>
          <w:tcPr>
            <w:tcW w:w="1100" w:type="dxa"/>
            <w:vAlign w:val="bottom"/>
            <w:gridSpan w:val="2"/>
          </w:tcPr>
          <w:p>
            <w:pPr>
              <w:jc w:val="right"/>
              <w:ind w:right="124"/>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Information technology</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1,937</w:t>
            </w:r>
          </w:p>
        </w:tc>
        <w:tc>
          <w:tcPr>
            <w:tcW w:w="112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6"/>
                <w:szCs w:val="16"/>
                <w:color w:val="auto"/>
              </w:rPr>
              <w:t>12</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6,190</w:t>
            </w:r>
          </w:p>
        </w:tc>
        <w:tc>
          <w:tcPr>
            <w:tcW w:w="110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3"/>
        </w:trPr>
        <w:tc>
          <w:tcPr>
            <w:tcW w:w="4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Professional services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w:t>
            </w:r>
          </w:p>
        </w:tc>
        <w:tc>
          <w:tcPr>
            <w:tcW w:w="1120" w:type="dxa"/>
            <w:vAlign w:val="bottom"/>
            <w:gridSpan w:val="2"/>
          </w:tcPr>
          <w:p>
            <w:pPr>
              <w:jc w:val="right"/>
              <w:ind w:right="136"/>
              <w:spacing w:after="0"/>
              <w:rPr>
                <w:sz w:val="20"/>
                <w:szCs w:val="20"/>
                <w:color w:val="auto"/>
              </w:rPr>
            </w:pPr>
            <w:r>
              <w:rPr>
                <w:rFonts w:ascii="Times New Roman" w:cs="Times New Roman" w:eastAsia="Times New Roman" w:hAnsi="Times New Roman"/>
                <w:sz w:val="16"/>
                <w:szCs w:val="16"/>
                <w:color w:val="auto"/>
              </w:rPr>
              <w:t>129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3,471</w:t>
            </w:r>
          </w:p>
        </w:tc>
        <w:tc>
          <w:tcPr>
            <w:tcW w:w="1100" w:type="dxa"/>
            <w:vAlign w:val="bottom"/>
            <w:gridSpan w:val="2"/>
          </w:tcPr>
          <w:p>
            <w:pPr>
              <w:jc w:val="right"/>
              <w:ind w:right="124"/>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1,779</w:t>
            </w:r>
          </w:p>
        </w:tc>
        <w:tc>
          <w:tcPr>
            <w:tcW w:w="112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6"/>
                <w:szCs w:val="16"/>
                <w:color w:val="auto"/>
              </w:rPr>
              <w:t>23</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5,893</w:t>
            </w:r>
          </w:p>
        </w:tc>
        <w:tc>
          <w:tcPr>
            <w:tcW w:w="1100" w:type="dxa"/>
            <w:vAlign w:val="bottom"/>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7"/>
        </w:trPr>
        <w:tc>
          <w:tcPr>
            <w:tcW w:w="45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expenses</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16,488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15,816</w:t>
            </w:r>
          </w:p>
        </w:tc>
        <w:tc>
          <w:tcPr>
            <w:tcW w:w="1120" w:type="dxa"/>
            <w:vAlign w:val="bottom"/>
            <w:tcBorders>
              <w:bottom w:val="single" w:sz="8" w:color="CCEEFF"/>
            </w:tcBorders>
            <w:gridSpan w:val="2"/>
          </w:tcPr>
          <w:p>
            <w:pPr>
              <w:jc w:val="right"/>
              <w:ind w:right="136"/>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49,290</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50,072</w:t>
            </w:r>
          </w:p>
        </w:tc>
        <w:tc>
          <w:tcPr>
            <w:tcW w:w="1100" w:type="dxa"/>
            <w:vAlign w:val="bottom"/>
            <w:tcBorders>
              <w:bottom w:val="single" w:sz="8" w:color="CCEEFF"/>
            </w:tcBorders>
            <w:gridSpan w:val="2"/>
          </w:tcPr>
          <w:p>
            <w:pPr>
              <w:jc w:val="right"/>
              <w:ind w:right="84"/>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2"/>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operating income (loss)</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2,044</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Realized gains on private investments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NM</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8,371</w:t>
            </w:r>
          </w:p>
        </w:tc>
        <w:tc>
          <w:tcPr>
            <w:tcW w:w="1100" w:type="dxa"/>
            <w:vAlign w:val="bottom"/>
            <w:gridSpan w:val="2"/>
          </w:tcPr>
          <w:p>
            <w:pPr>
              <w:jc w:val="right"/>
              <w:ind w:right="84"/>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62"/>
        </w:trPr>
        <w:tc>
          <w:tcPr>
            <w:tcW w:w="4540" w:type="dxa"/>
            <w:vAlign w:val="bottom"/>
            <w:shd w:val="clear" w:color="auto" w:fill="CCEEFF"/>
          </w:tcPr>
          <w:p>
            <w:pPr>
              <w:ind w:left="220"/>
              <w:spacing w:after="0" w:line="162" w:lineRule="exact"/>
              <w:rPr>
                <w:sz w:val="20"/>
                <w:szCs w:val="20"/>
                <w:color w:val="auto"/>
              </w:rPr>
            </w:pPr>
            <w:r>
              <w:rPr>
                <w:rFonts w:ascii="Times New Roman" w:cs="Times New Roman" w:eastAsia="Times New Roman" w:hAnsi="Times New Roman"/>
                <w:sz w:val="16"/>
                <w:szCs w:val="16"/>
                <w:color w:val="auto"/>
              </w:rPr>
              <w:t>Net change in unrealized appreciation (depreciation) on private</w:t>
            </w:r>
          </w:p>
        </w:tc>
        <w:tc>
          <w:tcPr>
            <w:tcW w:w="2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120" w:type="dxa"/>
            <w:vAlign w:val="bottom"/>
            <w:gridSpan w:val="2"/>
            <w:vMerge w:val="restart"/>
            <w:shd w:val="clear" w:color="auto" w:fill="CCEEFF"/>
          </w:tcPr>
          <w:p>
            <w:pPr>
              <w:jc w:val="right"/>
              <w:ind w:right="136"/>
              <w:spacing w:after="0"/>
              <w:rPr>
                <w:sz w:val="20"/>
                <w:szCs w:val="20"/>
                <w:color w:val="auto"/>
              </w:rPr>
            </w:pPr>
            <w:r>
              <w:rPr>
                <w:rFonts w:ascii="Times New Roman" w:cs="Times New Roman" w:eastAsia="Times New Roman" w:hAnsi="Times New Roman"/>
                <w:sz w:val="16"/>
                <w:szCs w:val="16"/>
                <w:color w:val="auto"/>
              </w:rPr>
              <w:t>1,815</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(2,124)</w:t>
            </w:r>
          </w:p>
        </w:tc>
        <w:tc>
          <w:tcPr>
            <w:tcW w:w="1100" w:type="dxa"/>
            <w:vAlign w:val="bottom"/>
            <w:gridSpan w:val="2"/>
            <w:vMerge w:val="restart"/>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investments</w:t>
            </w:r>
          </w:p>
        </w:tc>
        <w:tc>
          <w:tcPr>
            <w:tcW w:w="2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investment income</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120" w:type="dxa"/>
            <w:vAlign w:val="bottom"/>
            <w:gridSpan w:val="2"/>
          </w:tcPr>
          <w:p>
            <w:pPr>
              <w:jc w:val="right"/>
              <w:ind w:right="96"/>
              <w:spacing w:after="0"/>
              <w:rPr>
                <w:sz w:val="20"/>
                <w:szCs w:val="20"/>
                <w:color w:val="auto"/>
              </w:rPr>
            </w:pPr>
            <w:r>
              <w:rPr>
                <w:rFonts w:ascii="Times New Roman" w:cs="Times New Roman" w:eastAsia="Times New Roman" w:hAnsi="Times New Roman"/>
                <w:sz w:val="16"/>
                <w:szCs w:val="16"/>
                <w:color w:val="auto"/>
              </w:rPr>
              <w:t>(21)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1100" w:type="dxa"/>
            <w:vAlign w:val="bottom"/>
            <w:gridSpan w:val="2"/>
          </w:tcPr>
          <w:p>
            <w:pPr>
              <w:jc w:val="right"/>
              <w:ind w:right="84"/>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income</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12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1100" w:type="dxa"/>
            <w:vAlign w:val="bottom"/>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07"/>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before income taxes</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2,360</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(885)</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10,790</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112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6"/>
                <w:szCs w:val="16"/>
                <w:color w:val="auto"/>
              </w:rPr>
              <w:t>(68)</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3,840</w:t>
            </w:r>
          </w:p>
        </w:tc>
        <w:tc>
          <w:tcPr>
            <w:tcW w:w="110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10"/>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(1,175)</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24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(1,503)</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6,950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w:t>
      </w:r>
    </w:p>
    <w:p>
      <w:pPr>
        <w:spacing w:after="0" w:line="55" w:lineRule="exact"/>
        <w:rPr>
          <w:sz w:val="20"/>
          <w:szCs w:val="20"/>
          <w:color w:val="auto"/>
        </w:rPr>
      </w:pPr>
    </w:p>
    <w:p>
      <w:pPr>
        <w:ind w:left="180"/>
        <w:spacing w:after="0"/>
        <w:tabs>
          <w:tab w:leader="none" w:pos="520" w:val="left"/>
        </w:tabs>
        <w:rPr>
          <w:sz w:val="20"/>
          <w:szCs w:val="20"/>
          <w:color w:val="auto"/>
        </w:rPr>
      </w:pPr>
      <w:r>
        <w:rPr>
          <w:rFonts w:ascii="Times New Roman" w:cs="Times New Roman" w:eastAsia="Times New Roman" w:hAnsi="Times New Roman"/>
          <w:sz w:val="14"/>
          <w:szCs w:val="14"/>
          <w:color w:val="auto"/>
        </w:rPr>
        <w:t>NM</w:t>
        <w:tab/>
        <w:t>Not meaningful</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2022 compared to three months ended September 30, 2021</w:t>
      </w:r>
    </w:p>
    <w:p>
      <w:pPr>
        <w:spacing w:after="0" w:line="119" w:lineRule="exact"/>
        <w:rPr>
          <w:sz w:val="20"/>
          <w:szCs w:val="20"/>
          <w:color w:val="auto"/>
        </w:rPr>
      </w:pPr>
    </w:p>
    <w:p>
      <w:pPr>
        <w:ind w:right="34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Total revenues</w:t>
      </w:r>
      <w:r>
        <w:rPr>
          <w:rFonts w:ascii="Times New Roman" w:cs="Times New Roman" w:eastAsia="Times New Roman" w:hAnsi="Times New Roman"/>
          <w:sz w:val="18"/>
          <w:szCs w:val="18"/>
          <w:color w:val="auto"/>
        </w:rPr>
        <w:t>. Total revenues decreased $2.5 million, or 14%, to $15.4 million for the three months ended September 30, 2022 compared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$17.9 million for the three months ended September 30, 2021. Asset-based advisory fees decreased $1.5 million, or 13%, and Trust fees decreased $0.8 million, or 13%, both primarily related to lower average AUM.</w:t>
      </w:r>
    </w:p>
    <w:p>
      <w:pPr>
        <w:spacing w:after="0" w:line="65" w:lineRule="exact"/>
        <w:rPr>
          <w:sz w:val="20"/>
          <w:szCs w:val="20"/>
          <w:color w:val="auto"/>
        </w:rPr>
      </w:pPr>
    </w:p>
    <w:p>
      <w:pPr>
        <w:ind w:right="12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Employee compensation and benefits. </w:t>
      </w:r>
      <w:r>
        <w:rPr>
          <w:rFonts w:ascii="Times New Roman" w:cs="Times New Roman" w:eastAsia="Times New Roman" w:hAnsi="Times New Roman"/>
          <w:sz w:val="18"/>
          <w:szCs w:val="18"/>
          <w:color w:val="auto"/>
        </w:rPr>
        <w:t>Employee compensation and benefits decreased $0.8 million to $9.5 million compared with $10.3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due to lower commissions and incentive compensation.</w:t>
      </w:r>
    </w:p>
    <w:p>
      <w:pPr>
        <w:spacing w:after="0" w:line="50" w:lineRule="exact"/>
        <w:rPr>
          <w:sz w:val="20"/>
          <w:szCs w:val="20"/>
          <w:color w:val="auto"/>
        </w:rPr>
      </w:pPr>
    </w:p>
    <w:p>
      <w:pPr>
        <w:ind w:right="20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Professional services. </w:t>
      </w:r>
      <w:r>
        <w:rPr>
          <w:rFonts w:ascii="Times New Roman" w:cs="Times New Roman" w:eastAsia="Times New Roman" w:hAnsi="Times New Roman"/>
          <w:sz w:val="18"/>
          <w:szCs w:val="18"/>
          <w:color w:val="auto"/>
        </w:rPr>
        <w:t>Professional services increased $1.0 million, or 129%, to $1.7 million compared with $0.7 million for 2021 primarily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$0.6 million in expenses related to our pending acquisition of Salient.</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 w:name="page22"/>
    <w:bookmarkEnd w:id="21"/>
    <w:p>
      <w:pPr>
        <w:ind w:right="8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Income tax provision</w:t>
      </w:r>
      <w:r>
        <w:rPr>
          <w:rFonts w:ascii="Times New Roman" w:cs="Times New Roman" w:eastAsia="Times New Roman" w:hAnsi="Times New Roman"/>
          <w:sz w:val="18"/>
          <w:szCs w:val="18"/>
          <w:color w:val="auto"/>
        </w:rPr>
        <w:t>. Our effective tax rate differed from the 21% statutory rate for the third quarter of 2022 primarily due to permanent differences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between book and tax restricted stock expense based on a decrease in our stock price between the restricted stock grant and vesting dates.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2022 compared to nine months ended September 30, 2021</w:t>
      </w:r>
    </w:p>
    <w:p>
      <w:pPr>
        <w:spacing w:after="0" w:line="119"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Total revenues</w:t>
      </w:r>
      <w:r>
        <w:rPr>
          <w:rFonts w:ascii="Times New Roman" w:cs="Times New Roman" w:eastAsia="Times New Roman" w:hAnsi="Times New Roman"/>
          <w:sz w:val="18"/>
          <w:szCs w:val="18"/>
          <w:color w:val="auto"/>
        </w:rPr>
        <w:t>. Total revenues decreased $5.5 million, or 10%, to $48.2 million for the nine months ended September 30, 2022 compared with $53.7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nine months ended September 30, 2021. Asset-based advisory fees decreased $0.6 million, or 2% and Trust fees decreased $1.9 million, or 11%, both primarily related to lower average AUM. Performance-based advisory fees decreased $2.0 million due to reflecting lower performance fees in the nine months ended September 30, 2022.</w:t>
      </w:r>
    </w:p>
    <w:p>
      <w:pPr>
        <w:spacing w:after="0" w:line="72" w:lineRule="exact"/>
        <w:rPr>
          <w:sz w:val="20"/>
          <w:szCs w:val="20"/>
          <w:color w:val="auto"/>
        </w:rPr>
      </w:pPr>
    </w:p>
    <w:p>
      <w:pPr>
        <w:ind w:right="2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Employee compensation and benefits. </w:t>
      </w:r>
      <w:r>
        <w:rPr>
          <w:rFonts w:ascii="Times New Roman" w:cs="Times New Roman" w:eastAsia="Times New Roman" w:hAnsi="Times New Roman"/>
          <w:sz w:val="18"/>
          <w:szCs w:val="18"/>
          <w:color w:val="auto"/>
        </w:rPr>
        <w:t>Employee compensation and benefits decreased $3.1 million to $29.0 million compared with $32.1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due to lower incentive compensation and commissions.</w:t>
      </w:r>
    </w:p>
    <w:p>
      <w:pPr>
        <w:spacing w:after="0" w:line="50" w:lineRule="exact"/>
        <w:rPr>
          <w:sz w:val="20"/>
          <w:szCs w:val="20"/>
          <w:color w:val="auto"/>
        </w:rPr>
      </w:pPr>
    </w:p>
    <w:p>
      <w:pPr>
        <w:ind w:right="48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increased $0.4 million, or 49%, to $1.3 million compared with $0.9 million for 2021 as in-person sales activities continued to return to pre-COVID-19 levels.</w:t>
      </w:r>
    </w:p>
    <w:p>
      <w:pPr>
        <w:spacing w:after="0" w:line="50" w:lineRule="exact"/>
        <w:rPr>
          <w:sz w:val="20"/>
          <w:szCs w:val="20"/>
          <w:color w:val="auto"/>
        </w:rPr>
      </w:pPr>
    </w:p>
    <w:p>
      <w:pPr>
        <w:ind w:right="28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Professional services. </w:t>
      </w:r>
      <w:r>
        <w:rPr>
          <w:rFonts w:ascii="Times New Roman" w:cs="Times New Roman" w:eastAsia="Times New Roman" w:hAnsi="Times New Roman"/>
          <w:sz w:val="18"/>
          <w:szCs w:val="18"/>
          <w:color w:val="auto"/>
        </w:rPr>
        <w:t>Professional services increased $1.2 million, or 34%, to $4.7 million compared with $3.5 million for 2021 primarily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$1.3 million in expenses related to our pending acquisition of Salient.</w:t>
      </w:r>
    </w:p>
    <w:p>
      <w:pPr>
        <w:spacing w:after="0" w:line="50" w:lineRule="exact"/>
        <w:rPr>
          <w:sz w:val="20"/>
          <w:szCs w:val="20"/>
          <w:color w:val="auto"/>
        </w:rPr>
      </w:pPr>
    </w:p>
    <w:p>
      <w:pPr>
        <w:ind w:right="2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Realized gains on private investments. </w:t>
      </w:r>
      <w:r>
        <w:rPr>
          <w:rFonts w:ascii="Times New Roman" w:cs="Times New Roman" w:eastAsia="Times New Roman" w:hAnsi="Times New Roman"/>
          <w:sz w:val="18"/>
          <w:szCs w:val="18"/>
          <w:color w:val="auto"/>
        </w:rPr>
        <w:t>We recorded a realized gain of approximately $8.4 million following InvestCloud's recapitalization in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of 2021.</w:t>
      </w:r>
    </w:p>
    <w:p>
      <w:pPr>
        <w:spacing w:after="0" w:line="50" w:lineRule="exact"/>
        <w:rPr>
          <w:sz w:val="20"/>
          <w:szCs w:val="20"/>
          <w:color w:val="auto"/>
        </w:rPr>
      </w:pPr>
    </w:p>
    <w:p>
      <w:pPr>
        <w:ind w:right="10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change in unrealized appreciation (depreciation) on private investments. </w:t>
      </w:r>
      <w:r>
        <w:rPr>
          <w:rFonts w:ascii="Times New Roman" w:cs="Times New Roman" w:eastAsia="Times New Roman" w:hAnsi="Times New Roman"/>
          <w:sz w:val="18"/>
          <w:szCs w:val="18"/>
          <w:color w:val="auto"/>
        </w:rPr>
        <w:t>We recorded a $2.8 million net change in unrealized depreciation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reflect the recognition of previously recorded unrealized gains in connection with InvestCloud's recapitalization in the first quarter of 2021, partially offset by $0.7 million of fair value increases related to our investment in Charis.</w:t>
      </w:r>
    </w:p>
    <w:p>
      <w:pPr>
        <w:spacing w:after="0" w:line="65" w:lineRule="exact"/>
        <w:rPr>
          <w:sz w:val="20"/>
          <w:szCs w:val="20"/>
          <w:color w:val="auto"/>
        </w:rPr>
      </w:pPr>
    </w:p>
    <w:p>
      <w:pPr>
        <w:jc w:val="both"/>
        <w:ind w:right="20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Income tax provision</w:t>
      </w:r>
      <w:r>
        <w:rPr>
          <w:rFonts w:ascii="Times New Roman" w:cs="Times New Roman" w:eastAsia="Times New Roman" w:hAnsi="Times New Roman"/>
          <w:sz w:val="18"/>
          <w:szCs w:val="18"/>
          <w:color w:val="auto"/>
        </w:rPr>
        <w:t>. The effective tax rate for the nine months ended September 30, 2022 differed from the 21% statutory rate for 2022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to permanent differences between book and tax restricted stock expense based on a decrease in our stock price between the restricted stock grant and vesting dates.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Supplemental Financial Information</w:t>
      </w:r>
    </w:p>
    <w:p>
      <w:pPr>
        <w:spacing w:after="0" w:line="121"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As supplemental information, we are providing non-GAAP performance measures that we refer to as Economic Earnings and Economic EPS. We provide these measures in addition to, not as a substitute for, net income (loss) and earnings (loss) per share, which are reported on a GAAP basis. Our management and Board of Directors review Economic Earnings and Economic EPS to evaluate our ongoing performance, allocate resources, and review our dividend policy. We believe that these non-GAAP performance measures, while not substitutes for GAAP net income (loss) or earnings (loss) per share, are useful for management and investors when evaluating our underlying operating and financial performance and our available resources. We do not advocate that investors consider these non-GAAP measures without also considering financial information prepared in accordance with GAAP.</w:t>
      </w:r>
    </w:p>
    <w:p>
      <w:pPr>
        <w:spacing w:after="0" w:line="79"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We define Economic Earnings as net income (loss) plus non-cash equity-based compensation expense, amortization of intangible assets and deferred taxes related to goodwill. Although depreciation on fixed assets is a non-cash expense, we do not add it back when calculating Economic Earnings because depreciation charges represent an allocation of the decline in the value of the related assets that will ultimately require replacement. In addition, we do not adjust Economic Earnings for tax deductions related to restricted stock expense or amortization of intangible assets. Economic EPS represents Economic Earnings divided by diluted weighted average shares outstanding.</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22" w:name="page23"/>
    <w:bookmarkEnd w:id="22"/>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tables provide a reconciliation of net income (loss) to Economic Earnings and Economic Earnings by segment (in thousands, except share and per share amounts):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40" w:type="dxa"/>
            <w:vAlign w:val="bottom"/>
            <w:gridSpan w:val="4"/>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20" w:type="dxa"/>
            <w:vAlign w:val="bottom"/>
            <w:gridSpan w:val="4"/>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4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4"/>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4"/>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20"/>
                <w:szCs w:val="20"/>
                <w:color w:val="auto"/>
              </w:rPr>
            </w:pPr>
          </w:p>
        </w:tc>
        <w:tc>
          <w:tcPr>
            <w:tcW w:w="126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60" w:type="dxa"/>
            <w:vAlign w:val="bottom"/>
          </w:tcPr>
          <w:p>
            <w:pPr>
              <w:spacing w:after="0"/>
              <w:rPr>
                <w:sz w:val="20"/>
                <w:szCs w:val="20"/>
                <w:color w:val="auto"/>
              </w:rPr>
            </w:pPr>
          </w:p>
        </w:tc>
        <w:tc>
          <w:tcPr>
            <w:tcW w:w="84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20"/>
                <w:szCs w:val="20"/>
                <w:color w:val="auto"/>
              </w:rPr>
            </w:pPr>
          </w:p>
        </w:tc>
        <w:tc>
          <w:tcPr>
            <w:tcW w:w="112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26"/>
        </w:trPr>
        <w:tc>
          <w:tcPr>
            <w:tcW w:w="4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6,950</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29"/>
        </w:trPr>
        <w:tc>
          <w:tcPr>
            <w:tcW w:w="4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124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4,459</w:t>
            </w:r>
          </w:p>
        </w:tc>
        <w:tc>
          <w:tcPr>
            <w:tcW w:w="122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amortization</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Tax benefit from goodwill amortization</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Economic Earnings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3,706</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12,804</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per share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29"/>
        </w:trPr>
        <w:tc>
          <w:tcPr>
            <w:tcW w:w="4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24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22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amortization</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Tax benefit from goodwill amortization</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Economic Earnings per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7,794,060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7,956,081</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7,867,555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7,933,860</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4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Economic Earnings by Segment:</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Advisory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4,416</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14,885</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4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Trust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124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6,507</w:t>
            </w:r>
          </w:p>
        </w:tc>
        <w:tc>
          <w:tcPr>
            <w:tcW w:w="122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Westwood Holdings</w:t>
            </w: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w:t>
            </w:r>
          </w:p>
        </w:tc>
        <w:tc>
          <w:tcPr>
            <w:tcW w:w="124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(8,588)</w:t>
            </w:r>
          </w:p>
        </w:tc>
        <w:tc>
          <w:tcPr>
            <w:tcW w:w="122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3,706</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4,302</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175"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We fund our operations and cash requirements with cash generated from operating activities. We may also use cash from operations to pay dividends to our stockholders. We reinstated a dividend in the first quarter of 2021, following a suspension in the second quarter of 2020 as we preserved capital and enhanced our financial flexibility amid the uncertainties created by the COVID-19 pandemic.</w:t>
      </w:r>
    </w:p>
    <w:p>
      <w:pPr>
        <w:spacing w:after="0" w:line="68"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Our announced acquisition of Salient's asset management business will require an upfront cash payment of $35.0 million upon closing, and subsequent deferred payments of up to $25.0 million over several years, upon satisfaction of certain revenue retention and growth targets. Those payments are expected to be made from a combination of cash on hand, cash flows from operations and equity.</w:t>
      </w:r>
    </w:p>
    <w:p>
      <w:pPr>
        <w:spacing w:after="0" w:line="122"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As of September 30, 2022 and December 31, 2021, we had no debt. The changes in net cash provided by operating activities generally reflect changes in earnings plus the effects of non-cash items and changes in working capital, including liquidation of investments used to cover current liabilities. Changes in working capital, especially accounts receivable and accounts payable, are generally the result of timing differences between collection of fees billed and payment of operating expenses.</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the nine months ended September 30, 2022, cash flow provided by operating activities was $15.3 million, which included net sales of $12.1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of current investments and a $1.9 million change in accounts receivable, partially offset by a reduction in compensation and benefits payable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$3.6 million. During the nine months ended September 30, 2021, cash flow provided by operating activities was $21.1 million, which included net sales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$11.2 million of current investments, a $2.2 million change in income taxes payable, and a $1.1 million change in accounts payable and accrued liabilities,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 by decreases of $1.2 million in other liabilities and $0.4 million in compensation and benefits payable.</w:t>
      </w:r>
    </w:p>
    <w:p>
      <w:pPr>
        <w:spacing w:after="0" w:line="99"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Cash flow used in investing activities during the nine months ended September 30, 2022 was for purchases of property and equipment. Cash flow provided by investing activities during the nine months ended September 30, 2021 was related to</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 w:name="page24"/>
    <w:bookmarkEnd w:id="23"/>
    <w:p>
      <w:pPr>
        <w:ind w:right="440"/>
        <w:spacing w:after="0" w:line="282" w:lineRule="auto"/>
        <w:rPr>
          <w:sz w:val="20"/>
          <w:szCs w:val="20"/>
          <w:color w:val="auto"/>
        </w:rPr>
      </w:pPr>
      <w:r>
        <w:rPr>
          <w:rFonts w:ascii="Times New Roman" w:cs="Times New Roman" w:eastAsia="Times New Roman" w:hAnsi="Times New Roman"/>
          <w:sz w:val="18"/>
          <w:szCs w:val="18"/>
          <w:color w:val="auto"/>
        </w:rPr>
        <w:t>realized gains on private investments and the sale of property and equipment following the sublease of a portion of our Dallas, Texas corporate office space.</w:t>
      </w:r>
    </w:p>
    <w:p>
      <w:pPr>
        <w:spacing w:after="0" w:line="54"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Cash flows used in financing activities of $7.9 million for the nine months ended September 30, 2022 reflected the payment of dividends, treasury stock repurchases and restricted stock returned for the payment of taxes. Cash flows used in financing activities of $25.2 million for the nine months ended September 30, 2021 reflected the payment of dividends, including those treated as a return of capital for accounting purposes, treasury stock repurchases and restricted stock returned for the payment of taxes</w:t>
      </w:r>
    </w:p>
    <w:p>
      <w:pPr>
        <w:spacing w:after="0" w:line="72"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We had cash and short-term investments of $74.0 million as of September 30, 2022 and $80.2 million as of December 31, 2021. At September 30, 2022 and December 31, 2021, working capital aggregated $74.6 million and $78.0 million, respectively.</w:t>
      </w:r>
    </w:p>
    <w:p>
      <w:pPr>
        <w:spacing w:after="0" w:line="54" w:lineRule="exact"/>
        <w:rPr>
          <w:sz w:val="20"/>
          <w:szCs w:val="20"/>
          <w:color w:val="auto"/>
        </w:rPr>
      </w:pPr>
    </w:p>
    <w:p>
      <w:pPr>
        <w:ind w:right="200" w:firstLine="486"/>
        <w:spacing w:after="0" w:line="266" w:lineRule="auto"/>
        <w:rPr>
          <w:sz w:val="20"/>
          <w:szCs w:val="20"/>
          <w:color w:val="auto"/>
        </w:rPr>
      </w:pPr>
      <w:r>
        <w:rPr>
          <w:rFonts w:ascii="Times New Roman" w:cs="Times New Roman" w:eastAsia="Times New Roman" w:hAnsi="Times New Roman"/>
          <w:sz w:val="18"/>
          <w:szCs w:val="18"/>
          <w:color w:val="auto"/>
        </w:rPr>
        <w:t>Westwood Trust is required to maintain cash and investments in an amount equal to the minimum restricted capital of $4.0 million, as required by the Texas Finance Code. Restricted capital is included in Investments in the accompanying Condensed Consolidated Balance Sheets. At September 30, 2022, Westwood Trust had approximately $15.6 million in excess of its minimum capital requirement.</w:t>
      </w:r>
    </w:p>
    <w:p>
      <w:pPr>
        <w:spacing w:after="0" w:line="68"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Our future liquidity and capital requirements will depend upon numerous factors, including our results of operations, the timing and magnitude of capital expenditures or strategic initiatives, our dividend policy and other business and risk factors described under “Risk Factors” in our Annual Report on Form 10-K for the year ended December 31, 2021. We believe that current cash and short-term investment balances plus cash generated from operations will be sufficient to meet both the operating and capital requirements of our ordinary business operations through at least the next twelve months, however there can be no assurance that we will not require additional financing within this time frame. Failure to raise needed capital on attractive terms, if at all, could have a material adverse effect on our business, financial condition and results of operations.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Contractual Obligations</w:t>
      </w:r>
    </w:p>
    <w:p>
      <w:pPr>
        <w:spacing w:after="0" w:line="175"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As of September 30, 2022, there have been no material changes outside of the ordinary course of business to our contractual obligations since December 31, 2021. For information regarding our contractual obligations, refer to “Contractual Obligations” in Part II, Item 7. “Management's Discussion and Analysis of Financial Condition and Results of Operations” in our Annual Report on Form 10-K for the fiscal year ended December 31, 2021.</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and Significant Accounting Policies and Estimates</w:t>
      </w:r>
    </w:p>
    <w:p>
      <w:pPr>
        <w:spacing w:after="0" w:line="121"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There have been no significant changes in our critical or significant accounting policies and estimates since December 31, 2021. Information with respect to our critical accounting policies and estimates that we believe could have the most significant effect on our reported consolidated results and require difficult, subjective or complex judgment by management is described under “Critical Accounting Policies and Estimates” in Part II, Item 7. “Management’s Discussion and Analysis of Financial Condition and Results of Operations” in our Annual Report on Form 10-K for the fiscal year ended December 31, 2021.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Accounting Developments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Refer to Note 2 “Summary of Significant Accounting Policies” in our Condensed Consolidated Financial Statements included in Part I, Item 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 of this Quarterly Report on Form 10-Q for a description of recently issued accounting guidance.</w:t>
      </w:r>
    </w:p>
    <w:p>
      <w:pPr>
        <w:spacing w:after="0" w:line="31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in our Quantitative and Qualitative Disclosures about Market Risk from those previously reported in our Annual Report on Form 10-K for the year ended December 31, 2021.</w:t>
      </w:r>
    </w:p>
    <w:p>
      <w:pPr>
        <w:spacing w:after="0" w:line="21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Our disclosure controls and procedures are designed to ensure that information required to be disclosed in the reports we file or submit under the Securities Exchange Act of 1934, as amended (the “Exchange Act”), (1) is recorded, processed,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24" w:name="page25"/>
    <w:bookmarkEnd w:id="24"/>
    <w:p>
      <w:pPr>
        <w:spacing w:after="0" w:line="254" w:lineRule="auto"/>
        <w:rPr>
          <w:sz w:val="20"/>
          <w:szCs w:val="20"/>
          <w:color w:val="auto"/>
        </w:rPr>
      </w:pPr>
      <w:r>
        <w:rPr>
          <w:rFonts w:ascii="Times New Roman" w:cs="Times New Roman" w:eastAsia="Times New Roman" w:hAnsi="Times New Roman"/>
          <w:sz w:val="18"/>
          <w:szCs w:val="18"/>
          <w:color w:val="auto"/>
        </w:rPr>
        <w:t>summarized and reported within the time periods specified in the SEC’s rules and forms and (2) is accumulated and communicated to our management, including our Chief Executive Officer and our Chief Financial Officer, to allow timely decisions regarding required disclosure. An evaluation was performed under the supervision and with the participation of our management, including our Chief Executive Officer and Chief Financial Officer, of the effectiveness of the design and operation of our disclosure controls and procedures (as defined in Rule 13a-15(e) under the Exchange Act) as of the end of the period covered by this report. Based on this evaluation, our management, including our Chief Executive Officer and our Chief Financial Officer, concluded that, as of the end of the period covered by this report, our disclosure controls and procedures were effective to ensure that information required to be disclosed in the reports we file or submit under the Exchange Act is recorded, processed, summarized and reported within the time periods specified in the SEC’s rules and forms and is accumulated and communicated to management, including our Chief Executive Officer and our Chief Financial Officer, as appropriate, to allow timely decisions regarding required disclosure.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121"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During the quarter ended September 30, 2022, there were no changes in our internal controls over financial reporting (as defined in Rule 13a-15(f) under the Exchange Act) that materially affected, or are reasonably likely to materially affect, our internal control over financial reporting. Due to our significant investments in cloud-based systems, the impact of our employees working remotely did not hinder the execution of our internal control processes and procedures.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00" w:lineRule="exact"/>
        <w:rPr>
          <w:sz w:val="20"/>
          <w:szCs w:val="20"/>
          <w:color w:val="auto"/>
        </w:rPr>
      </w:pPr>
    </w:p>
    <w:p>
      <w:pPr>
        <w:spacing w:after="0" w:line="26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Our business and future results may be affected by a number of risks and uncertainties that should be considered carefully. In addition, this report also contains forward-looking statements that involve risks and uncertainties. Our actual results could differ materially from those anticipated in such forward-looking statements as a result of certain factors, including the risks described in Part I, Item 1A of the Company’s Annual Report on Form 10-K for the year ended December 31, 2021 and the risks set forth below.</w:t>
      </w:r>
    </w:p>
    <w:p>
      <w:pPr>
        <w:spacing w:after="0" w:line="72"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in the Form 10-K. You should carefully consider the following risks and the risks included in the Company’s Annual Report on Form 10-K, together with all of the other information in this Quarterly Report on Form 10-Q, including our unaudited condensed consolidated financial statements and the related notes included elsewhere in this Quarterly Report on Form 10-Q. The occurrence of any single risk or any combination of risks could materially and adversely affect our business, financial condition, results of operations, cash flows and the trading price of our common stock.</w:t>
      </w:r>
    </w:p>
    <w:p>
      <w:pPr>
        <w:spacing w:after="0" w:line="28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121"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Our share repurchase program has no expiration date and may be discontinued at any time by the Board of Directors. Between July 1, 2022 and September 30, 2022, under the share repurchase program, the Company repurchased 99,444 shares of our common stock at an average price of $12.64 per share, including commissions, for an aggregate purchase price of $1.3 million.</w:t>
      </w:r>
    </w:p>
    <w:p>
      <w:pPr>
        <w:spacing w:after="0" w:line="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following table displays information with respect to the treasury shares we purchased during the three months ended September 30, 2022:</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80" w:type="dxa"/>
            <w:vAlign w:val="bottom"/>
          </w:tcPr>
          <w:p>
            <w:pPr>
              <w:spacing w:after="0"/>
              <w:rPr>
                <w:sz w:val="16"/>
                <w:szCs w:val="16"/>
                <w:color w:val="auto"/>
              </w:rPr>
            </w:pPr>
          </w:p>
        </w:tc>
        <w:tc>
          <w:tcPr>
            <w:tcW w:w="14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3"/>
          </w:tcPr>
          <w:p>
            <w:pPr>
              <w:jc w:val="center"/>
              <w:ind w:right="190"/>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2160" w:type="dxa"/>
            <w:vAlign w:val="bottom"/>
          </w:tcPr>
          <w:p>
            <w:pPr>
              <w:jc w:val="center"/>
              <w:ind w:right="118"/>
              <w:spacing w:after="0"/>
              <w:rPr>
                <w:sz w:val="20"/>
                <w:szCs w:val="20"/>
                <w:color w:val="auto"/>
              </w:rPr>
            </w:pPr>
            <w:r>
              <w:rPr>
                <w:rFonts w:ascii="Times New Roman" w:cs="Times New Roman" w:eastAsia="Times New Roman" w:hAnsi="Times New Roman"/>
                <w:sz w:val="16"/>
                <w:szCs w:val="16"/>
                <w:b w:val="1"/>
                <w:bCs w:val="1"/>
                <w:color w:val="auto"/>
              </w:rPr>
              <w:t>Maximum number (or</w:t>
            </w:r>
          </w:p>
        </w:tc>
        <w:tc>
          <w:tcPr>
            <w:tcW w:w="0" w:type="dxa"/>
            <w:vAlign w:val="bottom"/>
          </w:tcPr>
          <w:p>
            <w:pPr>
              <w:spacing w:after="0"/>
              <w:rPr>
                <w:sz w:val="1"/>
                <w:szCs w:val="1"/>
                <w:color w:val="auto"/>
              </w:rPr>
            </w:pPr>
          </w:p>
        </w:tc>
      </w:tr>
      <w:tr>
        <w:trPr>
          <w:trHeight w:val="162"/>
        </w:trPr>
        <w:tc>
          <w:tcPr>
            <w:tcW w:w="428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920" w:type="dxa"/>
            <w:vAlign w:val="bottom"/>
            <w:gridSpan w:val="3"/>
          </w:tcPr>
          <w:p>
            <w:pPr>
              <w:jc w:val="center"/>
              <w:ind w:right="210"/>
              <w:spacing w:after="0" w:line="162" w:lineRule="exact"/>
              <w:rPr>
                <w:sz w:val="20"/>
                <w:szCs w:val="20"/>
                <w:color w:val="auto"/>
              </w:rPr>
            </w:pPr>
            <w:r>
              <w:rPr>
                <w:rFonts w:ascii="Times New Roman" w:cs="Times New Roman" w:eastAsia="Times New Roman" w:hAnsi="Times New Roman"/>
                <w:sz w:val="16"/>
                <w:szCs w:val="16"/>
                <w:b w:val="1"/>
                <w:bCs w:val="1"/>
                <w:color w:val="auto"/>
              </w:rPr>
              <w:t>shares purchased as</w:t>
            </w:r>
          </w:p>
        </w:tc>
        <w:tc>
          <w:tcPr>
            <w:tcW w:w="2160" w:type="dxa"/>
            <w:vAlign w:val="bottom"/>
          </w:tcPr>
          <w:p>
            <w:pPr>
              <w:jc w:val="center"/>
              <w:ind w:right="118"/>
              <w:spacing w:after="0" w:line="162" w:lineRule="exact"/>
              <w:rPr>
                <w:sz w:val="20"/>
                <w:szCs w:val="20"/>
                <w:color w:val="auto"/>
              </w:rPr>
            </w:pPr>
            <w:r>
              <w:rPr>
                <w:rFonts w:ascii="Times New Roman" w:cs="Times New Roman" w:eastAsia="Times New Roman" w:hAnsi="Times New Roman"/>
                <w:sz w:val="16"/>
                <w:szCs w:val="16"/>
                <w:b w:val="1"/>
                <w:bCs w:val="1"/>
                <w:color w:val="auto"/>
              </w:rPr>
              <w:t>approximate dollar value)</w:t>
            </w:r>
          </w:p>
        </w:tc>
        <w:tc>
          <w:tcPr>
            <w:tcW w:w="0" w:type="dxa"/>
            <w:vAlign w:val="bottom"/>
          </w:tcPr>
          <w:p>
            <w:pPr>
              <w:spacing w:after="0"/>
              <w:rPr>
                <w:sz w:val="1"/>
                <w:szCs w:val="1"/>
                <w:color w:val="auto"/>
              </w:rPr>
            </w:pPr>
          </w:p>
        </w:tc>
      </w:tr>
      <w:tr>
        <w:trPr>
          <w:trHeight w:val="162"/>
        </w:trPr>
        <w:tc>
          <w:tcPr>
            <w:tcW w:w="4280" w:type="dxa"/>
            <w:vAlign w:val="bottom"/>
          </w:tcPr>
          <w:p>
            <w:pPr>
              <w:spacing w:after="0"/>
              <w:rPr>
                <w:sz w:val="14"/>
                <w:szCs w:val="14"/>
                <w:color w:val="auto"/>
              </w:rPr>
            </w:pPr>
          </w:p>
        </w:tc>
        <w:tc>
          <w:tcPr>
            <w:tcW w:w="14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2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920" w:type="dxa"/>
            <w:vAlign w:val="bottom"/>
            <w:gridSpan w:val="3"/>
          </w:tcPr>
          <w:p>
            <w:pPr>
              <w:jc w:val="center"/>
              <w:ind w:right="210"/>
              <w:spacing w:after="0" w:line="162" w:lineRule="exact"/>
              <w:rPr>
                <w:sz w:val="20"/>
                <w:szCs w:val="20"/>
                <w:color w:val="auto"/>
              </w:rPr>
            </w:pPr>
            <w:r>
              <w:rPr>
                <w:rFonts w:ascii="Times New Roman" w:cs="Times New Roman" w:eastAsia="Times New Roman" w:hAnsi="Times New Roman"/>
                <w:sz w:val="16"/>
                <w:szCs w:val="16"/>
                <w:b w:val="1"/>
                <w:bCs w:val="1"/>
                <w:color w:val="auto"/>
              </w:rPr>
              <w:t>part of publicly</w:t>
            </w:r>
          </w:p>
        </w:tc>
        <w:tc>
          <w:tcPr>
            <w:tcW w:w="2160" w:type="dxa"/>
            <w:vAlign w:val="bottom"/>
          </w:tcPr>
          <w:p>
            <w:pPr>
              <w:jc w:val="center"/>
              <w:ind w:right="118"/>
              <w:spacing w:after="0" w:line="162" w:lineRule="exact"/>
              <w:rPr>
                <w:sz w:val="20"/>
                <w:szCs w:val="20"/>
                <w:color w:val="auto"/>
              </w:rPr>
            </w:pPr>
            <w:r>
              <w:rPr>
                <w:rFonts w:ascii="Times New Roman" w:cs="Times New Roman" w:eastAsia="Times New Roman" w:hAnsi="Times New Roman"/>
                <w:sz w:val="16"/>
                <w:szCs w:val="16"/>
                <w:b w:val="1"/>
                <w:bCs w:val="1"/>
                <w:color w:val="auto"/>
              </w:rPr>
              <w:t>of shares that may yet be</w:t>
            </w:r>
          </w:p>
        </w:tc>
        <w:tc>
          <w:tcPr>
            <w:tcW w:w="0" w:type="dxa"/>
            <w:vAlign w:val="bottom"/>
          </w:tcPr>
          <w:p>
            <w:pPr>
              <w:spacing w:after="0"/>
              <w:rPr>
                <w:sz w:val="1"/>
                <w:szCs w:val="1"/>
                <w:color w:val="auto"/>
              </w:rPr>
            </w:pPr>
          </w:p>
        </w:tc>
      </w:tr>
      <w:tr>
        <w:trPr>
          <w:trHeight w:val="162"/>
        </w:trPr>
        <w:tc>
          <w:tcPr>
            <w:tcW w:w="4280" w:type="dxa"/>
            <w:vAlign w:val="bottom"/>
          </w:tcPr>
          <w:p>
            <w:pPr>
              <w:spacing w:after="0"/>
              <w:rPr>
                <w:sz w:val="14"/>
                <w:szCs w:val="14"/>
                <w:color w:val="auto"/>
              </w:rPr>
            </w:pPr>
          </w:p>
        </w:tc>
        <w:tc>
          <w:tcPr>
            <w:tcW w:w="14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tcPr>
          <w:p>
            <w:pPr>
              <w:spacing w:after="0"/>
              <w:rPr>
                <w:sz w:val="14"/>
                <w:szCs w:val="14"/>
                <w:color w:val="auto"/>
              </w:rPr>
            </w:pPr>
          </w:p>
        </w:tc>
        <w:tc>
          <w:tcPr>
            <w:tcW w:w="122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price paid</w:t>
            </w:r>
          </w:p>
        </w:tc>
        <w:tc>
          <w:tcPr>
            <w:tcW w:w="1920" w:type="dxa"/>
            <w:vAlign w:val="bottom"/>
            <w:gridSpan w:val="3"/>
          </w:tcPr>
          <w:p>
            <w:pPr>
              <w:jc w:val="center"/>
              <w:ind w:right="190"/>
              <w:spacing w:after="0" w:line="162" w:lineRule="exact"/>
              <w:rPr>
                <w:sz w:val="20"/>
                <w:szCs w:val="20"/>
                <w:color w:val="auto"/>
              </w:rPr>
            </w:pPr>
            <w:r>
              <w:rPr>
                <w:rFonts w:ascii="Times New Roman" w:cs="Times New Roman" w:eastAsia="Times New Roman" w:hAnsi="Times New Roman"/>
                <w:sz w:val="16"/>
                <w:szCs w:val="16"/>
                <w:b w:val="1"/>
                <w:bCs w:val="1"/>
                <w:color w:val="auto"/>
              </w:rPr>
              <w:t>announced plans or</w:t>
            </w:r>
          </w:p>
        </w:tc>
        <w:tc>
          <w:tcPr>
            <w:tcW w:w="2160" w:type="dxa"/>
            <w:vAlign w:val="bottom"/>
          </w:tcPr>
          <w:p>
            <w:pPr>
              <w:jc w:val="center"/>
              <w:ind w:right="98"/>
              <w:spacing w:after="0" w:line="162" w:lineRule="exact"/>
              <w:rPr>
                <w:sz w:val="20"/>
                <w:szCs w:val="20"/>
                <w:color w:val="auto"/>
              </w:rPr>
            </w:pPr>
            <w:r>
              <w:rPr>
                <w:rFonts w:ascii="Times New Roman" w:cs="Times New Roman" w:eastAsia="Times New Roman" w:hAnsi="Times New Roman"/>
                <w:sz w:val="16"/>
                <w:szCs w:val="16"/>
                <w:b w:val="1"/>
                <w:bCs w:val="1"/>
                <w:color w:val="auto"/>
              </w:rPr>
              <w:t>purchased under the</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purchased</w:t>
            </w:r>
          </w:p>
        </w:tc>
        <w:tc>
          <w:tcPr>
            <w:tcW w:w="2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1920" w:type="dxa"/>
            <w:vAlign w:val="bottom"/>
            <w:gridSpan w:val="3"/>
          </w:tcPr>
          <w:p>
            <w:pPr>
              <w:jc w:val="center"/>
              <w:ind w:right="210"/>
              <w:spacing w:after="0"/>
              <w:rPr>
                <w:sz w:val="20"/>
                <w:szCs w:val="20"/>
                <w:color w:val="auto"/>
              </w:rPr>
            </w:pPr>
            <w:r>
              <w:rPr>
                <w:rFonts w:ascii="Times New Roman" w:cs="Times New Roman" w:eastAsia="Times New Roman" w:hAnsi="Times New Roman"/>
                <w:sz w:val="16"/>
                <w:szCs w:val="16"/>
                <w:b w:val="1"/>
                <w:bCs w:val="1"/>
                <w:color w:val="auto"/>
                <w:w w:val="98"/>
              </w:rPr>
              <w:t>programs</w:t>
            </w:r>
          </w:p>
        </w:tc>
        <w:tc>
          <w:tcPr>
            <w:tcW w:w="2160" w:type="dxa"/>
            <w:vAlign w:val="bottom"/>
          </w:tcPr>
          <w:p>
            <w:pPr>
              <w:jc w:val="center"/>
              <w:ind w:right="118"/>
              <w:spacing w:after="0" w:line="216" w:lineRule="exact"/>
              <w:rPr>
                <w:sz w:val="20"/>
                <w:szCs w:val="20"/>
                <w:color w:val="auto"/>
              </w:rPr>
            </w:pPr>
            <w:r>
              <w:rPr>
                <w:rFonts w:ascii="Times New Roman" w:cs="Times New Roman" w:eastAsia="Times New Roman" w:hAnsi="Times New Roman"/>
                <w:sz w:val="16"/>
                <w:szCs w:val="16"/>
                <w:b w:val="1"/>
                <w:bCs w:val="1"/>
                <w:color w:val="auto"/>
                <w:w w:val="98"/>
              </w:rPr>
              <w:t xml:space="preserve">plans or programs </w:t>
            </w:r>
            <w:r>
              <w:rPr>
                <w:rFonts w:ascii="Times New Roman" w:cs="Times New Roman" w:eastAsia="Times New Roman" w:hAnsi="Times New Roman"/>
                <w:sz w:val="21"/>
                <w:szCs w:val="21"/>
                <w:b w:val="1"/>
                <w:bCs w:val="1"/>
                <w:color w:val="auto"/>
                <w:w w:val="98"/>
                <w:vertAlign w:val="superscript"/>
              </w:rPr>
              <w:t>(1)</w:t>
            </w:r>
          </w:p>
        </w:tc>
        <w:tc>
          <w:tcPr>
            <w:tcW w:w="0" w:type="dxa"/>
            <w:vAlign w:val="bottom"/>
          </w:tcPr>
          <w:p>
            <w:pPr>
              <w:spacing w:after="0"/>
              <w:rPr>
                <w:sz w:val="1"/>
                <w:szCs w:val="1"/>
                <w:color w:val="auto"/>
              </w:rPr>
            </w:pPr>
          </w:p>
        </w:tc>
      </w:tr>
      <w:tr>
        <w:trPr>
          <w:trHeight w:val="223"/>
        </w:trPr>
        <w:tc>
          <w:tcPr>
            <w:tcW w:w="428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Repurchase program </w:t>
            </w:r>
            <w:r>
              <w:rPr>
                <w:rFonts w:ascii="Times New Roman" w:cs="Times New Roman" w:eastAsia="Times New Roman" w:hAnsi="Times New Roman"/>
                <w:sz w:val="23"/>
                <w:szCs w:val="23"/>
                <w:color w:val="auto"/>
                <w:vertAlign w:val="superscript"/>
              </w:rPr>
              <w:t>(1)</w:t>
            </w: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1,900,000</w:t>
            </w:r>
          </w:p>
        </w:tc>
        <w:tc>
          <w:tcPr>
            <w:tcW w:w="0" w:type="dxa"/>
            <w:vAlign w:val="bottom"/>
          </w:tcPr>
          <w:p>
            <w:pPr>
              <w:spacing w:after="0"/>
              <w:rPr>
                <w:sz w:val="1"/>
                <w:szCs w:val="1"/>
                <w:color w:val="auto"/>
              </w:rPr>
            </w:pPr>
          </w:p>
        </w:tc>
      </w:tr>
      <w:tr>
        <w:trPr>
          <w:trHeight w:val="229"/>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July 2022</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82,749</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82,749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August 2022</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55"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purchases relate to the share repurchase program and were authorized in April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8720" w:type="dxa"/>
            <w:vAlign w:val="bottom"/>
            <w:gridSpan w:val="7"/>
          </w:tcPr>
          <w:p>
            <w:pPr>
              <w:ind w:left="8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32"/>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480" w:type="dxa"/>
            <w:vAlign w:val="bottom"/>
          </w:tcPr>
          <w:p>
            <w:pPr>
              <w:spacing w:after="0"/>
              <w:rPr>
                <w:sz w:val="24"/>
                <w:szCs w:val="24"/>
                <w:color w:val="auto"/>
              </w:rPr>
            </w:pPr>
          </w:p>
        </w:tc>
        <w:tc>
          <w:tcPr>
            <w:tcW w:w="66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Securities Exchange Act Rule 13a-14(a)</w:t>
            </w:r>
          </w:p>
        </w:tc>
        <w:tc>
          <w:tcPr>
            <w:tcW w:w="1560" w:type="dxa"/>
            <w:vAlign w:val="bottom"/>
            <w:gridSpan w:val="3"/>
          </w:tcPr>
          <w:p>
            <w:pPr>
              <w:spacing w:after="0"/>
              <w:rPr>
                <w:sz w:val="24"/>
                <w:szCs w:val="24"/>
                <w:color w:val="auto"/>
              </w:rPr>
            </w:pPr>
          </w:p>
        </w:tc>
      </w:tr>
      <w:tr>
        <w:trPr>
          <w:trHeight w:val="426"/>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480" w:type="dxa"/>
            <w:vAlign w:val="bottom"/>
          </w:tcPr>
          <w:p>
            <w:pPr>
              <w:spacing w:after="0"/>
              <w:rPr>
                <w:sz w:val="24"/>
                <w:szCs w:val="24"/>
                <w:color w:val="auto"/>
              </w:rPr>
            </w:pPr>
          </w:p>
        </w:tc>
        <w:tc>
          <w:tcPr>
            <w:tcW w:w="82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Securities Exchange Act Rule 13a-14(a)</w:t>
            </w:r>
          </w:p>
        </w:tc>
      </w:tr>
      <w:tr>
        <w:trPr>
          <w:trHeight w:val="20"/>
        </w:trPr>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4100" w:type="dxa"/>
            <w:vAlign w:val="bottom"/>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480" w:type="dxa"/>
            <w:vAlign w:val="bottom"/>
          </w:tcPr>
          <w:p>
            <w:pPr>
              <w:spacing w:after="0"/>
              <w:rPr>
                <w:sz w:val="24"/>
                <w:szCs w:val="24"/>
                <w:color w:val="auto"/>
              </w:rPr>
            </w:pPr>
          </w:p>
        </w:tc>
        <w:tc>
          <w:tcPr>
            <w:tcW w:w="82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906</w:t>
            </w:r>
          </w:p>
        </w:tc>
      </w:tr>
      <w:tr>
        <w:trPr>
          <w:trHeight w:val="155"/>
        </w:trPr>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52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9"/>
              </w:rPr>
              <w:t>of the Sarbanes-Oxley Act of 2002</w:t>
            </w:r>
          </w:p>
        </w:tc>
        <w:tc>
          <w:tcPr>
            <w:tcW w:w="5620" w:type="dxa"/>
            <w:vAlign w:val="bottom"/>
            <w:tcBorders>
              <w:top w:val="single" w:sz="8" w:color="0000FF"/>
            </w:tcBorders>
            <w:gridSpan w:val="4"/>
          </w:tcPr>
          <w:p>
            <w:pPr>
              <w:spacing w:after="0"/>
              <w:rPr>
                <w:sz w:val="13"/>
                <w:szCs w:val="13"/>
                <w:color w:val="auto"/>
              </w:rPr>
            </w:pPr>
          </w:p>
        </w:tc>
        <w:tc>
          <w:tcPr>
            <w:tcW w:w="100" w:type="dxa"/>
            <w:vAlign w:val="bottom"/>
          </w:tcPr>
          <w:p>
            <w:pPr>
              <w:spacing w:after="0"/>
              <w:rPr>
                <w:sz w:val="13"/>
                <w:szCs w:val="13"/>
                <w:color w:val="auto"/>
              </w:rPr>
            </w:pPr>
          </w:p>
        </w:tc>
      </w:tr>
      <w:tr>
        <w:trPr>
          <w:trHeight w:val="439"/>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480" w:type="dxa"/>
            <w:vAlign w:val="bottom"/>
          </w:tcPr>
          <w:p>
            <w:pPr>
              <w:spacing w:after="0"/>
              <w:rPr>
                <w:sz w:val="24"/>
                <w:szCs w:val="24"/>
                <w:color w:val="auto"/>
              </w:rPr>
            </w:pPr>
          </w:p>
        </w:tc>
        <w:tc>
          <w:tcPr>
            <w:tcW w:w="82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w:t>
            </w:r>
          </w:p>
        </w:tc>
      </w:tr>
      <w:tr>
        <w:trPr>
          <w:trHeight w:val="156"/>
        </w:trPr>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52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9"/>
              </w:rPr>
              <w:t>of the Sarbanes-Oxley Act of 2002</w:t>
            </w:r>
          </w:p>
        </w:tc>
        <w:tc>
          <w:tcPr>
            <w:tcW w:w="5580" w:type="dxa"/>
            <w:vAlign w:val="bottom"/>
            <w:tcBorders>
              <w:top w:val="single" w:sz="8" w:color="0000FF"/>
            </w:tcBorders>
            <w:gridSpan w:val="3"/>
          </w:tcPr>
          <w:p>
            <w:pPr>
              <w:spacing w:after="0"/>
              <w:rPr>
                <w:sz w:val="13"/>
                <w:szCs w:val="13"/>
                <w:color w:val="auto"/>
              </w:rPr>
            </w:pPr>
          </w:p>
        </w:tc>
        <w:tc>
          <w:tcPr>
            <w:tcW w:w="140" w:type="dxa"/>
            <w:vAlign w:val="bottom"/>
            <w:gridSpan w:val="2"/>
          </w:tcPr>
          <w:p>
            <w:pPr>
              <w:spacing w:after="0"/>
              <w:rPr>
                <w:sz w:val="13"/>
                <w:szCs w:val="13"/>
                <w:color w:val="auto"/>
              </w:rPr>
            </w:pPr>
          </w:p>
        </w:tc>
      </w:tr>
      <w:tr>
        <w:trPr>
          <w:trHeight w:val="425"/>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480" w:type="dxa"/>
            <w:vAlign w:val="bottom"/>
          </w:tcPr>
          <w:p>
            <w:pPr>
              <w:spacing w:after="0"/>
              <w:rPr>
                <w:sz w:val="24"/>
                <w:szCs w:val="24"/>
                <w:color w:val="auto"/>
              </w:rPr>
            </w:pPr>
          </w:p>
        </w:tc>
        <w:tc>
          <w:tcPr>
            <w:tcW w:w="82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financial information from Westwood Holdings Group, Inc.'s Quarterly Report on Form 10-Q for</w:t>
            </w:r>
          </w:p>
        </w:tc>
      </w:tr>
      <w:tr>
        <w:trPr>
          <w:trHeight w:val="184"/>
        </w:trPr>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240" w:type="dxa"/>
            <w:vAlign w:val="bottom"/>
            <w:gridSpan w:val="6"/>
          </w:tcPr>
          <w:p>
            <w:pPr>
              <w:spacing w:after="0" w:line="184" w:lineRule="exact"/>
              <w:rPr>
                <w:sz w:val="20"/>
                <w:szCs w:val="20"/>
                <w:color w:val="auto"/>
              </w:rPr>
            </w:pPr>
            <w:r>
              <w:rPr>
                <w:rFonts w:ascii="Times New Roman" w:cs="Times New Roman" w:eastAsia="Times New Roman" w:hAnsi="Times New Roman"/>
                <w:sz w:val="18"/>
                <w:szCs w:val="18"/>
                <w:color w:val="auto"/>
              </w:rPr>
              <w:t>the period ended September 30, 2022, formatted in Inline eXtensible Business Reporting Language (iXBRL): (i)</w:t>
            </w:r>
          </w:p>
        </w:tc>
      </w:tr>
      <w:tr>
        <w:trPr>
          <w:trHeight w:val="180"/>
        </w:trPr>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40" w:type="dxa"/>
            <w:vAlign w:val="bottom"/>
            <w:gridSpan w:val="6"/>
          </w:tcPr>
          <w:p>
            <w:pPr>
              <w:spacing w:after="0" w:line="181" w:lineRule="exact"/>
              <w:rPr>
                <w:sz w:val="20"/>
                <w:szCs w:val="20"/>
                <w:color w:val="auto"/>
              </w:rPr>
            </w:pPr>
            <w:r>
              <w:rPr>
                <w:rFonts w:ascii="Times New Roman" w:cs="Times New Roman" w:eastAsia="Times New Roman" w:hAnsi="Times New Roman"/>
                <w:sz w:val="18"/>
                <w:szCs w:val="18"/>
                <w:color w:val="auto"/>
              </w:rPr>
              <w:t>Condensed Consolidated Balance Sheets as of September 30, 2022 and December 31, 2021; (ii) Condensed</w:t>
            </w:r>
          </w:p>
        </w:tc>
      </w:tr>
      <w:tr>
        <w:trPr>
          <w:trHeight w:val="175"/>
        </w:trPr>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4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Consolidated Statements of Comprehensive Income (Loss) for the three and nine months ended September 30,</w:t>
            </w:r>
          </w:p>
        </w:tc>
      </w:tr>
      <w:tr>
        <w:trPr>
          <w:trHeight w:val="184"/>
        </w:trPr>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240" w:type="dxa"/>
            <w:vAlign w:val="bottom"/>
            <w:gridSpan w:val="6"/>
          </w:tcPr>
          <w:p>
            <w:pPr>
              <w:spacing w:after="0" w:line="184" w:lineRule="exact"/>
              <w:rPr>
                <w:sz w:val="20"/>
                <w:szCs w:val="20"/>
                <w:color w:val="auto"/>
              </w:rPr>
            </w:pPr>
            <w:r>
              <w:rPr>
                <w:rFonts w:ascii="Times New Roman" w:cs="Times New Roman" w:eastAsia="Times New Roman" w:hAnsi="Times New Roman"/>
                <w:sz w:val="18"/>
                <w:szCs w:val="18"/>
                <w:color w:val="auto"/>
              </w:rPr>
              <w:t>2022 and 2021; (iii) Condensed Consolidated Statements of Stockholders' Equity; (iv) Condensed Consolidated</w:t>
            </w:r>
          </w:p>
        </w:tc>
      </w:tr>
      <w:tr>
        <w:trPr>
          <w:trHeight w:val="180"/>
        </w:trPr>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40" w:type="dxa"/>
            <w:vAlign w:val="bottom"/>
            <w:gridSpan w:val="6"/>
          </w:tcPr>
          <w:p>
            <w:pPr>
              <w:spacing w:after="0" w:line="181" w:lineRule="exact"/>
              <w:rPr>
                <w:sz w:val="20"/>
                <w:szCs w:val="20"/>
                <w:color w:val="auto"/>
              </w:rPr>
            </w:pPr>
            <w:r>
              <w:rPr>
                <w:rFonts w:ascii="Times New Roman" w:cs="Times New Roman" w:eastAsia="Times New Roman" w:hAnsi="Times New Roman"/>
                <w:sz w:val="18"/>
                <w:szCs w:val="18"/>
                <w:color w:val="auto"/>
                <w:w w:val="99"/>
              </w:rPr>
              <w:t>Statements of Cash Flows for the three and nine months ended September 30, 2022 and 2021; and (v) Notes to the</w:t>
            </w:r>
          </w:p>
        </w:tc>
      </w:tr>
      <w:tr>
        <w:trPr>
          <w:trHeight w:val="234"/>
        </w:trPr>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Condensed Consolidated Financial Statements.</w:t>
            </w:r>
          </w:p>
        </w:tc>
      </w:tr>
      <w:tr>
        <w:trPr>
          <w:trHeight w:val="441"/>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480" w:type="dxa"/>
            <w:vAlign w:val="bottom"/>
          </w:tcPr>
          <w:p>
            <w:pPr>
              <w:spacing w:after="0"/>
              <w:rPr>
                <w:sz w:val="24"/>
                <w:szCs w:val="24"/>
                <w:color w:val="auto"/>
              </w:rPr>
            </w:pPr>
          </w:p>
        </w:tc>
        <w:tc>
          <w:tcPr>
            <w:tcW w:w="82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iXBRL and contained in Exhibit 101)</w:t>
            </w:r>
          </w:p>
        </w:tc>
      </w:tr>
    </w:tbl>
    <w:p>
      <w:pPr>
        <w:spacing w:after="0" w:line="292"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2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89" w:right="1440" w:bottom="1440" w:gutter="0" w:footer="0" w:header="0"/>
        </w:sectPr>
      </w:pPr>
    </w:p>
    <w:bookmarkStart w:id="27" w:name="page28"/>
    <w:bookmarkEnd w:id="27"/>
    <w:p>
      <w:pPr>
        <w:jc w:val="center"/>
        <w:ind w:right="-47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5"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Dated:   October 26, 2022</w:t>
            </w:r>
          </w:p>
        </w:tc>
        <w:tc>
          <w:tcPr>
            <w:tcW w:w="594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WESTWOOD HOLDINGS GROUP, INC.</w:t>
            </w:r>
          </w:p>
        </w:tc>
      </w:tr>
      <w:tr>
        <w:trPr>
          <w:trHeight w:val="486"/>
        </w:trPr>
        <w:tc>
          <w:tcPr>
            <w:tcW w:w="3460" w:type="dxa"/>
            <w:vAlign w:val="bottom"/>
          </w:tcPr>
          <w:p>
            <w:pPr>
              <w:spacing w:after="0"/>
              <w:rPr>
                <w:sz w:val="24"/>
                <w:szCs w:val="24"/>
                <w:color w:val="auto"/>
              </w:rPr>
            </w:pPr>
          </w:p>
        </w:tc>
        <w:tc>
          <w:tcPr>
            <w:tcW w:w="212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Brian O. Casey</w:t>
            </w:r>
          </w:p>
        </w:tc>
      </w:tr>
      <w:tr>
        <w:trPr>
          <w:trHeight w:val="218"/>
        </w:trPr>
        <w:tc>
          <w:tcPr>
            <w:tcW w:w="34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Brian O. Casey</w:t>
            </w:r>
          </w:p>
        </w:tc>
      </w:tr>
      <w:tr>
        <w:trPr>
          <w:trHeight w:val="234"/>
        </w:trPr>
        <w:tc>
          <w:tcPr>
            <w:tcW w:w="34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45"/>
        </w:trPr>
        <w:tc>
          <w:tcPr>
            <w:tcW w:w="3460" w:type="dxa"/>
            <w:vAlign w:val="bottom"/>
          </w:tcPr>
          <w:p>
            <w:pPr>
              <w:spacing w:after="0"/>
              <w:rPr>
                <w:sz w:val="24"/>
                <w:szCs w:val="24"/>
                <w:color w:val="auto"/>
              </w:rPr>
            </w:pPr>
          </w:p>
        </w:tc>
        <w:tc>
          <w:tcPr>
            <w:tcW w:w="212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Murray Forbes III</w:t>
            </w:r>
          </w:p>
        </w:tc>
      </w:tr>
      <w:tr>
        <w:trPr>
          <w:trHeight w:val="218"/>
        </w:trPr>
        <w:tc>
          <w:tcPr>
            <w:tcW w:w="34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Murray Forbes III</w:t>
            </w:r>
          </w:p>
        </w:tc>
      </w:tr>
      <w:tr>
        <w:trPr>
          <w:trHeight w:val="234"/>
        </w:trPr>
        <w:tc>
          <w:tcPr>
            <w:tcW w:w="34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760"/>
          </w:cols>
          <w:pgMar w:left="320" w:top="1093" w:right="819" w:bottom="1440" w:gutter="0" w:footer="0" w:header="0"/>
        </w:sectPr>
      </w:pPr>
    </w:p>
    <w:bookmarkStart w:id="28" w:name="page29"/>
    <w:bookmarkEnd w:id="28"/>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5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6"/>
          <w:szCs w:val="16"/>
          <w:b w:val="1"/>
          <w:bCs w:val="1"/>
          <w:color w:val="auto"/>
        </w:rPr>
        <w:t>CERTIFICATION OF CHIEF EXECUTIVE OFFICER</w:t>
      </w:r>
    </w:p>
    <w:p>
      <w:pPr>
        <w:spacing w:after="0" w:line="7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6"/>
          <w:szCs w:val="16"/>
          <w:b w:val="1"/>
          <w:bCs w:val="1"/>
          <w:color w:val="auto"/>
        </w:rPr>
        <w:t>PURSUANT TO</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EXCHANGE ACT RULES 13a-14(a)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Brian O. Casey, certify that:</w:t>
      </w:r>
    </w:p>
    <w:p>
      <w:pPr>
        <w:spacing w:after="0" w:line="200" w:lineRule="exact"/>
        <w:rPr>
          <w:sz w:val="20"/>
          <w:szCs w:val="20"/>
          <w:color w:val="auto"/>
        </w:rPr>
      </w:pPr>
    </w:p>
    <w:p>
      <w:pPr>
        <w:spacing w:after="0" w:line="264"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report on Form 10-Q of Westwood Holdings Group, Inc.;</w:t>
      </w:r>
    </w:p>
    <w:p>
      <w:pPr>
        <w:spacing w:after="0" w:line="113" w:lineRule="exact"/>
        <w:rPr>
          <w:rFonts w:ascii="Times New Roman" w:cs="Times New Roman" w:eastAsia="Times New Roman" w:hAnsi="Times New Roman"/>
          <w:sz w:val="16"/>
          <w:szCs w:val="16"/>
          <w:color w:val="auto"/>
        </w:rPr>
      </w:pPr>
    </w:p>
    <w:p>
      <w:pPr>
        <w:ind w:left="660" w:hanging="328"/>
        <w:spacing w:after="0" w:line="298" w:lineRule="auto"/>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Times New Roman" w:cs="Times New Roman" w:eastAsia="Times New Roman" w:hAnsi="Times New Roman"/>
          <w:sz w:val="16"/>
          <w:szCs w:val="16"/>
          <w:color w:val="auto"/>
        </w:rPr>
      </w:pPr>
    </w:p>
    <w:p>
      <w:pPr>
        <w:ind w:left="660" w:right="520" w:hanging="328"/>
        <w:spacing w:after="0" w:line="298" w:lineRule="auto"/>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Times New Roman" w:cs="Times New Roman" w:eastAsia="Times New Roman" w:hAnsi="Times New Roman"/>
          <w:sz w:val="16"/>
          <w:szCs w:val="16"/>
          <w:color w:val="auto"/>
        </w:rPr>
      </w:pPr>
    </w:p>
    <w:p>
      <w:pPr>
        <w:ind w:left="660" w:right="200" w:hanging="328"/>
        <w:spacing w:after="0" w:line="272" w:lineRule="auto"/>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Times New Roman" w:cs="Times New Roman" w:eastAsia="Times New Roman" w:hAnsi="Times New Roman"/>
          <w:sz w:val="16"/>
          <w:szCs w:val="16"/>
          <w:color w:val="auto"/>
        </w:rPr>
      </w:pPr>
    </w:p>
    <w:p>
      <w:pPr>
        <w:ind w:left="1300" w:right="300" w:hanging="320"/>
        <w:spacing w:after="0" w:line="272" w:lineRule="auto"/>
        <w:tabs>
          <w:tab w:leader="none" w:pos="1291"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Times New Roman" w:cs="Times New Roman" w:eastAsia="Times New Roman" w:hAnsi="Times New Roman"/>
          <w:sz w:val="16"/>
          <w:szCs w:val="16"/>
          <w:color w:val="auto"/>
        </w:rPr>
      </w:pPr>
    </w:p>
    <w:p>
      <w:pPr>
        <w:ind w:left="1300" w:right="100" w:hanging="320"/>
        <w:spacing w:after="0" w:line="272" w:lineRule="auto"/>
        <w:tabs>
          <w:tab w:leader="none" w:pos="1300"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6"/>
          <w:szCs w:val="16"/>
          <w:color w:val="auto"/>
        </w:rPr>
      </w:pPr>
    </w:p>
    <w:p>
      <w:pPr>
        <w:ind w:left="1300" w:right="160" w:hanging="320"/>
        <w:spacing w:after="0" w:line="298" w:lineRule="auto"/>
        <w:tabs>
          <w:tab w:leader="none" w:pos="1291"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Times New Roman" w:cs="Times New Roman" w:eastAsia="Times New Roman" w:hAnsi="Times New Roman"/>
          <w:sz w:val="16"/>
          <w:szCs w:val="16"/>
          <w:color w:val="auto"/>
        </w:rPr>
      </w:pPr>
    </w:p>
    <w:p>
      <w:pPr>
        <w:ind w:left="1300" w:right="180" w:hanging="320"/>
        <w:spacing w:after="0" w:line="272" w:lineRule="auto"/>
        <w:tabs>
          <w:tab w:leader="none" w:pos="1300"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Times New Roman" w:cs="Times New Roman" w:eastAsia="Times New Roman" w:hAnsi="Times New Roman"/>
          <w:sz w:val="16"/>
          <w:szCs w:val="16"/>
          <w:color w:val="auto"/>
        </w:rPr>
      </w:pPr>
    </w:p>
    <w:p>
      <w:pPr>
        <w:ind w:left="660" w:right="120" w:hanging="328"/>
        <w:spacing w:after="0" w:line="298" w:lineRule="auto"/>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Times New Roman" w:cs="Times New Roman" w:eastAsia="Times New Roman" w:hAnsi="Times New Roman"/>
          <w:sz w:val="16"/>
          <w:szCs w:val="16"/>
          <w:color w:val="auto"/>
        </w:rPr>
      </w:pPr>
    </w:p>
    <w:p>
      <w:pPr>
        <w:ind w:left="1300" w:right="140" w:hanging="320"/>
        <w:spacing w:after="0" w:line="298" w:lineRule="auto"/>
        <w:tabs>
          <w:tab w:leader="none" w:pos="1241"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2" w:lineRule="exact"/>
        <w:rPr>
          <w:rFonts w:ascii="Times New Roman" w:cs="Times New Roman" w:eastAsia="Times New Roman" w:hAnsi="Times New Roman"/>
          <w:sz w:val="16"/>
          <w:szCs w:val="16"/>
          <w:color w:val="auto"/>
        </w:rPr>
      </w:pPr>
    </w:p>
    <w:p>
      <w:pPr>
        <w:ind w:left="1300" w:right="340" w:hanging="320"/>
        <w:spacing w:after="0" w:line="280" w:lineRule="auto"/>
        <w:tabs>
          <w:tab w:leader="none" w:pos="1251"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Dated: October 26, 2022</w:t>
      </w: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30429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Brian O. Casey</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Chief Executive Officer</w:t>
      </w:r>
    </w:p>
    <w:p>
      <w:pPr>
        <w:sectPr>
          <w:pgSz w:w="11900" w:h="16838" w:orient="portrait"/>
          <w:cols w:equalWidth="0" w:num="1">
            <w:col w:w="11240"/>
          </w:cols>
          <w:pgMar w:left="320" w:top="1440" w:right="339" w:bottom="1440" w:gutter="0" w:footer="0" w:header="0"/>
        </w:sectPr>
      </w:pPr>
    </w:p>
    <w:bookmarkStart w:id="29" w:name="page30"/>
    <w:bookmarkEnd w:id="29"/>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5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6"/>
          <w:szCs w:val="16"/>
          <w:b w:val="1"/>
          <w:bCs w:val="1"/>
          <w:color w:val="auto"/>
        </w:rPr>
        <w:t>CERTIFICATION OF CHIEF FINANCIAL OFFICER</w:t>
      </w:r>
    </w:p>
    <w:p>
      <w:pPr>
        <w:spacing w:after="0" w:line="7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6"/>
          <w:szCs w:val="16"/>
          <w:b w:val="1"/>
          <w:bCs w:val="1"/>
          <w:color w:val="auto"/>
        </w:rPr>
        <w:t>PURSUANT TO</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EXCHANGE ACT RULES 13a-14(a)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Murray Forbes III, certify that:</w:t>
      </w:r>
    </w:p>
    <w:p>
      <w:pPr>
        <w:spacing w:after="0" w:line="200" w:lineRule="exact"/>
        <w:rPr>
          <w:sz w:val="20"/>
          <w:szCs w:val="20"/>
          <w:color w:val="auto"/>
        </w:rPr>
      </w:pPr>
    </w:p>
    <w:p>
      <w:pPr>
        <w:spacing w:after="0" w:line="264"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report on Form 10-Q of Westwood Holdings Group, Inc.;</w:t>
      </w:r>
    </w:p>
    <w:p>
      <w:pPr>
        <w:spacing w:after="0" w:line="113" w:lineRule="exact"/>
        <w:rPr>
          <w:rFonts w:ascii="Times New Roman" w:cs="Times New Roman" w:eastAsia="Times New Roman" w:hAnsi="Times New Roman"/>
          <w:sz w:val="16"/>
          <w:szCs w:val="16"/>
          <w:color w:val="auto"/>
        </w:rPr>
      </w:pPr>
    </w:p>
    <w:p>
      <w:pPr>
        <w:ind w:left="660" w:hanging="328"/>
        <w:spacing w:after="0" w:line="298" w:lineRule="auto"/>
        <w:tabs>
          <w:tab w:leader="none" w:pos="6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Times New Roman" w:cs="Times New Roman" w:eastAsia="Times New Roman" w:hAnsi="Times New Roman"/>
          <w:sz w:val="16"/>
          <w:szCs w:val="16"/>
          <w:color w:val="auto"/>
        </w:rPr>
      </w:pPr>
    </w:p>
    <w:p>
      <w:pPr>
        <w:ind w:left="660" w:right="520" w:hanging="328"/>
        <w:spacing w:after="0" w:line="298" w:lineRule="auto"/>
        <w:tabs>
          <w:tab w:leader="none" w:pos="6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Times New Roman" w:cs="Times New Roman" w:eastAsia="Times New Roman" w:hAnsi="Times New Roman"/>
          <w:sz w:val="16"/>
          <w:szCs w:val="16"/>
          <w:color w:val="auto"/>
        </w:rPr>
      </w:pPr>
    </w:p>
    <w:p>
      <w:pPr>
        <w:ind w:left="660" w:right="200" w:hanging="328"/>
        <w:spacing w:after="0" w:line="272" w:lineRule="auto"/>
        <w:tabs>
          <w:tab w:leader="none" w:pos="6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Times New Roman" w:cs="Times New Roman" w:eastAsia="Times New Roman" w:hAnsi="Times New Roman"/>
          <w:sz w:val="16"/>
          <w:szCs w:val="16"/>
          <w:color w:val="auto"/>
        </w:rPr>
      </w:pPr>
    </w:p>
    <w:p>
      <w:pPr>
        <w:ind w:left="1300" w:right="300" w:hanging="320"/>
        <w:spacing w:after="0" w:line="272" w:lineRule="auto"/>
        <w:tabs>
          <w:tab w:leader="none" w:pos="1291"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Times New Roman" w:cs="Times New Roman" w:eastAsia="Times New Roman" w:hAnsi="Times New Roman"/>
          <w:sz w:val="16"/>
          <w:szCs w:val="16"/>
          <w:color w:val="auto"/>
        </w:rPr>
      </w:pPr>
    </w:p>
    <w:p>
      <w:pPr>
        <w:ind w:left="1300" w:right="100" w:hanging="320"/>
        <w:spacing w:after="0" w:line="272" w:lineRule="auto"/>
        <w:tabs>
          <w:tab w:leader="none" w:pos="1300"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6"/>
          <w:szCs w:val="16"/>
          <w:color w:val="auto"/>
        </w:rPr>
      </w:pPr>
    </w:p>
    <w:p>
      <w:pPr>
        <w:ind w:left="1300" w:right="160" w:hanging="320"/>
        <w:spacing w:after="0" w:line="298" w:lineRule="auto"/>
        <w:tabs>
          <w:tab w:leader="none" w:pos="1291"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Times New Roman" w:cs="Times New Roman" w:eastAsia="Times New Roman" w:hAnsi="Times New Roman"/>
          <w:sz w:val="16"/>
          <w:szCs w:val="16"/>
          <w:color w:val="auto"/>
        </w:rPr>
      </w:pPr>
    </w:p>
    <w:p>
      <w:pPr>
        <w:ind w:left="1300" w:right="180" w:hanging="320"/>
        <w:spacing w:after="0" w:line="272" w:lineRule="auto"/>
        <w:tabs>
          <w:tab w:leader="none" w:pos="1300"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Times New Roman" w:cs="Times New Roman" w:eastAsia="Times New Roman" w:hAnsi="Times New Roman"/>
          <w:sz w:val="16"/>
          <w:szCs w:val="16"/>
          <w:color w:val="auto"/>
        </w:rPr>
      </w:pPr>
    </w:p>
    <w:p>
      <w:pPr>
        <w:ind w:left="660" w:right="180" w:hanging="328"/>
        <w:spacing w:after="0" w:line="298" w:lineRule="auto"/>
        <w:tabs>
          <w:tab w:leader="none" w:pos="617"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Times New Roman" w:cs="Times New Roman" w:eastAsia="Times New Roman" w:hAnsi="Times New Roman"/>
          <w:sz w:val="16"/>
          <w:szCs w:val="16"/>
          <w:color w:val="auto"/>
        </w:rPr>
      </w:pPr>
    </w:p>
    <w:p>
      <w:pPr>
        <w:ind w:left="1300" w:right="140" w:hanging="320"/>
        <w:spacing w:after="0" w:line="298" w:lineRule="auto"/>
        <w:tabs>
          <w:tab w:leader="none" w:pos="1241"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2" w:lineRule="exact"/>
        <w:rPr>
          <w:rFonts w:ascii="Times New Roman" w:cs="Times New Roman" w:eastAsia="Times New Roman" w:hAnsi="Times New Roman"/>
          <w:sz w:val="16"/>
          <w:szCs w:val="16"/>
          <w:color w:val="auto"/>
        </w:rPr>
      </w:pPr>
    </w:p>
    <w:p>
      <w:pPr>
        <w:ind w:left="1300" w:right="340" w:hanging="320"/>
        <w:spacing w:after="0" w:line="280" w:lineRule="auto"/>
        <w:tabs>
          <w:tab w:leader="none" w:pos="1251"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Dated: October 26, 2022</w:t>
      </w: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Murray Forbes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30429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Murray Forbes III</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Chief Financial Officer and Treasurer</w:t>
      </w:r>
    </w:p>
    <w:p>
      <w:pPr>
        <w:sectPr>
          <w:pgSz w:w="11900" w:h="16838" w:orient="portrait"/>
          <w:cols w:equalWidth="0" w:num="1">
            <w:col w:w="11240"/>
          </w:cols>
          <w:pgMar w:left="320" w:top="1440"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2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213" w:lineRule="exact"/>
        <w:rPr>
          <w:sz w:val="20"/>
          <w:szCs w:val="20"/>
          <w:color w:val="auto"/>
        </w:rPr>
      </w:pPr>
    </w:p>
    <w:p>
      <w:pPr>
        <w:jc w:val="both"/>
        <w:ind w:right="380"/>
        <w:spacing w:after="0" w:line="272" w:lineRule="auto"/>
        <w:rPr>
          <w:sz w:val="20"/>
          <w:szCs w:val="20"/>
          <w:color w:val="auto"/>
        </w:rPr>
      </w:pPr>
      <w:r>
        <w:rPr>
          <w:rFonts w:ascii="Times New Roman" w:cs="Times New Roman" w:eastAsia="Times New Roman" w:hAnsi="Times New Roman"/>
          <w:sz w:val="16"/>
          <w:szCs w:val="16"/>
          <w:color w:val="auto"/>
        </w:rPr>
        <w:t>In connection with the Quarterly Report of Westwood Holdings Group, Inc. (the “Company”) on Form 10-Q for the period ended September 30, 2022 as filed with the Securities and Exchange Commission on the date hereof (the “Report”), I, Brian O. Casey, President &amp; Chief Executive Officer of the Company, certify, pursuant to 18 U.S.C. § 1350, as adopted pursuant to § 906 of the Sarbanes-Oxley Act of 2002, that, to the best of my knowledge:</w:t>
      </w:r>
    </w:p>
    <w:p>
      <w:pPr>
        <w:spacing w:after="0" w:line="63" w:lineRule="exact"/>
        <w:rPr>
          <w:sz w:val="20"/>
          <w:szCs w:val="20"/>
          <w:color w:val="auto"/>
        </w:rPr>
      </w:pPr>
    </w:p>
    <w:p>
      <w:pPr>
        <w:ind w:left="720" w:hanging="226"/>
        <w:spacing w:after="0"/>
        <w:tabs>
          <w:tab w:leader="none" w:pos="7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(15 U.S.C.78m or 78o(d)); and</w:t>
      </w:r>
    </w:p>
    <w:p>
      <w:pPr>
        <w:spacing w:after="0" w:line="126" w:lineRule="exact"/>
        <w:rPr>
          <w:rFonts w:ascii="Times New Roman" w:cs="Times New Roman" w:eastAsia="Times New Roman" w:hAnsi="Times New Roman"/>
          <w:sz w:val="16"/>
          <w:szCs w:val="16"/>
          <w:color w:val="auto"/>
        </w:rPr>
      </w:pPr>
    </w:p>
    <w:p>
      <w:pPr>
        <w:ind w:left="60" w:right="1120" w:firstLine="434"/>
        <w:spacing w:after="0" w:line="333" w:lineRule="auto"/>
        <w:tabs>
          <w:tab w:leader="none" w:pos="717"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 Dated: October 26, 2022</w:t>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20320</wp:posOffset>
            </wp:positionV>
            <wp:extent cx="30429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Brian O. Casey</w:t>
      </w:r>
    </w:p>
    <w:p>
      <w:pPr>
        <w:spacing w:after="0" w:line="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329" w:lineRule="exact"/>
        <w:rPr>
          <w:sz w:val="20"/>
          <w:szCs w:val="20"/>
          <w:color w:val="auto"/>
        </w:rPr>
      </w:pPr>
    </w:p>
    <w:p>
      <w:pPr>
        <w:ind w:right="20" w:firstLine="486"/>
        <w:spacing w:after="0" w:line="272" w:lineRule="auto"/>
        <w:rPr>
          <w:sz w:val="20"/>
          <w:szCs w:val="20"/>
          <w:color w:val="auto"/>
        </w:rPr>
      </w:pPr>
      <w:r>
        <w:rPr>
          <w:rFonts w:ascii="Times New Roman" w:cs="Times New Roman" w:eastAsia="Times New Roman" w:hAnsi="Times New Roman"/>
          <w:sz w:val="16"/>
          <w:szCs w:val="16"/>
          <w:color w:val="auto"/>
        </w:rPr>
        <w:t>A signed original of this written statement required by Section 906 has been provided to Westwood Holdings Group, Inc. and will be retained by Westwood Holdings Group, Inc. and furnished to the Securities and Exchange Commission or its staff upon request. The foregoing certification is being furnished solely pursuant to 18 U.S.C. Section 1350 and is not being filed as part of the Report or as a separate disclosure document.</w:t>
      </w:r>
    </w:p>
    <w:p>
      <w:pPr>
        <w:sectPr>
          <w:pgSz w:w="11900" w:h="16838" w:orient="portrait"/>
          <w:cols w:equalWidth="0" w:num="1">
            <w:col w:w="11240"/>
          </w:cols>
          <w:pgMar w:left="320" w:top="1420"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22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213"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6"/>
          <w:szCs w:val="16"/>
          <w:color w:val="auto"/>
        </w:rPr>
        <w:t>In connection with the Quarterly Report of Westwood Holdings Group, Inc. (the “Company”) on Form 10-Q for the period ended September 30, 2022 as filed with the Securities and Exchange Commission on the date hereof (the “Report”), I, Murray Forbes III, Chief Financial Officer of the Company, certify, pursuant to 18 U.S.C. § 1350, as adopted pursuant to § 906 of the Sarbanes-Oxley Act of 2002, that, to the best of my knowledge:</w:t>
      </w:r>
    </w:p>
    <w:p>
      <w:pPr>
        <w:spacing w:after="0" w:line="63" w:lineRule="exact"/>
        <w:rPr>
          <w:sz w:val="20"/>
          <w:szCs w:val="20"/>
          <w:color w:val="auto"/>
        </w:rPr>
      </w:pPr>
    </w:p>
    <w:p>
      <w:pPr>
        <w:ind w:left="720" w:hanging="226"/>
        <w:spacing w:after="0"/>
        <w:tabs>
          <w:tab w:leader="none" w:pos="7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(15 U.S.C. 78m or 78o(d)); and</w:t>
      </w:r>
    </w:p>
    <w:p>
      <w:pPr>
        <w:spacing w:after="0" w:line="126" w:lineRule="exact"/>
        <w:rPr>
          <w:rFonts w:ascii="Times New Roman" w:cs="Times New Roman" w:eastAsia="Times New Roman" w:hAnsi="Times New Roman"/>
          <w:sz w:val="16"/>
          <w:szCs w:val="16"/>
          <w:color w:val="auto"/>
        </w:rPr>
      </w:pPr>
    </w:p>
    <w:p>
      <w:pPr>
        <w:ind w:left="60" w:right="1120" w:firstLine="434"/>
        <w:spacing w:after="0" w:line="333" w:lineRule="auto"/>
        <w:tabs>
          <w:tab w:leader="none" w:pos="717"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 Dated: October 26, 2022</w:t>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/s/ Murray Forbes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20320</wp:posOffset>
            </wp:positionV>
            <wp:extent cx="30429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Murray Forbes III</w:t>
      </w:r>
    </w:p>
    <w:p>
      <w:pPr>
        <w:spacing w:after="0" w:line="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Chief Financial Officer and Treasurer</w:t>
      </w:r>
    </w:p>
    <w:p>
      <w:pPr>
        <w:spacing w:after="0" w:line="329" w:lineRule="exact"/>
        <w:rPr>
          <w:sz w:val="20"/>
          <w:szCs w:val="20"/>
          <w:color w:val="auto"/>
        </w:rPr>
      </w:pPr>
    </w:p>
    <w:p>
      <w:pPr>
        <w:ind w:right="20" w:firstLine="486"/>
        <w:spacing w:after="0" w:line="272" w:lineRule="auto"/>
        <w:rPr>
          <w:sz w:val="20"/>
          <w:szCs w:val="20"/>
          <w:color w:val="auto"/>
        </w:rPr>
      </w:pPr>
      <w:r>
        <w:rPr>
          <w:rFonts w:ascii="Times New Roman" w:cs="Times New Roman" w:eastAsia="Times New Roman" w:hAnsi="Times New Roman"/>
          <w:sz w:val="16"/>
          <w:szCs w:val="16"/>
          <w:color w:val="auto"/>
        </w:rPr>
        <w:t>A signed original of this written statement required by Section 906 has been provided to Westwood Holdings Group, Inc. and will be retained by Westwood Holdings Group, Inc. and furnished to the Securities and Exchange Commission or its staff upon request. The foregoing certification is being furnished solely pursuant to 18 U.S.C. Section 1350 and is not being filed as part of the Report or as a separate disclosure document.</w:t>
      </w:r>
    </w:p>
    <w:sectPr>
      <w:pgSz w:w="11900" w:h="16838" w:orient="portrait"/>
      <w:cols w:equalWidth="0" w:num="1">
        <w:col w:w="11240"/>
      </w:cols>
      <w:pgMar w:left="320" w:top="14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2"/>
    </w:lvl>
  </w:abstractNum>
  <w:abstractNum w:abstractNumId="3">
    <w:nsid w:val="12200854"/>
    <w:multiLevelType w:val="hybridMultilevel"/>
    <w:lvl w:ilvl="0">
      <w:lvlJc w:val="left"/>
      <w:lvlText w:val="%1."/>
      <w:numFmt w:val="decimal"/>
      <w:start w:val="3"/>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1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2022-10-26T16:44:31Z</dcterms:created>
  <dcterms:modified xsi:type="dcterms:W3CDTF">2022-10-26T16:44:31Z</dcterms:modified>
</cp:coreProperties>
</file>