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40" w:before="0" w:after="0"/>
        <w:jc w:val="left"/>
        <w:rPr>
          <w:color w:val="000000"/>
        </w:rPr>
      </w:pPr>
      <w:r>
        <w:rPr>
          <w:color w:val="000000"/>
        </w:rPr>
        <w:t> </w:t>
      </w:r>
    </w:p>
    <w:p>
      <w:pPr>
        <w:pStyle w:val="TextBody"/>
        <w:bidi w:val="0"/>
        <w:spacing w:lineRule="auto" w:line="240" w:before="20" w:after="283"/>
        <w:jc w:val="center"/>
        <w:rPr/>
      </w:pPr>
      <w:r>
        <w:rPr>
          <w:color w:val="000000"/>
        </w:rPr>
        <w:t> </w:t>
      </w: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1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tbl>
      <w:tblPr>
        <w:tblW w:w="9447" w:type="dxa"/>
        <w:jc w:val="center"/>
        <w:tblInd w:w="0" w:type="dxa"/>
        <w:tblLayout w:type="fixed"/>
        <w:tblCellMar>
          <w:top w:w="28" w:type="dxa"/>
          <w:left w:w="28" w:type="dxa"/>
          <w:bottom w:w="28" w:type="dxa"/>
          <w:right w:w="28" w:type="dxa"/>
        </w:tblCellMar>
      </w:tblPr>
      <w:tblGrid>
        <w:gridCol w:w="124"/>
        <w:gridCol w:w="109"/>
        <w:gridCol w:w="109"/>
        <w:gridCol w:w="2664"/>
        <w:gridCol w:w="2664"/>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9507" w:type="dxa"/>
        <w:jc w:val="center"/>
        <w:tblInd w:w="0" w:type="dxa"/>
        <w:tblLayout w:type="fixed"/>
        <w:tblCellMar>
          <w:top w:w="28" w:type="dxa"/>
          <w:left w:w="28" w:type="dxa"/>
          <w:bottom w:w="28" w:type="dxa"/>
          <w:right w:w="28" w:type="dxa"/>
        </w:tblCellMar>
      </w:tblPr>
      <w:tblGrid>
        <w:gridCol w:w="124"/>
        <w:gridCol w:w="109"/>
        <w:gridCol w:w="109"/>
        <w:gridCol w:w="2683"/>
        <w:gridCol w:w="2683"/>
        <w:gridCol w:w="37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rPr>
        <w:t xml:space="preserve">For the transition period from </w:t>
      </w:r>
      <w:r>
        <w:rPr>
          <w:color w:val="000000"/>
          <w:u w:val="single"/>
        </w:rPr>
        <w:t>            </w:t>
      </w:r>
      <w:r>
        <w:rPr>
          <w:color w:val="000000"/>
        </w:rPr>
        <w:t xml:space="preserve"> </w:t>
      </w:r>
      <w:r>
        <w:rPr>
          <w:rFonts w:ascii="Times New Roman;serif" w:hAnsi="Times New Roman;serif"/>
          <w:b/>
          <w:color w:val="000000"/>
          <w:sz w:val="20"/>
        </w:rPr>
        <w:t xml:space="preserve">to </w:t>
      </w:r>
      <w:r>
        <w:rPr>
          <w:color w:val="000000"/>
          <w:u w:val="single"/>
        </w:rPr>
        <w:t>            </w:t>
      </w:r>
      <w:r>
        <w:rPr>
          <w:rFonts w:ascii="Times New Roman;serif" w:hAnsi="Times New Roman;serif"/>
          <w:b/>
          <w:color w:val="000000"/>
          <w:sz w:val="2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1-31234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160" w:after="283"/>
        <w:jc w:val="center"/>
        <w:rPr/>
      </w:pPr>
      <w:r>
        <w:rPr>
          <w:rFonts w:ascii="Times New Roman;serif" w:hAnsi="Times New Roman;serif"/>
          <w:b/>
          <w:color w:val="000000"/>
          <w:sz w:val="40"/>
        </w:rPr>
        <w:t>WESTWOOD HOLDINGS GROUP, INC.</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tbl>
      <w:tblPr>
        <w:tblW w:w="7149" w:type="dxa"/>
        <w:jc w:val="center"/>
        <w:tblInd w:w="0" w:type="dxa"/>
        <w:tblLayout w:type="fixed"/>
        <w:tblCellMar>
          <w:top w:w="28" w:type="dxa"/>
          <w:left w:w="28" w:type="dxa"/>
          <w:bottom w:w="28" w:type="dxa"/>
          <w:right w:w="28" w:type="dxa"/>
        </w:tblCellMar>
      </w:tblPr>
      <w:tblGrid>
        <w:gridCol w:w="788"/>
        <w:gridCol w:w="692"/>
        <w:gridCol w:w="692"/>
        <w:gridCol w:w="692"/>
        <w:gridCol w:w="692"/>
        <w:gridCol w:w="732"/>
        <w:gridCol w:w="109"/>
        <w:gridCol w:w="109"/>
        <w:gridCol w:w="109"/>
        <w:gridCol w:w="740"/>
        <w:gridCol w:w="740"/>
        <w:gridCol w:w="10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75-2969997</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200 CRESCENT COURT, SUITE 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DALLAS,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75201</w:t>
            </w:r>
          </w:p>
        </w:tc>
      </w:tr>
      <w:tr>
        <w:trP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(214) 756-6900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 xml:space="preserve">(Former name, former address and former fiscal year, if changed since last report) </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633" w:type="dxa"/>
        <w:jc w:val="center"/>
        <w:tblInd w:w="0" w:type="dxa"/>
        <w:tblLayout w:type="fixed"/>
        <w:tblCellMar>
          <w:top w:w="28" w:type="dxa"/>
          <w:left w:w="28" w:type="dxa"/>
          <w:bottom w:w="28" w:type="dxa"/>
          <w:right w:w="28" w:type="dxa"/>
        </w:tblCellMar>
      </w:tblPr>
      <w:tblGrid>
        <w:gridCol w:w="1092"/>
        <w:gridCol w:w="963"/>
        <w:gridCol w:w="975"/>
        <w:gridCol w:w="414"/>
        <w:gridCol w:w="414"/>
        <w:gridCol w:w="416"/>
        <w:gridCol w:w="983"/>
        <w:gridCol w:w="983"/>
        <w:gridCol w:w="1393"/>
      </w:tblGrid>
      <w:tr>
        <w:trPr/>
        <w:tc>
          <w:tcPr>
            <w:tcW w:w="109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Title of Each Class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Trading Symbol</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u w:val="single"/>
              </w:rPr>
            </w:pPr>
            <w:r>
              <w:rPr>
                <w:rFonts w:ascii="Times New Roman;serif" w:hAnsi="Times New Roman;serif"/>
                <w:b w:val="false"/>
                <w:color w:val="000000"/>
                <w:sz w:val="16"/>
                <w:u w:val="single"/>
              </w:rPr>
              <w:t>Name of Each Exchange on Which Registered</w:t>
            </w:r>
          </w:p>
        </w:tc>
      </w:tr>
      <w:tr>
        <w:trPr/>
        <w:tc>
          <w:tcPr>
            <w:tcW w:w="30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WHG</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 </w:t>
      </w:r>
    </w:p>
    <w:tbl>
      <w:tblPr>
        <w:tblW w:w="5370"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109"/>
        <w:gridCol w:w="109"/>
        <w:gridCol w:w="109"/>
        <w:gridCol w:w="673"/>
        <w:gridCol w:w="673"/>
        <w:gridCol w:w="678"/>
        <w:gridCol w:w="109"/>
        <w:gridCol w:w="109"/>
        <w:gridCol w:w="109"/>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w:t>
      </w:r>
      <w:r>
        <w:rPr>
          <w:rFonts w:ascii="Times New Roman;serif" w:hAnsi="Times New Roman;serif"/>
          <w:b w:val="false"/>
          <w:color w:val="000000"/>
          <w:sz w:val="16"/>
        </w:rPr>
        <w:t>No  </w:t>
      </w:r>
      <w:r>
        <w:rPr>
          <w:color w:val="000000"/>
        </w:rPr>
        <w:t xml:space="preserve">☒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Shares of common stock, par value $0.01 per share, outstanding as of July 30, 2026: 9,543,152.</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WESTWOOD HOLDINGS GROUP, INC.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INDEX </w:t>
      </w:r>
    </w:p>
    <w:p>
      <w:pPr>
        <w:pStyle w:val="TextBody"/>
        <w:bidi w:val="0"/>
        <w:spacing w:lineRule="auto" w:line="288" w:before="0" w:after="0"/>
        <w:jc w:val="left"/>
        <w:rPr>
          <w:color w:val="000000"/>
        </w:rPr>
      </w:pPr>
      <w:r>
        <w:rPr>
          <w:color w:val="000000"/>
        </w:rPr>
        <w:t> </w:t>
      </w:r>
    </w:p>
    <w:tbl>
      <w:tblPr>
        <w:tblW w:w="8202" w:type="dxa"/>
        <w:jc w:val="left"/>
        <w:tblInd w:w="0" w:type="dxa"/>
        <w:tblLayout w:type="fixed"/>
        <w:tblCellMar>
          <w:top w:w="28" w:type="dxa"/>
          <w:left w:w="28" w:type="dxa"/>
          <w:bottom w:w="28" w:type="dxa"/>
          <w:right w:w="28" w:type="dxa"/>
        </w:tblCellMar>
      </w:tblPr>
      <w:tblGrid>
        <w:gridCol w:w="272"/>
        <w:gridCol w:w="238"/>
        <w:gridCol w:w="240"/>
        <w:gridCol w:w="109"/>
        <w:gridCol w:w="109"/>
        <w:gridCol w:w="109"/>
        <w:gridCol w:w="2163"/>
        <w:gridCol w:w="2163"/>
        <w:gridCol w:w="2168"/>
        <w:gridCol w:w="184"/>
        <w:gridCol w:w="184"/>
        <w:gridCol w:w="263"/>
      </w:tblGrid>
      <w:tr>
        <w:trPr/>
        <w:tc>
          <w:tcPr>
            <w:tcW w:w="27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PART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INFORMATION</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Financial Statements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261cc43c8f1a41d0a9cbaaa97544ec50_13">
              <w:r>
                <w:rPr>
                  <w:rStyle w:val="InternetLink"/>
                  <w:rFonts w:ascii="Times New Roman;serif" w:hAnsi="Times New Roman;serif"/>
                  <w:b w:val="false"/>
                  <w:color w:val="0000FF"/>
                  <w:sz w:val="18"/>
                  <w:u w:val="single"/>
                </w:rPr>
                <w:t>Condensed Consolidated Balance Sheets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3">
              <w:r>
                <w:rPr>
                  <w:rStyle w:val="InternetLink"/>
                  <w:rFonts w:ascii="Times New Roman;serif" w:hAnsi="Times New Roman;serif"/>
                  <w:b w:val="false"/>
                  <w:strike w:val="false"/>
                  <w:dstrike w:val="false"/>
                  <w:color w:val="0000FF"/>
                  <w:sz w:val="18"/>
                  <w:u w:val="none"/>
                  <w:effect w:val="none"/>
                </w:rPr>
                <w:t>1</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9">
              <w:r>
                <w:rPr>
                  <w:rStyle w:val="InternetLink"/>
                  <w:rFonts w:ascii="Times New Roman;serif" w:hAnsi="Times New Roman;serif"/>
                  <w:b w:val="false"/>
                  <w:color w:val="0000FF"/>
                  <w:sz w:val="18"/>
                  <w:u w:val="single"/>
                </w:rPr>
                <w:t>Condensed Consolidated Statements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9">
              <w:r>
                <w:rPr>
                  <w:rStyle w:val="InternetLink"/>
                  <w:rFonts w:ascii="Times New Roman;serif" w:hAnsi="Times New Roman;serif"/>
                  <w:b w:val="false"/>
                  <w:strike w:val="false"/>
                  <w:dstrike w:val="false"/>
                  <w:color w:val="0000FF"/>
                  <w:sz w:val="18"/>
                  <w:u w:val="none"/>
                  <w:effect w:val="none"/>
                </w:rPr>
                <w:t>2</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22">
              <w:r>
                <w:rPr>
                  <w:rStyle w:val="InternetLink"/>
                  <w:rFonts w:ascii="Times New Roman;serif" w:hAnsi="Times New Roman;serif"/>
                  <w:b w:val="false"/>
                  <w:color w:val="0000FF"/>
                  <w:sz w:val="18"/>
                  <w:u w:val="single"/>
                </w:rPr>
                <w:t>Condensed Consolidated Statements of Stockholders’ Equity</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22">
              <w:r>
                <w:rPr>
                  <w:rStyle w:val="InternetLink"/>
                  <w:rFonts w:ascii="Times New Roman;serif" w:hAnsi="Times New Roman;serif"/>
                  <w:b w:val="false"/>
                  <w:strike w:val="false"/>
                  <w:dstrike w:val="false"/>
                  <w:color w:val="0000FF"/>
                  <w:sz w:val="18"/>
                  <w:u w:val="none"/>
                  <w:effect w:val="none"/>
                </w:rPr>
                <w:t>3</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31">
              <w:r>
                <w:rPr>
                  <w:rStyle w:val="InternetLink"/>
                  <w:rFonts w:ascii="Times New Roman;serif" w:hAnsi="Times New Roman;serif"/>
                  <w:b w:val="false"/>
                  <w:color w:val="0000FF"/>
                  <w:sz w:val="18"/>
                  <w:u w:val="single"/>
                </w:rPr>
                <w:t>Condensed Consolidated Statements of Cash Flows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31">
              <w:r>
                <w:rPr>
                  <w:rStyle w:val="InternetLink"/>
                  <w:rFonts w:ascii="Times New Roman;serif" w:hAnsi="Times New Roman;serif"/>
                  <w:b w:val="false"/>
                  <w:strike w:val="false"/>
                  <w:dstrike w:val="false"/>
                  <w:color w:val="0000FF"/>
                  <w:sz w:val="18"/>
                  <w:u w:val="none"/>
                  <w:effect w:val="none"/>
                </w:rPr>
                <w:t>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34">
              <w:r>
                <w:rPr>
                  <w:rStyle w:val="InternetLink"/>
                  <w:rFonts w:ascii="Times New Roman;serif" w:hAnsi="Times New Roman;serif"/>
                  <w:b w:val="false"/>
                  <w:color w:val="0000FF"/>
                  <w:sz w:val="18"/>
                  <w:u w:val="single"/>
                </w:rPr>
                <w:t>Notes to Condensed Consolidated Financial Statements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34">
              <w:r>
                <w:rPr>
                  <w:rStyle w:val="InternetLink"/>
                  <w:rFonts w:ascii="Times New Roman;serif" w:hAnsi="Times New Roman;serif"/>
                  <w:b w:val="false"/>
                  <w:strike w:val="false"/>
                  <w:dstrike w:val="false"/>
                  <w:color w:val="0000FF"/>
                  <w:sz w:val="18"/>
                  <w:u w:val="none"/>
                  <w:effect w:val="none"/>
                </w:rPr>
                <w:t>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97">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97">
              <w:r>
                <w:rPr>
                  <w:rStyle w:val="InternetLink"/>
                  <w:rFonts w:ascii="Times New Roman;serif" w:hAnsi="Times New Roman;serif"/>
                  <w:b w:val="false"/>
                  <w:strike w:val="false"/>
                  <w:dstrike w:val="false"/>
                  <w:color w:val="0000FF"/>
                  <w:sz w:val="18"/>
                  <w:u w:val="none"/>
                  <w:effect w:val="none"/>
                </w:rPr>
                <w:t>16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42">
              <w:r>
                <w:rPr>
                  <w:rStyle w:val="InternetLink"/>
                  <w:rFonts w:ascii="Times New Roman;serif" w:hAnsi="Times New Roman;serif"/>
                  <w:b w:val="false"/>
                  <w:color w:val="0000FF"/>
                  <w:sz w:val="18"/>
                  <w:u w:val="single"/>
                </w:rPr>
                <w:t>Quantitative and Qualitative Disclosures About Market Risk</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42">
              <w:r>
                <w:rPr>
                  <w:rStyle w:val="InternetLink"/>
                  <w:rFonts w:ascii="Times New Roman;serif" w:hAnsi="Times New Roman;serif"/>
                  <w:b w:val="false"/>
                  <w:strike w:val="false"/>
                  <w:dstrike w:val="false"/>
                  <w:color w:val="0000FF"/>
                  <w:sz w:val="18"/>
                  <w:u w:val="none"/>
                  <w:effect w:val="none"/>
                </w:rPr>
                <w:t>24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45">
              <w:r>
                <w:rPr>
                  <w:rStyle w:val="InternetLink"/>
                  <w:rFonts w:ascii="Times New Roman;serif" w:hAnsi="Times New Roman;serif"/>
                  <w:b w:val="false"/>
                  <w:color w:val="0000FF"/>
                  <w:sz w:val="18"/>
                  <w:u w:val="single"/>
                </w:rPr>
                <w:t>Controls and Procedures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45">
              <w:r>
                <w:rPr>
                  <w:rStyle w:val="InternetLink"/>
                  <w:rFonts w:ascii="Times New Roman;serif" w:hAnsi="Times New Roman;serif"/>
                  <w:b w:val="false"/>
                  <w:strike w:val="false"/>
                  <w:dstrike w:val="false"/>
                  <w:color w:val="0000FF"/>
                  <w:sz w:val="18"/>
                  <w:u w:val="none"/>
                  <w:effect w:val="none"/>
                </w:rPr>
                <w:t>24</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PART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48">
              <w:r>
                <w:rPr>
                  <w:rStyle w:val="InternetLink"/>
                  <w:rFonts w:ascii="Times New Roman;serif" w:hAnsi="Times New Roman;serif"/>
                  <w:b w:val="false"/>
                  <w:color w:val="0000FF"/>
                  <w:sz w:val="18"/>
                  <w:u w:val="single"/>
                </w:rPr>
                <w:t>OTHER INFORMATION</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48">
              <w:r>
                <w:rPr>
                  <w:rStyle w:val="InternetLink"/>
                  <w:rFonts w:ascii="Times New Roman;serif" w:hAnsi="Times New Roman;serif"/>
                  <w:b w:val="false"/>
                  <w:strike w:val="false"/>
                  <w:dstrike w:val="false"/>
                  <w:color w:val="0000FF"/>
                  <w:sz w:val="18"/>
                  <w:u w:val="none"/>
                  <w:effect w:val="none"/>
                </w:rPr>
                <w:t>25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51">
              <w:r>
                <w:rPr>
                  <w:rStyle w:val="InternetLink"/>
                  <w:rFonts w:ascii="Times New Roman;serif" w:hAnsi="Times New Roman;serif"/>
                  <w:b w:val="false"/>
                  <w:color w:val="0000FF"/>
                  <w:sz w:val="18"/>
                  <w:u w:val="single"/>
                </w:rPr>
                <w:t>Legal Proceedings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51">
              <w:r>
                <w:rPr>
                  <w:rStyle w:val="InternetLink"/>
                  <w:rFonts w:ascii="Times New Roman;serif" w:hAnsi="Times New Roman;serif"/>
                  <w:b w:val="false"/>
                  <w:strike w:val="false"/>
                  <w:dstrike w:val="false"/>
                  <w:color w:val="0000FF"/>
                  <w:sz w:val="18"/>
                  <w:u w:val="none"/>
                  <w:effect w:val="none"/>
                </w:rPr>
                <w:t>25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54">
              <w:r>
                <w:rPr>
                  <w:rStyle w:val="InternetLink"/>
                  <w:rFonts w:ascii="Times New Roman;serif" w:hAnsi="Times New Roman;serif"/>
                  <w:b w:val="false"/>
                  <w:color w:val="0000FF"/>
                  <w:sz w:val="18"/>
                  <w:u w:val="single"/>
                </w:rPr>
                <w:t>Risk Factors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54">
              <w:r>
                <w:rPr>
                  <w:rStyle w:val="InternetLink"/>
                  <w:rFonts w:ascii="Times New Roman;serif" w:hAnsi="Times New Roman;serif"/>
                  <w:b w:val="false"/>
                  <w:strike w:val="false"/>
                  <w:dstrike w:val="false"/>
                  <w:color w:val="0000FF"/>
                  <w:sz w:val="18"/>
                  <w:u w:val="none"/>
                  <w:effect w:val="none"/>
                </w:rPr>
                <w:t>25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57">
              <w:r>
                <w:rPr>
                  <w:rStyle w:val="InternetLink"/>
                  <w:rFonts w:ascii="Times New Roman;serif" w:hAnsi="Times New Roman;serif"/>
                  <w:b w:val="false"/>
                  <w:color w:val="0000FF"/>
                  <w:sz w:val="18"/>
                  <w:u w:val="single"/>
                </w:rPr>
                <w:t>Unregistered Sales of Equity Securities and Use of Proceeds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57">
              <w:r>
                <w:rPr>
                  <w:rStyle w:val="InternetLink"/>
                  <w:rFonts w:ascii="Times New Roman;serif" w:hAnsi="Times New Roman;serif"/>
                  <w:b w:val="false"/>
                  <w:strike w:val="false"/>
                  <w:dstrike w:val="false"/>
                  <w:color w:val="0000FF"/>
                  <w:sz w:val="18"/>
                  <w:u w:val="none"/>
                  <w:effect w:val="none"/>
                </w:rPr>
                <w:t>25</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60">
              <w:r>
                <w:rPr>
                  <w:rStyle w:val="InternetLink"/>
                  <w:rFonts w:ascii="Times New Roman;serif" w:hAnsi="Times New Roman;serif"/>
                  <w:b w:val="false"/>
                  <w:color w:val="0000FF"/>
                  <w:sz w:val="18"/>
                  <w:u w:val="single"/>
                </w:rPr>
                <w:t>Exhibits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60">
              <w:r>
                <w:rPr>
                  <w:rStyle w:val="InternetLink"/>
                  <w:rFonts w:ascii="Times New Roman;serif" w:hAnsi="Times New Roman;serif"/>
                  <w:b w:val="false"/>
                  <w:strike w:val="false"/>
                  <w:dstrike w:val="false"/>
                  <w:color w:val="0000FF"/>
                  <w:sz w:val="18"/>
                  <w:u w:val="none"/>
                  <w:effect w:val="none"/>
                </w:rPr>
                <w:t>26</w:t>
              </w:r>
            </w:hyperlink>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71"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261cc43c8f1a41d0a9cbaaa97544ec50_163">
              <w:r>
                <w:rPr>
                  <w:rStyle w:val="InternetLink"/>
                  <w:rFonts w:ascii="Times New Roman;serif" w:hAnsi="Times New Roman;serif"/>
                  <w:b w:val="false"/>
                  <w:color w:val="0000FF"/>
                  <w:sz w:val="18"/>
                  <w:u w:val="single"/>
                </w:rPr>
                <w:t>Signatures</w:t>
              </w:r>
            </w:hyperlink>
          </w:p>
        </w:tc>
        <w:tc>
          <w:tcPr>
            <w:tcW w:w="63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61cc43c8f1a41d0a9cbaaa97544ec50_163">
              <w:r>
                <w:rPr>
                  <w:rStyle w:val="InternetLink"/>
                  <w:rFonts w:ascii="Times New Roman;serif" w:hAnsi="Times New Roman;serif"/>
                  <w:b w:val="false"/>
                  <w:strike w:val="false"/>
                  <w:dstrike w:val="false"/>
                  <w:color w:val="0000FF"/>
                  <w:sz w:val="18"/>
                  <w:u w:val="none"/>
                  <w:effect w:val="none"/>
                </w:rPr>
                <w:t>27</w:t>
              </w:r>
            </w:hyperlink>
          </w:p>
        </w:tc>
      </w:tr>
    </w:tbl>
    <w:p>
      <w:pPr>
        <w:pStyle w:val="TextBody"/>
        <w:bidi w:val="0"/>
        <w:spacing w:lineRule="auto" w:line="288" w:before="0" w:after="0"/>
        <w:jc w:val="righ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par value and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73"/>
        <w:gridCol w:w="2270"/>
        <w:gridCol w:w="2296"/>
        <w:gridCol w:w="205"/>
        <w:gridCol w:w="770"/>
        <w:gridCol w:w="113"/>
        <w:gridCol w:w="109"/>
        <w:gridCol w:w="109"/>
        <w:gridCol w:w="109"/>
        <w:gridCol w:w="243"/>
        <w:gridCol w:w="913"/>
        <w:gridCol w:w="195"/>
      </w:tblGrid>
      <w:tr>
        <w:trPr/>
        <w:tc>
          <w:tcPr>
            <w:tcW w:w="287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and cash equivalents</w:t>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26,249 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16,751 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at fair value (amortized cost of $18,541 and $19,923)</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21,433 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Investments under measurement alternative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15,697 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Equity method investments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4,303 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7,405 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7,501 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income taxes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2,452 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right-of-use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9,676 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Intangible assets,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16,771 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18,199 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and equipment, net of accumulated depreciation of $8,824 and $8,952</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155,375 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162,298 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 AND STOCKHOLDERS' EQUITY</w:t>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 and accrued liabilities</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Dividends payable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2,701 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Compensation and benefits payable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liabilities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12,408 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payable</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1,493 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9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27,921 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35,575 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 (Note 10)</w:t>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Stockholders' Equity:</w:t>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25,000,000 shares, issued 12,606,270 and 12,337,758, respectively and outstanding 9,543,152 and 9,394,066,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208,669 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206,120 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Treasury stock, at cost – 3,063,118 and 2,986,692 shares,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(90,900)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(89,612)</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Retained earnings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8,983 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Westwood Holdings Group, Inc. stockholders’ equity</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126,338 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125,615 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Noncontrolling interest in consolidated subsidiary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equity</w:t>
            </w:r>
          </w:p>
        </w:tc>
        <w:tc>
          <w:tcPr>
            <w:tcW w:w="9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127,454 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126,723 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and stockholders' equity</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155,375 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162,298 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840"/>
                <wp:effectExtent l="0" t="0" r="0" b="0"/>
                <wp:wrapNone/>
                <wp:docPr id="3" name="Frame3"/>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and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lineRule="auto" w:line="288" w:before="0" w:after="0"/>
        <w:jc w:val="left"/>
        <w:rPr>
          <w:color w:val="000000"/>
        </w:rPr>
      </w:pPr>
      <w:r>
        <w:rPr>
          <w:color w:val="000000"/>
        </w:rPr>
        <w:t> </w:t>
      </w:r>
    </w:p>
    <w:tbl>
      <w:tblPr>
        <w:tblW w:w="9345" w:type="dxa"/>
        <w:jc w:val="left"/>
        <w:tblInd w:w="0" w:type="dxa"/>
        <w:tblLayout w:type="fixed"/>
        <w:tblCellMar>
          <w:top w:w="28" w:type="dxa"/>
          <w:left w:w="28" w:type="dxa"/>
          <w:bottom w:w="28" w:type="dxa"/>
          <w:right w:w="28" w:type="dxa"/>
        </w:tblCellMar>
      </w:tblPr>
      <w:tblGrid>
        <w:gridCol w:w="1592"/>
        <w:gridCol w:w="1397"/>
        <w:gridCol w:w="1405"/>
        <w:gridCol w:w="202"/>
        <w:gridCol w:w="669"/>
        <w:gridCol w:w="110"/>
        <w:gridCol w:w="110"/>
        <w:gridCol w:w="110"/>
        <w:gridCol w:w="110"/>
        <w:gridCol w:w="202"/>
        <w:gridCol w:w="669"/>
        <w:gridCol w:w="110"/>
        <w:gridCol w:w="109"/>
        <w:gridCol w:w="109"/>
        <w:gridCol w:w="109"/>
        <w:gridCol w:w="202"/>
        <w:gridCol w:w="669"/>
        <w:gridCol w:w="109"/>
        <w:gridCol w:w="109"/>
        <w:gridCol w:w="109"/>
        <w:gridCol w:w="109"/>
        <w:gridCol w:w="202"/>
        <w:gridCol w:w="669"/>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Asset-based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fees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25,343 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income</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depreciation on private investments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attributable to noncontrolling interest</w:t>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1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8,644,321 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8,404,859 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8,329,803 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9,079,971 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8,813,606 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9,061,350 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8,798,092 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840"/>
                <wp:effectExtent l="0" t="0" r="0" b="0"/>
                <wp:wrapNone/>
                <wp:docPr id="4" name="Frame4"/>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pPr>
      <w:r>
        <w:rPr>
          <w:rFonts w:ascii="Times New Roman;serif" w:hAnsi="Times New Roman;serif"/>
          <w:b/>
          <w:color w:val="000000"/>
          <w:sz w:val="20"/>
        </w:rPr>
        <w:t xml:space="preserve">For the </w:t>
      </w:r>
      <w:r>
        <w:rPr>
          <w:rFonts w:ascii="Times New Roman;serif" w:hAnsi="Times New Roman;serif"/>
          <w:b/>
          <w:color w:val="000000"/>
          <w:sz w:val="18"/>
        </w:rPr>
        <w:t>Three Months Ended</w:t>
      </w:r>
      <w:r>
        <w:rPr>
          <w:color w:val="000000"/>
        </w:rPr>
        <w:t xml:space="preserve"> </w:t>
      </w:r>
      <w:r>
        <w:rPr>
          <w:rFonts w:ascii="Times New Roman;serif" w:hAnsi="Times New Roman;serif"/>
          <w:b/>
          <w:color w:val="000000"/>
          <w:sz w:val="20"/>
        </w:rPr>
        <w:t xml:space="preserve">June 30, 2026 and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52"/>
        <w:gridCol w:w="270"/>
        <w:gridCol w:w="271"/>
        <w:gridCol w:w="435"/>
        <w:gridCol w:w="436"/>
        <w:gridCol w:w="196"/>
        <w:gridCol w:w="109"/>
        <w:gridCol w:w="109"/>
        <w:gridCol w:w="109"/>
        <w:gridCol w:w="196"/>
        <w:gridCol w:w="422"/>
        <w:gridCol w:w="109"/>
        <w:gridCol w:w="109"/>
        <w:gridCol w:w="109"/>
        <w:gridCol w:w="109"/>
        <w:gridCol w:w="202"/>
        <w:gridCol w:w="758"/>
        <w:gridCol w:w="112"/>
        <w:gridCol w:w="109"/>
        <w:gridCol w:w="109"/>
        <w:gridCol w:w="109"/>
        <w:gridCol w:w="197"/>
        <w:gridCol w:w="667"/>
        <w:gridCol w:w="109"/>
        <w:gridCol w:w="109"/>
        <w:gridCol w:w="109"/>
        <w:gridCol w:w="109"/>
        <w:gridCol w:w="109"/>
        <w:gridCol w:w="109"/>
        <w:gridCol w:w="200"/>
        <w:gridCol w:w="568"/>
        <w:gridCol w:w="111"/>
        <w:gridCol w:w="109"/>
        <w:gridCol w:w="109"/>
        <w:gridCol w:w="109"/>
        <w:gridCol w:w="277"/>
        <w:gridCol w:w="787"/>
        <w:gridCol w:w="155"/>
        <w:gridCol w:w="109"/>
        <w:gridCol w:w="109"/>
        <w:gridCol w:w="109"/>
        <w:gridCol w:w="196"/>
        <w:gridCol w:w="736"/>
        <w:gridCol w:w="163"/>
      </w:tblGrid>
      <w:tr>
        <w:trPr/>
        <w:tc>
          <w:tcPr>
            <w:tcW w:w="4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9,487,973 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207,379 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8,352 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126,065 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55,179 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9,543,152 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208,669 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127,454 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5"/>
        <w:gridCol w:w="305"/>
        <w:gridCol w:w="307"/>
        <w:gridCol w:w="435"/>
        <w:gridCol w:w="436"/>
        <w:gridCol w:w="196"/>
        <w:gridCol w:w="110"/>
        <w:gridCol w:w="110"/>
        <w:gridCol w:w="110"/>
        <w:gridCol w:w="198"/>
        <w:gridCol w:w="425"/>
        <w:gridCol w:w="110"/>
        <w:gridCol w:w="109"/>
        <w:gridCol w:w="109"/>
        <w:gridCol w:w="109"/>
        <w:gridCol w:w="210"/>
        <w:gridCol w:w="789"/>
        <w:gridCol w:w="116"/>
        <w:gridCol w:w="109"/>
        <w:gridCol w:w="109"/>
        <w:gridCol w:w="109"/>
        <w:gridCol w:w="198"/>
        <w:gridCol w:w="675"/>
        <w:gridCol w:w="110"/>
        <w:gridCol w:w="109"/>
        <w:gridCol w:w="109"/>
        <w:gridCol w:w="109"/>
        <w:gridCol w:w="206"/>
        <w:gridCol w:w="584"/>
        <w:gridCol w:w="114"/>
        <w:gridCol w:w="109"/>
        <w:gridCol w:w="109"/>
        <w:gridCol w:w="109"/>
        <w:gridCol w:w="283"/>
        <w:gridCol w:w="804"/>
        <w:gridCol w:w="158"/>
        <w:gridCol w:w="109"/>
        <w:gridCol w:w="109"/>
        <w:gridCol w:w="109"/>
        <w:gridCol w:w="196"/>
        <w:gridCol w:w="736"/>
        <w:gridCol w:w="164"/>
      </w:tblGrid>
      <w:tr>
        <w:trPr/>
        <w:tc>
          <w:tcPr>
            <w:tcW w:w="48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9,379,675 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121,386 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28,450 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($0.15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(1,354)</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8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9,408,125 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203,594 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122,358 </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840"/>
                <wp:effectExtent l="0" t="0" r="0" b="0"/>
                <wp:wrapNone/>
                <wp:docPr id="5" name="Frame5"/>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STOCKHOLDERS’ EQUITY </w:t>
      </w:r>
    </w:p>
    <w:p>
      <w:pPr>
        <w:pStyle w:val="TextBody"/>
        <w:bidi w:val="0"/>
        <w:spacing w:lineRule="auto" w:line="288" w:before="0" w:after="0"/>
        <w:jc w:val="center"/>
        <w:rPr/>
      </w:pPr>
      <w:r>
        <w:rPr>
          <w:rFonts w:ascii="Times New Roman;serif" w:hAnsi="Times New Roman;serif"/>
          <w:b/>
          <w:color w:val="000000"/>
          <w:sz w:val="20"/>
        </w:rPr>
        <w:t xml:space="preserve">For the </w:t>
      </w:r>
      <w:r>
        <w:rPr>
          <w:rFonts w:ascii="Times New Roman;serif" w:hAnsi="Times New Roman;serif"/>
          <w:b/>
          <w:color w:val="000000"/>
          <w:sz w:val="18"/>
        </w:rPr>
        <w:t>Six Months Ended</w:t>
      </w:r>
      <w:r>
        <w:rPr>
          <w:color w:val="000000"/>
        </w:rPr>
        <w:t xml:space="preserve"> </w:t>
      </w:r>
      <w:r>
        <w:rPr>
          <w:rFonts w:ascii="Times New Roman;serif" w:hAnsi="Times New Roman;serif"/>
          <w:b/>
          <w:color w:val="000000"/>
          <w:sz w:val="20"/>
        </w:rPr>
        <w:t xml:space="preserve">June 30, 2026 and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52"/>
        <w:gridCol w:w="270"/>
        <w:gridCol w:w="271"/>
        <w:gridCol w:w="435"/>
        <w:gridCol w:w="436"/>
        <w:gridCol w:w="196"/>
        <w:gridCol w:w="109"/>
        <w:gridCol w:w="109"/>
        <w:gridCol w:w="109"/>
        <w:gridCol w:w="196"/>
        <w:gridCol w:w="422"/>
        <w:gridCol w:w="109"/>
        <w:gridCol w:w="109"/>
        <w:gridCol w:w="109"/>
        <w:gridCol w:w="109"/>
        <w:gridCol w:w="202"/>
        <w:gridCol w:w="758"/>
        <w:gridCol w:w="112"/>
        <w:gridCol w:w="109"/>
        <w:gridCol w:w="109"/>
        <w:gridCol w:w="109"/>
        <w:gridCol w:w="197"/>
        <w:gridCol w:w="667"/>
        <w:gridCol w:w="109"/>
        <w:gridCol w:w="109"/>
        <w:gridCol w:w="109"/>
        <w:gridCol w:w="109"/>
        <w:gridCol w:w="109"/>
        <w:gridCol w:w="109"/>
        <w:gridCol w:w="200"/>
        <w:gridCol w:w="567"/>
        <w:gridCol w:w="111"/>
        <w:gridCol w:w="109"/>
        <w:gridCol w:w="109"/>
        <w:gridCol w:w="109"/>
        <w:gridCol w:w="277"/>
        <w:gridCol w:w="787"/>
        <w:gridCol w:w="155"/>
        <w:gridCol w:w="109"/>
        <w:gridCol w:w="109"/>
        <w:gridCol w:w="109"/>
        <w:gridCol w:w="196"/>
        <w:gridCol w:w="736"/>
        <w:gridCol w:w="164"/>
      </w:tblGrid>
      <w:tr>
        <w:trPr/>
        <w:tc>
          <w:tcPr>
            <w:tcW w:w="45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9,394,066 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206,120 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126,723 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228,512 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($0.30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9,543,152 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208,669 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127,454 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86"/>
        <w:gridCol w:w="306"/>
        <w:gridCol w:w="307"/>
        <w:gridCol w:w="435"/>
        <w:gridCol w:w="436"/>
        <w:gridCol w:w="196"/>
        <w:gridCol w:w="110"/>
        <w:gridCol w:w="110"/>
        <w:gridCol w:w="110"/>
        <w:gridCol w:w="198"/>
        <w:gridCol w:w="425"/>
        <w:gridCol w:w="110"/>
        <w:gridCol w:w="109"/>
        <w:gridCol w:w="109"/>
        <w:gridCol w:w="109"/>
        <w:gridCol w:w="210"/>
        <w:gridCol w:w="789"/>
        <w:gridCol w:w="116"/>
        <w:gridCol w:w="109"/>
        <w:gridCol w:w="109"/>
        <w:gridCol w:w="109"/>
        <w:gridCol w:w="198"/>
        <w:gridCol w:w="675"/>
        <w:gridCol w:w="110"/>
        <w:gridCol w:w="109"/>
        <w:gridCol w:w="109"/>
        <w:gridCol w:w="109"/>
        <w:gridCol w:w="205"/>
        <w:gridCol w:w="584"/>
        <w:gridCol w:w="114"/>
        <w:gridCol w:w="109"/>
        <w:gridCol w:w="109"/>
        <w:gridCol w:w="109"/>
        <w:gridCol w:w="283"/>
        <w:gridCol w:w="804"/>
        <w:gridCol w:w="158"/>
        <w:gridCol w:w="109"/>
        <w:gridCol w:w="109"/>
        <w:gridCol w:w="109"/>
        <w:gridCol w:w="196"/>
        <w:gridCol w:w="736"/>
        <w:gridCol w:w="163"/>
      </w:tblGrid>
      <w:tr>
        <w:trPr/>
        <w:tc>
          <w:tcPr>
            <w:tcW w:w="48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Common 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Total</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Shares</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9,234,575 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202,239 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(88,277)</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2,041 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122,332 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 net of forfeitures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254,737 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declared ($0.30 per share)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Restricted stock returned for payment of taxes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(81,187)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9,408,125 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203,594 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(89,612)</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2,052 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122,358 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840"/>
                <wp:effectExtent l="0" t="0" r="0" b="0"/>
                <wp:wrapNone/>
                <wp:docPr id="6" name="Frame6"/>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7989" w:type="dxa"/>
        <w:jc w:val="center"/>
        <w:tblInd w:w="0" w:type="dxa"/>
        <w:tblLayout w:type="fixed"/>
        <w:tblCellMar>
          <w:top w:w="28" w:type="dxa"/>
          <w:left w:w="28" w:type="dxa"/>
          <w:bottom w:w="28" w:type="dxa"/>
          <w:right w:w="28" w:type="dxa"/>
        </w:tblCellMar>
      </w:tblPr>
      <w:tblGrid>
        <w:gridCol w:w="2071"/>
        <w:gridCol w:w="1817"/>
        <w:gridCol w:w="1827"/>
        <w:gridCol w:w="196"/>
        <w:gridCol w:w="646"/>
        <w:gridCol w:w="109"/>
        <w:gridCol w:w="109"/>
        <w:gridCol w:w="109"/>
        <w:gridCol w:w="109"/>
        <w:gridCol w:w="196"/>
        <w:gridCol w:w="646"/>
        <w:gridCol w:w="154"/>
      </w:tblGrid>
      <w:tr>
        <w:trPr/>
        <w:tc>
          <w:tcPr>
            <w:tcW w:w="207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by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depreciation on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gains on private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lease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asset disposition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 of equity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operating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leasehold improvements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Returns of capital from private capital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Additions to internally developed software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(1,455)</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stock returned for payment of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contingent consideration in acquisition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CHANGE IN CASH AND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(3,444)</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beginning of period</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18,847 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SUPPLEMENTAL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during the period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dividends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840"/>
                <wp:effectExtent l="0" t="0" r="0" b="0"/>
                <wp:wrapNone/>
                <wp:docPr id="7" name="Frame7"/>
                <a:graphic xmlns:a="http://schemas.openxmlformats.org/drawingml/2006/main">
                  <a:graphicData uri="http://schemas.microsoft.com/office/word/2010/wordprocessingShape">
                    <wps:wsp>
                      <wps:cNvSpPr txBox="1"/>
                      <wps:spPr>
                        <a:xfrm>
                          <a:off x="0" y="0"/>
                          <a:ext cx="6480175" cy="497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See Notes to Condensed Consolidated Financial Statements.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1. DESCRIPTION OF THE BUSINESS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Holdings Group, Inc. (“Westwood”, “the Company”, “we”, “us” or “our”) was incorporated under the laws of the State of Delaware on December 12, 2001. Westwood manages investment assets and provides services for its clients through its subsidiaries, Westwood Management Corp., Westwood Advisors, L.L.C., Salient Advisors, L.P. ("Salient Advisors"), Broadmark Asset Management LLC ("Broadmark") and Salient Capital L.P. ("SCLP"), (referred to hereinafter together as “Westwood Management”), and Westwood 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SCLP is an SEC-registered broker-dealer and Financial Industry Regulatory Authority ("FINRA") member and serves as a sub-placement agent for private placements. Salient Advisors is an SEC-registered investment adviser, a Commodity Futures Trading Commission ("CFTC") registered Commodity Pool Operator ("CPO") and a National Futures Association ("NFA") member. Salient Advisors is an advisor to the Westwood Salient Tactical Plus Fund, which is sub-advised by Broadmark.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Management provides investment advisory services to institutional clients, a family of mutual funds called the Westwood Funds®, Westwood ETFs, other mutual funds, individual investors, private capital funds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and assets under advisement ("AUA"), and fluctuations in financial markets and in the composition of AUM impact our revenues and results of operations.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Each entity comprising Westwood Management is registered with the Securities and Exchange Commission ("SEC") as an investment adviser under the Investment Advisers Act of 1940, as amended. Westwood Trust is chartered and regulated by the Texas Department of Banking.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120" w:after="283"/>
        <w:jc w:val="left"/>
        <w:rPr/>
      </w:pPr>
      <w:r>
        <w:rPr>
          <w:color w:val="000000"/>
        </w:rPr>
        <w:t> </w:t>
      </w:r>
      <w:r>
        <w:rPr>
          <w:rFonts w:ascii="Times New Roman;serif" w:hAnsi="Times New Roman;serif"/>
          <w:b/>
          <w:color w:val="000000"/>
          <w:sz w:val="20"/>
        </w:rPr>
        <w:t xml:space="preserve">Basis of Presentation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to a fair statement of our interim financial position and results of operations and cash flows for the periods presented. The accompanying Condensed Consolidated Financial Statements are presented in accordance with GAAP and the rules and regulations of the SEC.</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our Consolidated Financial Statements, and notes thereto, included in our Annual Report on Form 10-K for the year ended December 31, 2025.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Recently Issued Accounting Pronouncements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Income Statement Reporting</w:t>
      </w:r>
    </w:p>
    <w:p>
      <w:pPr>
        <w:pStyle w:val="TextBody"/>
        <w:bidi w:val="0"/>
        <w:spacing w:lineRule="auto" w:line="288" w:before="120" w:after="283"/>
        <w:ind w:left="0" w:right="0" w:firstLine="540"/>
        <w:jc w:val="left"/>
        <w:rPr/>
      </w:pPr>
      <w:r>
        <w:rPr>
          <w:rFonts w:ascii="Times New Roman;serif" w:hAnsi="Times New Roman;serif"/>
          <w:b w:val="false"/>
          <w:color w:val="000000"/>
          <w:sz w:val="20"/>
        </w:rPr>
        <w:t>In November 2024, the FASB issued ASU 2024-03,</w:t>
      </w:r>
      <w:r>
        <w:rPr>
          <w:color w:val="000000"/>
        </w:rPr>
        <w:t xml:space="preserve">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i/>
          <w:color w:val="000000"/>
          <w:sz w:val="20"/>
        </w:rPr>
        <w:t xml:space="preserve">(Subtopic 220-40): Disaggregation of Income Statement Expenses </w:t>
      </w:r>
      <w:r>
        <w:rPr>
          <w:rFonts w:ascii="Times New Roman;serif" w:hAnsi="Times New Roman;serif"/>
          <w:b w:val="false"/>
          <w:color w:val="000000"/>
          <w:sz w:val="20"/>
        </w:rPr>
        <w:t xml:space="preserve">("ASU 2024-03"). ASU 2024-03 requires public companies to disclose, in the notes to financial statements, specified information about certain costs and expenses at each interim and annual reporting period. The FASB further clarified the effective date in January 2025 with the issuance of ASU 2025-01, </w:t>
      </w:r>
      <w:r>
        <w:rPr>
          <w:rFonts w:ascii="Times New Roman;serif" w:hAnsi="Times New Roman;serif"/>
          <w:b w:val="false"/>
          <w:i/>
          <w:color w:val="000000"/>
          <w:sz w:val="20"/>
        </w:rPr>
        <w:t>Income Statement - Reporting Comprehensive Income - Expense Disaggregation Disclosures</w:t>
      </w:r>
      <w:r>
        <w:rPr>
          <w:color w:val="000000"/>
        </w:rPr>
        <w:t xml:space="preserve"> </w:t>
      </w:r>
      <w:r>
        <w:rPr>
          <w:rFonts w:ascii="Times New Roman;serif" w:hAnsi="Times New Roman;serif"/>
          <w:b w:val="false"/>
          <w:i/>
          <w:color w:val="000000"/>
          <w:sz w:val="20"/>
        </w:rPr>
        <w:t>(Subtopic 220-40): Clarifying the Effective Date</w:t>
      </w:r>
      <w:r>
        <w:rPr>
          <w:color w:val="000000"/>
        </w:rPr>
        <w:t xml:space="preserve"> </w:t>
      </w:r>
      <w:r>
        <w:rPr>
          <w:rFonts w:ascii="Times New Roman;serif" w:hAnsi="Times New Roman;serif"/>
          <w:b w:val="false"/>
          <w:color w:val="000000"/>
          <w:sz w:val="20"/>
        </w:rPr>
        <w:t>("ASU 2025-01"). ASU 2024-03 is effective for annual periods beginning after December 15, 2026, and interim periods within annual reporting periods beginning after December 15, 2027, with early adoption permitted. The requirements should be applied on a prospective basis while retrospective application is permitted. We are in the process of analyzing the impact of this ASU on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ASU 2025-06 is intended to simplify the capitalization guidance by removing all references to software development project stages so that the guidance is neutral to different software development methods. The amendments in this ASU are effective for annual reporting periods beginning after December 15, 2027, and interim reporting periods within those annual reporting periods, with early adoption permitted. The amendments in this update permit an entity to apply the new guidance using a prospective, retrospective or modified transition approach. We are in the process of analyzing the impact of this ASU on our condensed consolidated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Interim Reporting</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In December 2025, the FASB issued ASU 2025-11, </w:t>
      </w:r>
      <w:r>
        <w:rPr>
          <w:rFonts w:ascii="Times New Roman;serif" w:hAnsi="Times New Roman;serif"/>
          <w:b w:val="false"/>
          <w:i/>
          <w:color w:val="000000"/>
          <w:sz w:val="20"/>
        </w:rPr>
        <w:t>Interim Reporting</w:t>
      </w:r>
      <w:r>
        <w:rPr>
          <w:color w:val="000000"/>
        </w:rPr>
        <w:t xml:space="preserve"> </w:t>
      </w:r>
      <w:r>
        <w:rPr>
          <w:rFonts w:ascii="Times New Roman;serif" w:hAnsi="Times New Roman;serif"/>
          <w:b w:val="false"/>
          <w:color w:val="000000"/>
          <w:sz w:val="20"/>
        </w:rPr>
        <w:t>("ASU 2025-11"). ASU 2025-11 is intended to clarify the application of interim reporting guidance and to reorganize existing disclosure requirements. The amendments in this ASU are effective for interim periods within annual periods beginning after December 15, 2027, with early adoption permitted. We are in the process of analyzing the impact of this ASU on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such as gains and losses from our seed money investments into new investment strategies. The "Other, net” revenues on our Condensed Consolidated Statements of Operations are the unrealized gains and losses on our seed money investments, and our seed money investments are included in "Investments, at fair value" on our Condensed Consolidated Balance Sheets. Advisory and trust fees are calculated based on a percentage of AUM or AUA, as applicable, and the performance obligation is realized over the current calendar quarter. Once clients receive our investment advisory services we have an enforceable right to payment. </w:t>
      </w:r>
    </w:p>
    <w:p>
      <w:pPr>
        <w:pStyle w:val="TextBody"/>
        <w:bidi w:val="0"/>
        <w:spacing w:lineRule="auto" w:line="288" w:before="120" w:after="283"/>
        <w:jc w:val="left"/>
        <w:rPr/>
      </w:pPr>
      <w:r>
        <w:rPr>
          <w:rFonts w:ascii="Times New Roman;serif" w:hAnsi="Times New Roman;serif"/>
          <w:b/>
          <w:color w:val="000000"/>
          <w:sz w:val="20"/>
        </w:rPr>
        <w:t>Advisory Fee Revenues</w:t>
      </w:r>
      <w:r>
        <w:rPr>
          <w:color w:val="000000"/>
        </w:rPr>
        <w:t xml:space="preserve">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 xml:space="preserve">Our advisory fees are generated by Westwood Management for managing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based on a daily or monthly analysis of AUM for the stated period, or based on committed or invested capital with respect to private capital funds. We recognize advisory fee revenues as services are rendered. Since our advance paying clients' billing periods coincide with the calendar quarter to which such payments relate, revenue is recognized within the quarter and our Consolidated Financial Statements contain no deferred advisory fee revenues. Advisory clients typically consist of institutional investors, mutual funds, ETFs, intermediary </w:t>
      </w:r>
      <w:r>
        <w:rPr>
          <w:rFonts w:ascii="Times New Roman;serif" w:hAnsi="Times New Roman;serif"/>
          <w:b w:val="false"/>
          <w:color w:val="000000"/>
          <w:sz w:val="20"/>
          <w:shd w:fill="FFFFFF" w:val="clear"/>
        </w:rPr>
        <w:t>separately managed accounts ("SMA"), model-delivery SMA and private capital funds</w:t>
      </w:r>
      <w:r>
        <w:rPr>
          <w:rFonts w:ascii="Times New Roman;serif" w:hAnsi="Times New Roman;serif"/>
          <w:b w:val="false"/>
          <w:color w:val="000000"/>
          <w:sz w:val="20"/>
        </w:rPr>
        <w:t xml:space="preserv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registered investment advisors that offer Westwood products to their customers.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Mutual funds include the Westwood Funds®, a family of mutual funds for which Westwood Management serves as advisor. These funds are available to individual investors, as well as offered as part of our suite of investment strategies for institutional investors and wealth management accounts.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Arrangements with Performance-Based Obligations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 Performance-based fees are paid after the performance obligation has been satisfied.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revenue is based on future market performance and is subject to many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Trust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and are paid monthly and quarterly in arrears. We recognize trust fee revenues as services are rendered. Since billing periods for most of Westwood Trust’s clients coincide with the calendar quarter, revenue is fully recognized within the quarter and our Condensed Consolidated Financial Statements contain no deferred fee revenues.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Revenue Disaggregated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account type (in thousands).</w:t>
      </w:r>
    </w:p>
    <w:tbl>
      <w:tblPr>
        <w:tblW w:w="7291" w:type="dxa"/>
        <w:jc w:val="left"/>
        <w:tblInd w:w="0" w:type="dxa"/>
        <w:tblLayout w:type="fixed"/>
        <w:tblCellMar>
          <w:top w:w="28" w:type="dxa"/>
          <w:left w:w="28" w:type="dxa"/>
          <w:bottom w:w="28" w:type="dxa"/>
          <w:right w:w="28" w:type="dxa"/>
        </w:tblCellMar>
      </w:tblPr>
      <w:tblGrid>
        <w:gridCol w:w="749"/>
        <w:gridCol w:w="658"/>
        <w:gridCol w:w="662"/>
        <w:gridCol w:w="215"/>
        <w:gridCol w:w="708"/>
        <w:gridCol w:w="119"/>
        <w:gridCol w:w="119"/>
        <w:gridCol w:w="119"/>
        <w:gridCol w:w="119"/>
        <w:gridCol w:w="215"/>
        <w:gridCol w:w="708"/>
        <w:gridCol w:w="119"/>
        <w:gridCol w:w="109"/>
        <w:gridCol w:w="109"/>
        <w:gridCol w:w="109"/>
        <w:gridCol w:w="211"/>
        <w:gridCol w:w="721"/>
        <w:gridCol w:w="109"/>
        <w:gridCol w:w="109"/>
        <w:gridCol w:w="109"/>
        <w:gridCol w:w="109"/>
        <w:gridCol w:w="211"/>
        <w:gridCol w:w="721"/>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Fees:</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 and ETFs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Fees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revenue disaggregated by our clients' geographical locations (in thousands):</w:t>
      </w:r>
    </w:p>
    <w:tbl>
      <w:tblPr>
        <w:tblW w:w="7598" w:type="dxa"/>
        <w:jc w:val="left"/>
        <w:tblInd w:w="0" w:type="dxa"/>
        <w:tblLayout w:type="fixed"/>
        <w:tblCellMar>
          <w:top w:w="28" w:type="dxa"/>
          <w:left w:w="28" w:type="dxa"/>
          <w:bottom w:w="28" w:type="dxa"/>
          <w:right w:w="28" w:type="dxa"/>
        </w:tblCellMar>
      </w:tblPr>
      <w:tblGrid>
        <w:gridCol w:w="1037"/>
        <w:gridCol w:w="910"/>
        <w:gridCol w:w="918"/>
        <w:gridCol w:w="196"/>
        <w:gridCol w:w="646"/>
        <w:gridCol w:w="109"/>
        <w:gridCol w:w="109"/>
        <w:gridCol w:w="109"/>
        <w:gridCol w:w="109"/>
        <w:gridCol w:w="196"/>
        <w:gridCol w:w="556"/>
        <w:gridCol w:w="109"/>
        <w:gridCol w:w="109"/>
        <w:gridCol w:w="109"/>
        <w:gridCol w:w="109"/>
        <w:gridCol w:w="109"/>
        <w:gridCol w:w="109"/>
        <w:gridCol w:w="196"/>
        <w:gridCol w:w="421"/>
        <w:gridCol w:w="109"/>
        <w:gridCol w:w="109"/>
        <w:gridCol w:w="109"/>
        <w:gridCol w:w="109"/>
        <w:gridCol w:w="196"/>
        <w:gridCol w:w="64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583" w:type="dxa"/>
        <w:jc w:val="center"/>
        <w:tblInd w:w="0" w:type="dxa"/>
        <w:tblLayout w:type="fixed"/>
        <w:tblCellMar>
          <w:top w:w="28" w:type="dxa"/>
          <w:left w:w="28" w:type="dxa"/>
          <w:bottom w:w="28" w:type="dxa"/>
          <w:right w:w="28" w:type="dxa"/>
        </w:tblCellMar>
      </w:tblPr>
      <w:tblGrid>
        <w:gridCol w:w="1037"/>
        <w:gridCol w:w="910"/>
        <w:gridCol w:w="918"/>
        <w:gridCol w:w="196"/>
        <w:gridCol w:w="646"/>
        <w:gridCol w:w="109"/>
        <w:gridCol w:w="109"/>
        <w:gridCol w:w="109"/>
        <w:gridCol w:w="109"/>
        <w:gridCol w:w="196"/>
        <w:gridCol w:w="556"/>
        <w:gridCol w:w="109"/>
        <w:gridCol w:w="109"/>
        <w:gridCol w:w="109"/>
        <w:gridCol w:w="109"/>
        <w:gridCol w:w="109"/>
        <w:gridCol w:w="109"/>
        <w:gridCol w:w="196"/>
        <w:gridCol w:w="406"/>
        <w:gridCol w:w="109"/>
        <w:gridCol w:w="109"/>
        <w:gridCol w:w="109"/>
        <w:gridCol w:w="109"/>
        <w:gridCol w:w="196"/>
        <w:gridCol w:w="64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807" w:type="dxa"/>
        <w:jc w:val="left"/>
        <w:tblInd w:w="0" w:type="dxa"/>
        <w:tblLayout w:type="fixed"/>
        <w:tblCellMar>
          <w:top w:w="28" w:type="dxa"/>
          <w:left w:w="28" w:type="dxa"/>
          <w:bottom w:w="28" w:type="dxa"/>
          <w:right w:w="28" w:type="dxa"/>
        </w:tblCellMar>
      </w:tblPr>
      <w:tblGrid>
        <w:gridCol w:w="961"/>
        <w:gridCol w:w="843"/>
        <w:gridCol w:w="850"/>
        <w:gridCol w:w="211"/>
        <w:gridCol w:w="721"/>
        <w:gridCol w:w="109"/>
        <w:gridCol w:w="109"/>
        <w:gridCol w:w="109"/>
        <w:gridCol w:w="109"/>
        <w:gridCol w:w="211"/>
        <w:gridCol w:w="721"/>
        <w:gridCol w:w="109"/>
        <w:gridCol w:w="109"/>
        <w:gridCol w:w="109"/>
        <w:gridCol w:w="109"/>
        <w:gridCol w:w="109"/>
        <w:gridCol w:w="109"/>
        <w:gridCol w:w="211"/>
        <w:gridCol w:w="466"/>
        <w:gridCol w:w="109"/>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807" w:type="dxa"/>
        <w:jc w:val="left"/>
        <w:tblInd w:w="0" w:type="dxa"/>
        <w:tblLayout w:type="fixed"/>
        <w:tblCellMar>
          <w:top w:w="28" w:type="dxa"/>
          <w:left w:w="28" w:type="dxa"/>
          <w:bottom w:w="28" w:type="dxa"/>
          <w:right w:w="28" w:type="dxa"/>
        </w:tblCellMar>
      </w:tblPr>
      <w:tblGrid>
        <w:gridCol w:w="961"/>
        <w:gridCol w:w="843"/>
        <w:gridCol w:w="850"/>
        <w:gridCol w:w="211"/>
        <w:gridCol w:w="721"/>
        <w:gridCol w:w="109"/>
        <w:gridCol w:w="109"/>
        <w:gridCol w:w="109"/>
        <w:gridCol w:w="109"/>
        <w:gridCol w:w="211"/>
        <w:gridCol w:w="721"/>
        <w:gridCol w:w="109"/>
        <w:gridCol w:w="109"/>
        <w:gridCol w:w="109"/>
        <w:gridCol w:w="109"/>
        <w:gridCol w:w="109"/>
        <w:gridCol w:w="109"/>
        <w:gridCol w:w="211"/>
        <w:gridCol w:w="466"/>
        <w:gridCol w:w="109"/>
        <w:gridCol w:w="109"/>
        <w:gridCol w:w="109"/>
        <w:gridCol w:w="109"/>
        <w:gridCol w:w="211"/>
        <w:gridCol w:w="72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4. SEGMENT REPORTING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operate two segments: Advisory and Trust. These segments are managed separately based on the types of products and services offered and their related client bases. The Company’s segment information is prepared on the same basis that management uses to review the financial information for operational decision-making purposes.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our Chief Executive Officer, evaluates the performance of our segments based primarily on revenues. The CODM does not evaluate the performance of our segments on segment expenses so those have not been disclosed.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Advisory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Advisory segment provides investment advisory services to (i) corporate pension and profit sharing plans, public employee retirement funds, Taft-Hartley plans, endowments, foundations and individuals, (ii) sub-advisory relationships where Westwood provides investment management services to the Westwood Funds®, funds offered by other financial institutions and funds offered by our Trust segment and (iii) pooled investment vehicles, including collective investment trusts.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Trust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Trust provides trust and custodial services and participation in common trust funds that it sponsors to institutions and high net worth individuals. Westwood Trust is included in our Trust segment.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Other column below contains the entity in which we record typical holding company expenses, including employee compensation and benefits for holding company employees, directors’ fees and investor relations costs, along with intersegment eliminations.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All segment accounting policies are the same as those described in the summary of significant accounting policies. Intersegment balances that eliminate in consolidation have been applied to the appropriate segment.</w:t>
      </w:r>
    </w:p>
    <w:tbl>
      <w:tblPr>
        <w:tblW w:w="10203" w:type="dxa"/>
        <w:jc w:val="left"/>
        <w:tblInd w:w="0" w:type="dxa"/>
        <w:tblLayout w:type="fixed"/>
        <w:tblCellMar>
          <w:top w:w="28" w:type="dxa"/>
          <w:left w:w="28" w:type="dxa"/>
          <w:bottom w:w="28" w:type="dxa"/>
          <w:right w:w="28" w:type="dxa"/>
        </w:tblCellMar>
      </w:tblPr>
      <w:tblGrid>
        <w:gridCol w:w="1042"/>
        <w:gridCol w:w="915"/>
        <w:gridCol w:w="923"/>
        <w:gridCol w:w="109"/>
        <w:gridCol w:w="109"/>
        <w:gridCol w:w="109"/>
        <w:gridCol w:w="196"/>
        <w:gridCol w:w="736"/>
        <w:gridCol w:w="109"/>
        <w:gridCol w:w="109"/>
        <w:gridCol w:w="109"/>
        <w:gridCol w:w="109"/>
        <w:gridCol w:w="196"/>
        <w:gridCol w:w="646"/>
        <w:gridCol w:w="109"/>
        <w:gridCol w:w="109"/>
        <w:gridCol w:w="109"/>
        <w:gridCol w:w="109"/>
        <w:gridCol w:w="265"/>
        <w:gridCol w:w="997"/>
        <w:gridCol w:w="147"/>
        <w:gridCol w:w="109"/>
        <w:gridCol w:w="109"/>
        <w:gridCol w:w="109"/>
        <w:gridCol w:w="196"/>
        <w:gridCol w:w="811"/>
        <w:gridCol w:w="109"/>
        <w:gridCol w:w="109"/>
        <w:gridCol w:w="109"/>
        <w:gridCol w:w="109"/>
        <w:gridCol w:w="211"/>
        <w:gridCol w:w="793"/>
        <w:gridCol w:w="167"/>
      </w:tblGrid>
      <w:tr>
        <w:trPr/>
        <w:tc>
          <w:tcPr>
            <w:tcW w:w="104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27,613 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25,343 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384,134 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155,375 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4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67"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146,279 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equity-method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tbl>
      <w:tblPr>
        <w:tblW w:w="9933" w:type="dxa"/>
        <w:jc w:val="center"/>
        <w:tblInd w:w="0" w:type="dxa"/>
        <w:tblLayout w:type="fixed"/>
        <w:tblCellMar>
          <w:top w:w="28" w:type="dxa"/>
          <w:left w:w="28" w:type="dxa"/>
          <w:bottom w:w="28" w:type="dxa"/>
          <w:right w:w="28" w:type="dxa"/>
        </w:tblCellMar>
      </w:tblPr>
      <w:tblGrid>
        <w:gridCol w:w="1043"/>
        <w:gridCol w:w="915"/>
        <w:gridCol w:w="922"/>
        <w:gridCol w:w="109"/>
        <w:gridCol w:w="109"/>
        <w:gridCol w:w="109"/>
        <w:gridCol w:w="196"/>
        <w:gridCol w:w="646"/>
        <w:gridCol w:w="109"/>
        <w:gridCol w:w="109"/>
        <w:gridCol w:w="109"/>
        <w:gridCol w:w="109"/>
        <w:gridCol w:w="196"/>
        <w:gridCol w:w="646"/>
        <w:gridCol w:w="109"/>
        <w:gridCol w:w="109"/>
        <w:gridCol w:w="109"/>
        <w:gridCol w:w="109"/>
        <w:gridCol w:w="290"/>
        <w:gridCol w:w="957"/>
        <w:gridCol w:w="162"/>
        <w:gridCol w:w="109"/>
        <w:gridCol w:w="109"/>
        <w:gridCol w:w="109"/>
        <w:gridCol w:w="196"/>
        <w:gridCol w:w="631"/>
        <w:gridCol w:w="109"/>
        <w:gridCol w:w="109"/>
        <w:gridCol w:w="109"/>
        <w:gridCol w:w="109"/>
        <w:gridCol w:w="230"/>
        <w:gridCol w:w="759"/>
        <w:gridCol w:w="182"/>
      </w:tblGrid>
      <w:tr>
        <w:trPr/>
        <w:tc>
          <w:tcPr>
            <w:tcW w:w="104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54,728 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50,309 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6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fee revenues from external 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49,495 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46,372 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6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Expenditures for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5. INVESTMENTS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investments consist of the following (in thousands):</w:t>
      </w:r>
    </w:p>
    <w:tbl>
      <w:tblPr>
        <w:tblW w:w="6626" w:type="dxa"/>
        <w:jc w:val="left"/>
        <w:tblInd w:w="0" w:type="dxa"/>
        <w:tblLayout w:type="fixed"/>
        <w:tblCellMar>
          <w:top w:w="28" w:type="dxa"/>
          <w:left w:w="28" w:type="dxa"/>
          <w:bottom w:w="28" w:type="dxa"/>
          <w:right w:w="28" w:type="dxa"/>
        </w:tblCellMar>
      </w:tblPr>
      <w:tblGrid>
        <w:gridCol w:w="1315"/>
        <w:gridCol w:w="1156"/>
        <w:gridCol w:w="1158"/>
        <w:gridCol w:w="232"/>
        <w:gridCol w:w="764"/>
        <w:gridCol w:w="129"/>
        <w:gridCol w:w="109"/>
        <w:gridCol w:w="109"/>
        <w:gridCol w:w="109"/>
        <w:gridCol w:w="304"/>
        <w:gridCol w:w="1002"/>
        <w:gridCol w:w="239"/>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December 31, 2025</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under measurement alternative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38,107 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41,433 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at Fair Value</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carried at fair value are presented in the table below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tbl>
      <w:tblPr>
        <w:tblW w:w="7876" w:type="dxa"/>
        <w:jc w:val="left"/>
        <w:tblInd w:w="0" w:type="dxa"/>
        <w:tblLayout w:type="fixed"/>
        <w:tblCellMar>
          <w:top w:w="28" w:type="dxa"/>
          <w:left w:w="28" w:type="dxa"/>
          <w:bottom w:w="28" w:type="dxa"/>
          <w:right w:w="28" w:type="dxa"/>
        </w:tblCellMar>
      </w:tblPr>
      <w:tblGrid>
        <w:gridCol w:w="996"/>
        <w:gridCol w:w="879"/>
        <w:gridCol w:w="884"/>
        <w:gridCol w:w="109"/>
        <w:gridCol w:w="109"/>
        <w:gridCol w:w="109"/>
        <w:gridCol w:w="196"/>
        <w:gridCol w:w="646"/>
        <w:gridCol w:w="109"/>
        <w:gridCol w:w="109"/>
        <w:gridCol w:w="109"/>
        <w:gridCol w:w="109"/>
        <w:gridCol w:w="211"/>
        <w:gridCol w:w="601"/>
        <w:gridCol w:w="119"/>
        <w:gridCol w:w="109"/>
        <w:gridCol w:w="109"/>
        <w:gridCol w:w="109"/>
        <w:gridCol w:w="246"/>
        <w:gridCol w:w="547"/>
        <w:gridCol w:w="138"/>
        <w:gridCol w:w="109"/>
        <w:gridCol w:w="109"/>
        <w:gridCol w:w="109"/>
        <w:gridCol w:w="196"/>
        <w:gridCol w:w="646"/>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w:t>
              <w:br/>
              <w:t>Fair</w:t>
              <w:br/>
              <w:t>Value</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carried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Exchange-traded bond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carried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Investments Under Measurement Alternative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investments below represent equity interests in private companies without readily determinable fair values. The Company has elected to apply the measurement alternative of cost minus impairment, if any, adjusted for any observable price changes in orderly transactions for these investments. The acquisition cost of WEBs Investments Inc. ("WEBs") is allocated using the relative fair value method between preferred stock and a call option.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 Vista Bancshares, Inc. was acquired by a third party, National Bank Holdings Corporation ("NBHC"). Following this acquisition we recognized a gain of approximately $2.0 million upon liquidation of NBHC stock.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 impairments of these investments were recorded during the three and six months ended June 30, 2026 or June 30, 2025. Balances are shown below (in thousands):</w:t>
      </w:r>
    </w:p>
    <w:tbl>
      <w:tblPr>
        <w:tblW w:w="6531" w:type="dxa"/>
        <w:jc w:val="left"/>
        <w:tblInd w:w="0" w:type="dxa"/>
        <w:tblLayout w:type="fixed"/>
        <w:tblCellMar>
          <w:top w:w="28" w:type="dxa"/>
          <w:left w:w="28" w:type="dxa"/>
          <w:bottom w:w="28" w:type="dxa"/>
          <w:right w:w="28" w:type="dxa"/>
        </w:tblCellMar>
      </w:tblPr>
      <w:tblGrid>
        <w:gridCol w:w="1286"/>
        <w:gridCol w:w="1131"/>
        <w:gridCol w:w="1137"/>
        <w:gridCol w:w="196"/>
        <w:gridCol w:w="646"/>
        <w:gridCol w:w="109"/>
        <w:gridCol w:w="109"/>
        <w:gridCol w:w="109"/>
        <w:gridCol w:w="109"/>
        <w:gridCol w:w="318"/>
        <w:gridCol w:w="1050"/>
        <w:gridCol w:w="177"/>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Investment:</w:t>
            </w:r>
          </w:p>
        </w:tc>
        <w:tc>
          <w:tcPr>
            <w:tcW w:w="12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InvestCloud,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Vista Bancshares, Inc.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 - preferred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WEBs - call option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TXSE Group, Inc.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Ridgeline, Inc.</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 under measurement alternative</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15,697 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Equity Method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investments represent ownership interests in non-controlled partnerships and are measured based on our share of the net earnings or losses of the investee. Investment balances are included in “Equity method investments” on our Condensed Consolidated Balance Sheets and income and expenses are included in our Condensed Consolidated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of Operations under "Other income (expense)." Balances are shown below (in thousands):</w:t>
      </w:r>
    </w:p>
    <w:tbl>
      <w:tblPr>
        <w:tblW w:w="7898" w:type="dxa"/>
        <w:jc w:val="left"/>
        <w:tblInd w:w="0" w:type="dxa"/>
        <w:tblLayout w:type="fixed"/>
        <w:tblCellMar>
          <w:top w:w="28" w:type="dxa"/>
          <w:left w:w="28" w:type="dxa"/>
          <w:bottom w:w="28" w:type="dxa"/>
          <w:right w:w="28" w:type="dxa"/>
        </w:tblCellMar>
      </w:tblPr>
      <w:tblGrid>
        <w:gridCol w:w="1088"/>
        <w:gridCol w:w="960"/>
        <w:gridCol w:w="966"/>
        <w:gridCol w:w="287"/>
        <w:gridCol w:w="814"/>
        <w:gridCol w:w="159"/>
        <w:gridCol w:w="233"/>
        <w:gridCol w:w="233"/>
        <w:gridCol w:w="521"/>
        <w:gridCol w:w="109"/>
        <w:gridCol w:w="109"/>
        <w:gridCol w:w="109"/>
        <w:gridCol w:w="286"/>
        <w:gridCol w:w="815"/>
        <w:gridCol w:w="159"/>
        <w:gridCol w:w="233"/>
        <w:gridCol w:w="233"/>
        <w:gridCol w:w="584"/>
      </w:tblGrid>
      <w:tr>
        <w:trPr/>
        <w:tc>
          <w:tcPr>
            <w:tcW w:w="1088"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9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Ownership</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Zarvona Energy Fund GP, L.P.</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Zarvona Energy Fund II-A, L.P.</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Salient MLP Total Return Fund, L.P.</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Salient MLP Total Return TE Fund, L.P.</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4,303 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6. FAIR VALUE MEASUREMENTS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ASC 820 defines fair value, establishes a framework for measuring fair value and requires disclosures regarding certain fair value measurements. ASC 820 establishes a three-tier hierarchy for measuring fair value, as follows: </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Level 1 – quoted market prices in active markets for identical assets</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Level 2 – inputs other than quoted prices that are directly or indirectly observable</w:t>
      </w:r>
    </w:p>
    <w:p>
      <w:pPr>
        <w:pStyle w:val="TextBody"/>
        <w:bidi w:val="0"/>
        <w:spacing w:lineRule="auto" w:line="288" w:before="120" w:after="283"/>
        <w:ind w:left="0" w:right="0" w:hanging="630"/>
        <w:jc w:val="left"/>
        <w:rPr/>
      </w:pPr>
      <w:r>
        <w:rPr>
          <w:color w:val="000000"/>
        </w:rPr>
        <w:t>•</w:t>
      </w:r>
      <w:r>
        <w:rPr>
          <w:rFonts w:ascii="Times New Roman;serif" w:hAnsi="Times New Roman;serif"/>
          <w:b w:val="false"/>
          <w:color w:val="000000"/>
          <w:sz w:val="20"/>
        </w:rPr>
        <w:t>Level 3 – significant unobservable inputs where there is little or no market activity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investments under measurement alternative are excluded from the recurring fair value table shown below because we have elected to apply the measurement alternative for those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assets measured at fair value on a recurring basis, as of the dates indicated, within the fair value hierarchy (in thousands):</w:t>
      </w:r>
    </w:p>
    <w:tbl>
      <w:tblPr>
        <w:tblW w:w="10205" w:type="dxa"/>
        <w:jc w:val="left"/>
        <w:tblInd w:w="0" w:type="dxa"/>
        <w:tblLayout w:type="fixed"/>
        <w:tblCellMar>
          <w:top w:w="28" w:type="dxa"/>
          <w:left w:w="28" w:type="dxa"/>
          <w:bottom w:w="28" w:type="dxa"/>
          <w:right w:w="28" w:type="dxa"/>
        </w:tblCellMar>
      </w:tblPr>
      <w:tblGrid>
        <w:gridCol w:w="931"/>
        <w:gridCol w:w="574"/>
        <w:gridCol w:w="550"/>
        <w:gridCol w:w="247"/>
        <w:gridCol w:w="816"/>
        <w:gridCol w:w="137"/>
        <w:gridCol w:w="137"/>
        <w:gridCol w:w="137"/>
        <w:gridCol w:w="137"/>
        <w:gridCol w:w="247"/>
        <w:gridCol w:w="532"/>
        <w:gridCol w:w="137"/>
        <w:gridCol w:w="137"/>
        <w:gridCol w:w="137"/>
        <w:gridCol w:w="137"/>
        <w:gridCol w:w="247"/>
        <w:gridCol w:w="513"/>
        <w:gridCol w:w="137"/>
        <w:gridCol w:w="137"/>
        <w:gridCol w:w="137"/>
        <w:gridCol w:w="137"/>
        <w:gridCol w:w="504"/>
        <w:gridCol w:w="1431"/>
        <w:gridCol w:w="282"/>
        <w:gridCol w:w="137"/>
        <w:gridCol w:w="137"/>
        <w:gridCol w:w="137"/>
        <w:gridCol w:w="247"/>
        <w:gridCol w:w="816"/>
        <w:gridCol w:w="213"/>
      </w:tblGrid>
      <w:tr>
        <w:trPr/>
        <w:tc>
          <w:tcPr>
            <w:tcW w:w="93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Investments Measured at NAV</w:t>
            </w:r>
            <w:r>
              <w:rPr>
                <w:color w:val="000000"/>
              </w:rPr>
              <w:t xml:space="preserve"> </w:t>
            </w:r>
            <w:r>
              <w:rPr>
                <w:rFonts w:ascii="Times New Roman;serif" w:hAnsi="Times New Roman;serif"/>
                <w:b w:val="false"/>
                <w:color w:val="000000"/>
                <w:sz w:val="12"/>
              </w:rPr>
              <w:t>(1)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11,851 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7,583 </w:t>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19,607 </w:t>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17,887 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investment funds</w:t>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measured at fair value</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3,546 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21,433 </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(1) Comprised of certain investments measured at fair value using NAV as a practical expedient. The fair value amounts presented in this table are intended to permit reconciliation of the fair value hierarchy to the amounts presented on our Condensed Consolidated Balance Sheets. </w:t>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Level 3 liabilities, related to earn-outs from our 2022 acquisition of the asset management business of Salient Partners, L.P., measured at fair value on a recurring basis for the periods presented (in thousands):</w:t>
      </w:r>
    </w:p>
    <w:tbl>
      <w:tblPr>
        <w:tblW w:w="6575" w:type="dxa"/>
        <w:jc w:val="left"/>
        <w:tblInd w:w="0" w:type="dxa"/>
        <w:tblLayout w:type="fixed"/>
        <w:tblCellMar>
          <w:top w:w="28" w:type="dxa"/>
          <w:left w:w="28" w:type="dxa"/>
          <w:bottom w:w="28" w:type="dxa"/>
          <w:right w:w="28" w:type="dxa"/>
        </w:tblCellMar>
      </w:tblPr>
      <w:tblGrid>
        <w:gridCol w:w="553"/>
        <w:gridCol w:w="487"/>
        <w:gridCol w:w="489"/>
        <w:gridCol w:w="274"/>
        <w:gridCol w:w="567"/>
        <w:gridCol w:w="152"/>
        <w:gridCol w:w="152"/>
        <w:gridCol w:w="152"/>
        <w:gridCol w:w="152"/>
        <w:gridCol w:w="274"/>
        <w:gridCol w:w="567"/>
        <w:gridCol w:w="152"/>
        <w:gridCol w:w="109"/>
        <w:gridCol w:w="109"/>
        <w:gridCol w:w="109"/>
        <w:gridCol w:w="236"/>
        <w:gridCol w:w="455"/>
        <w:gridCol w:w="122"/>
        <w:gridCol w:w="122"/>
        <w:gridCol w:w="122"/>
        <w:gridCol w:w="122"/>
        <w:gridCol w:w="236"/>
        <w:gridCol w:w="690"/>
        <w:gridCol w:w="172"/>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053" w:type="dxa"/>
            <w:gridSpan w:val="18"/>
            <w:tcBorders/>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Beginning balance</w:t>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(4,657)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Ending balance</w:t>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4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final measurement date of the growth earn-out was in 2025 and the final payment for the revenue retention earn-out was made in the first quarter of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222222"/>
          <w:sz w:val="20"/>
        </w:rPr>
      </w:pPr>
      <w:r>
        <w:rPr>
          <w:rFonts w:ascii="Times New Roman;serif" w:hAnsi="Times New Roman;serif"/>
          <w:b/>
          <w:color w:val="222222"/>
          <w:sz w:val="20"/>
        </w:rPr>
        <w:t>7. INCOME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effective income tax rate differed from the 21% statutory rate for the three and six months ended June 30, 2026 and June 30, 2025 due to permanent differences related to Internal Revenue Code Section 162(m) limitations on compensation deductions and the impact of state and local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8. EARNINGS PER SHARE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common share is computed by dividing income attributable to Westwood Holdings Group, Inc.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anti-dilutive restricted shares outstanding for the three months ended June 30, 2026 and June 30, 2025, respectively. There were approximately 5,400 and 10,000 anti-dilutive restricted shares outstanding for the six months ended June 30, 2026 and June 30,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(in thousands, except per share and share amounts):</w:t>
      </w:r>
    </w:p>
    <w:tbl>
      <w:tblPr>
        <w:tblW w:w="9799" w:type="dxa"/>
        <w:jc w:val="left"/>
        <w:tblInd w:w="0" w:type="dxa"/>
        <w:tblLayout w:type="fixed"/>
        <w:tblCellMar>
          <w:top w:w="28" w:type="dxa"/>
          <w:left w:w="28" w:type="dxa"/>
          <w:bottom w:w="28" w:type="dxa"/>
          <w:right w:w="28" w:type="dxa"/>
        </w:tblCellMar>
      </w:tblPr>
      <w:tblGrid>
        <w:gridCol w:w="1585"/>
        <w:gridCol w:w="1395"/>
        <w:gridCol w:w="1399"/>
        <w:gridCol w:w="109"/>
        <w:gridCol w:w="233"/>
        <w:gridCol w:w="663"/>
        <w:gridCol w:w="130"/>
        <w:gridCol w:w="130"/>
        <w:gridCol w:w="130"/>
        <w:gridCol w:w="130"/>
        <w:gridCol w:w="233"/>
        <w:gridCol w:w="663"/>
        <w:gridCol w:w="130"/>
        <w:gridCol w:w="109"/>
        <w:gridCol w:w="109"/>
        <w:gridCol w:w="109"/>
        <w:gridCol w:w="249"/>
        <w:gridCol w:w="727"/>
        <w:gridCol w:w="109"/>
        <w:gridCol w:w="109"/>
        <w:gridCol w:w="109"/>
        <w:gridCol w:w="109"/>
        <w:gridCol w:w="249"/>
        <w:gridCol w:w="727"/>
        <w:gridCol w:w="154"/>
      </w:tblGrid>
      <w:tr>
        <w:trPr/>
        <w:tc>
          <w:tcPr>
            <w:tcW w:w="158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Six Months Ended June 30,</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2025</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8,644,321 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8,404,859 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8,571,739 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8,329,803 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Dilutive potential shares from unvested restricted shares</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435,650 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489,611 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468,289 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9,079,971 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8,813,606 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9,061,350 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8,798,092 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9. GOODWILL AND OTHER INTANGIBLE ASSETS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represents the excess of the cost of acquired assets over the fair value of the underlying liabilities assumed at the date of acquisition. Goodwill balances were as follows (in thousands):</w:t>
      </w:r>
    </w:p>
    <w:tbl>
      <w:tblPr>
        <w:tblW w:w="6295" w:type="dxa"/>
        <w:jc w:val="left"/>
        <w:tblInd w:w="0" w:type="dxa"/>
        <w:tblLayout w:type="fixed"/>
        <w:tblCellMar>
          <w:top w:w="28" w:type="dxa"/>
          <w:left w:w="28" w:type="dxa"/>
          <w:bottom w:w="28" w:type="dxa"/>
          <w:right w:w="28" w:type="dxa"/>
        </w:tblCellMar>
      </w:tblPr>
      <w:tblGrid>
        <w:gridCol w:w="565"/>
        <w:gridCol w:w="495"/>
        <w:gridCol w:w="500"/>
        <w:gridCol w:w="109"/>
        <w:gridCol w:w="109"/>
        <w:gridCol w:w="109"/>
        <w:gridCol w:w="256"/>
        <w:gridCol w:w="846"/>
        <w:gridCol w:w="142"/>
        <w:gridCol w:w="109"/>
        <w:gridCol w:w="109"/>
        <w:gridCol w:w="109"/>
        <w:gridCol w:w="312"/>
        <w:gridCol w:w="1029"/>
        <w:gridCol w:w="173"/>
        <w:gridCol w:w="109"/>
        <w:gridCol w:w="109"/>
        <w:gridCol w:w="109"/>
        <w:gridCol w:w="196"/>
        <w:gridCol w:w="646"/>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Trust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Advisory 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Goodwill is not amortized but is reviewed for impairment annually, or between annual assessments if a triggering event occurs or circumstances change that would more likely than not result in the fair value of a reporting unit below its carrying amount. We completed our annual goodwill impairment assessment during the third quarter of 2025 and determined that no impairment loss was required. No goodwill impairments were recorded during the three and six months ended June 30, 2026 or June 30,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intangible assets represent the acquisition date fair value of acquired client relationships, trade names, non-compete agreements and internally developed software and are reflected net of amortization. In valuing these assets, we made significant estimates regarding their useful lives, growth rates and potential attrition. We periodically review intangible assets for events or circumstances that would indicate impairment. No intangible asset impairments were recorded during the three and six months ended June 30, 2026 or June 30,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expense, which is included in “General and administrative” expense on our Condensed Consolidated Statements of Operations, was $0.6 million and $1.0 million for the three months ended June 30, 2026 and June 30, 2025, respectively, and $1.4 million and $2.1 million for the six months ended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222222"/>
          <w:sz w:val="20"/>
        </w:rPr>
      </w:pPr>
      <w:r>
        <w:rPr>
          <w:rFonts w:ascii="Times New Roman;serif" w:hAnsi="Times New Roman;serif"/>
          <w:b/>
          <w:color w:val="222222"/>
          <w:sz w:val="20"/>
        </w:rPr>
        <w:t>10. LEASES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there have been no material changes outside the ordinary course of business to our leases since December 31, 2025. For information regarding our leases, refer to Note 12 “Leases” in Part IV, Item 15. “Exhibits, Financial Statement Schedules”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11. STOCKHOLDERS' EQUITY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Share Repurchase Program</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shares up to a value of $5.5 million may yet be repurchased under our plan.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did not repurchase any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12. VARIABLE INTEREST ENTITIES </w:t>
      </w:r>
    </w:p>
    <w:p>
      <w:pPr>
        <w:pStyle w:val="TextBody"/>
        <w:bidi w:val="0"/>
        <w:spacing w:lineRule="auto" w:line="288" w:before="120" w:after="283"/>
        <w:ind w:left="0" w:right="0" w:firstLine="540"/>
        <w:jc w:val="left"/>
        <w:rPr/>
      </w:pPr>
      <w:r>
        <w:rPr>
          <w:rFonts w:ascii="Times New Roman;serif" w:hAnsi="Times New Roman;serif"/>
          <w:b w:val="false"/>
          <w:color w:val="000000"/>
          <w:sz w:val="20"/>
        </w:rPr>
        <w:t>We evaluated (i) our relationship as sponsor of the CTFs and managing member of the private equity funds Westwood Hospitality, Westwood Technology Opportunities Fund I, LP, Westwood Energy Secondaries Fund I, Westwood Energy Secondaries Fund II, Westwood Energy Secondaries Co-Invest Fund II, Westwood Energy Secondaries Co-Invest Fund III and Westwood Energy Secondaries Co-Invest IV Fund (collectively the “Private Funds”), (ii) our advisory relationships with the Westwood Funds® and (iii) our investments in InvestCloud Inc. ("InvestCloud"), Vista Bancshares, Inc. ("Vista"), Zarvona Energy Fund GP, Zarvona Energy Fund II-A, WEBs Investments Inc. ("WEBs") and the TXSE Group Inc. ("TXSE") as discussed in Note 5</w:t>
      </w:r>
      <w:r>
        <w:rPr>
          <w:color w:val="222222"/>
        </w:rPr>
        <w:t xml:space="preserve"> “</w:t>
      </w:r>
      <w:r>
        <w:rPr>
          <w:rFonts w:ascii="Times New Roman;serif" w:hAnsi="Times New Roman;serif"/>
          <w:b w:val="false"/>
          <w:color w:val="222222"/>
          <w:sz w:val="20"/>
        </w:rPr>
        <w:t>Investments”</w:t>
      </w:r>
      <w:r>
        <w:rPr>
          <w:color w:val="000000"/>
        </w:rPr>
        <w:t xml:space="preserve"> </w:t>
      </w:r>
      <w:r>
        <w:rPr>
          <w:rFonts w:ascii="Times New Roman;serif" w:hAnsi="Times New Roman;serif"/>
          <w:b w:val="false"/>
          <w:color w:val="000000"/>
          <w:sz w:val="20"/>
        </w:rPr>
        <w:t>to determine whether each of these entities is a variable interest entity ("VIE") or voting ownership entity (“VOE”).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analyses, we determined that the CTFs, Private Funds, Zarvona Energy Fund II-A and WEBs were VIEs, as the at-risk equity holders do not have the ability to direct the activities that most significantly impact the entities' economic performance, and, while the Company and its representatives have a majority control of the entities' respective boards of directors and can influence the respective entities' management and affairs, the Company is not exposed to a majority of the economics of those entities and does not qualify as primary beneficiaries for those entities.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our analyses, we determined the Westwood Funds®, InvestCloud, Vista, Zarvona Energy Fund GP and TXSE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 and are VOEs. For the Westwood VOEs, we evaluated whether or not we own a controlling financial interest in the entities, and we concluded that we do not. Based on our analyses, we have not consolidated the Westwood VIEs or Westwood VOEs for the periods ending June 30, 2026 and December 31,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not otherwise provided any financial support that we were not previously contractually obligated to provide and there are no arrangements that would require us to provide additional financial support to any of these entities. Our seed investments in the Westwood Funds® are accounted for as investments in accordance with our other investments described in Note 5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recognized fee revenue from the Westwood VIEs and Westwood VOEs as follows (in millions):</w:t>
      </w:r>
    </w:p>
    <w:tbl>
      <w:tblPr>
        <w:tblW w:w="6812" w:type="dxa"/>
        <w:jc w:val="left"/>
        <w:tblInd w:w="0" w:type="dxa"/>
        <w:tblLayout w:type="fixed"/>
        <w:tblCellMar>
          <w:top w:w="28" w:type="dxa"/>
          <w:left w:w="28" w:type="dxa"/>
          <w:bottom w:w="28" w:type="dxa"/>
          <w:right w:w="28" w:type="dxa"/>
        </w:tblCellMar>
      </w:tblPr>
      <w:tblGrid>
        <w:gridCol w:w="418"/>
        <w:gridCol w:w="367"/>
        <w:gridCol w:w="370"/>
        <w:gridCol w:w="332"/>
        <w:gridCol w:w="638"/>
        <w:gridCol w:w="185"/>
        <w:gridCol w:w="113"/>
        <w:gridCol w:w="113"/>
        <w:gridCol w:w="113"/>
        <w:gridCol w:w="332"/>
        <w:gridCol w:w="638"/>
        <w:gridCol w:w="185"/>
        <w:gridCol w:w="109"/>
        <w:gridCol w:w="109"/>
        <w:gridCol w:w="109"/>
        <w:gridCol w:w="293"/>
        <w:gridCol w:w="710"/>
        <w:gridCol w:w="151"/>
        <w:gridCol w:w="109"/>
        <w:gridCol w:w="109"/>
        <w:gridCol w:w="109"/>
        <w:gridCol w:w="289"/>
        <w:gridCol w:w="700"/>
        <w:gridCol w:w="211"/>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Fee Revenues</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WESTWOOD HOLDINGS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 (Continued), (Unaudited)</w:t>
      </w:r>
    </w:p>
    <w:p>
      <w:pPr>
        <w:pStyle w:val="TextBody"/>
        <w:bidi w:val="0"/>
        <w:spacing w:before="0" w:after="0"/>
        <w:jc w:val="center"/>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display the AUM, the amount of our seed investments that are included in “Investments, at fair value” on the Condensed Consolidated Balance Sheets, and the financial risk of loss in each vehicle (in millions):</w:t>
      </w:r>
    </w:p>
    <w:tbl>
      <w:tblPr>
        <w:tblW w:w="6595" w:type="dxa"/>
        <w:jc w:val="left"/>
        <w:tblInd w:w="0" w:type="dxa"/>
        <w:tblLayout w:type="fixed"/>
        <w:tblCellMar>
          <w:top w:w="28" w:type="dxa"/>
          <w:left w:w="28" w:type="dxa"/>
          <w:bottom w:w="28" w:type="dxa"/>
          <w:right w:w="28" w:type="dxa"/>
        </w:tblCellMar>
      </w:tblPr>
      <w:tblGrid>
        <w:gridCol w:w="891"/>
        <w:gridCol w:w="779"/>
        <w:gridCol w:w="789"/>
        <w:gridCol w:w="228"/>
        <w:gridCol w:w="754"/>
        <w:gridCol w:w="129"/>
        <w:gridCol w:w="109"/>
        <w:gridCol w:w="109"/>
        <w:gridCol w:w="109"/>
        <w:gridCol w:w="248"/>
        <w:gridCol w:w="589"/>
        <w:gridCol w:w="139"/>
        <w:gridCol w:w="109"/>
        <w:gridCol w:w="109"/>
        <w:gridCol w:w="109"/>
        <w:gridCol w:w="335"/>
        <w:gridCol w:w="797"/>
        <w:gridCol w:w="263"/>
      </w:tblGrid>
      <w:tr>
        <w:trPr/>
        <w:tc>
          <w:tcPr>
            <w:tcW w:w="89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at Risk</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VIEs/VOEs:</w:t>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Trust Funds</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Funds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Equity</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 assets: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Wealth Management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Institutional</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Under Management</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18" w:type="dxa"/>
        <w:jc w:val="left"/>
        <w:tblInd w:w="0" w:type="dxa"/>
        <w:tblLayout w:type="fixed"/>
        <w:tblCellMar>
          <w:top w:w="28" w:type="dxa"/>
          <w:left w:w="28" w:type="dxa"/>
          <w:bottom w:w="28" w:type="dxa"/>
          <w:right w:w="28" w:type="dxa"/>
        </w:tblCellMar>
      </w:tblPr>
      <w:tblGrid>
        <w:gridCol w:w="679"/>
        <w:gridCol w:w="594"/>
        <w:gridCol w:w="601"/>
        <w:gridCol w:w="109"/>
        <w:gridCol w:w="228"/>
        <w:gridCol w:w="754"/>
        <w:gridCol w:w="129"/>
        <w:gridCol w:w="109"/>
        <w:gridCol w:w="109"/>
        <w:gridCol w:w="109"/>
        <w:gridCol w:w="269"/>
        <w:gridCol w:w="557"/>
        <w:gridCol w:w="150"/>
        <w:gridCol w:w="109"/>
        <w:gridCol w:w="109"/>
        <w:gridCol w:w="109"/>
        <w:gridCol w:w="361"/>
        <w:gridCol w:w="748"/>
        <w:gridCol w:w="285"/>
      </w:tblGrid>
      <w:tr>
        <w:trPr/>
        <w:tc>
          <w:tcPr>
            <w:tcW w:w="6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br/>
              <w:t>Under</w:t>
              <w:br/>
              <w:t>Management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w:t>
              <w:br/>
              <w:t>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at Risk</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VIEs/VOEs: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Funds®</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Trust Funds</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Funds</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assets: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Wealth Management</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Institutional</w:t>
            </w:r>
          </w:p>
        </w:tc>
        <w:tc>
          <w:tcPr>
            <w:tcW w:w="109" w:type="dxa"/>
            <w:tcBorders/>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AUM</w:t>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222222"/>
          <w:sz w:val="20"/>
        </w:rPr>
      </w:pPr>
      <w:r>
        <w:rPr>
          <w:rFonts w:ascii="Times New Roman;serif" w:hAnsi="Times New Roman;serif"/>
          <w:b/>
          <w:color w:val="222222"/>
          <w:sz w:val="20"/>
        </w:rPr>
        <w:t>13. RELATED PARTY TRANSACTIONS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engages in transactions with its affiliates in the ordinary course of business. Westwood Management provides investment advisory services to the Westwood Funds®. Under the terms of the investment advisory agreements, the Company earns quarterly fees paid by clients of the fund or by the funds directly. The fees are based on negotiated fee schedules applied to AUM. For the three and six months ended June 30, 2026 and June 30, 2025, the Company earned immaterial fees from the affiliated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120" w:after="283"/>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Dividend Declared</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August 6, 2026, the Board of Directors declared a quarterly cash dividend of $0.15 per share of common stock payable on October 1, 2026 to stockholders of record on September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Forward-Looking Statements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Statements in this report and our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2025 and those risks set forth below: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composition and market value of our AUM and AUA;</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our fee structure in light of competitive fee pressures;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risks associated with actions of activist stockholders;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distributions to our common stockholders have included and may in the future include a return of capital;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inclusion of foreign company investments in our AUM;</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regulations adversely affecting the financial services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effective cyber security;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litigation risks;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develop and market new investment strategies successfully;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reputation and our relationships with current and potential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attract and retain qualified personnel;</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perform operational tasks;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select and oversee third-party vendors;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dependence on the operations and funds of our subsidiaries;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effective information systems;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prevent misuse of assets and information in the possession of our employees and third-party vendors, which could damage our reputation and result in costly litigation and liability for our clients and us;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stock is thinly traded and may be subject to volatility;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competition in the investment management industry;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avoid termination of client agreements and the related investment redemptions;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the significant concentration of our revenues in a small number of customers;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have made and may continue to make business combinations as a part of our business strategy, which may present certain risks and uncertainties;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relationships with investment consulting firms;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identify and execute on our strategic initiatives;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declare and pay dividends;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fund future capital requirements on favorable terms;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properly address conflicts of interest;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adequate insurance coverage;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our ability to maintain an effective system of internal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You should not unduly rely on these forward-looking statements, which speak only as of the date of this report. We are not obligated and do not undertake an obligation to publicly release any revisions to these forward-looking statements to reflect events or circumstances occurring after the date of this report or to reflect the occurrence of unanticipated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Overview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manage investment assets and provide services for our clients through our subsidiaries, Westwood Management Corp., Westwood Advisors, L.L.C., Salient Advisors, L.P. ("Salient Advisors") and Broadmark Asset Management LLC ("Broadmark"), (each of which is a registered investment adviser ("RIA") registered with the Securities and Exchange Commission ("SEC"), and Salient Capital, L.P., ("SCLP") an SEC-registered broker-dealer and Financial Industry Regulatory Authority ("FINRA") member, collectively referred to hereinafter together as "Westwood Management") and Westwood Trust. Westwood Holdings Group, founded in 1983, through Westwood Management, provides investment advisory services to institutional investors, a family of mutual funds called the Westwood Funds®, other mutual funds, individual investors and clients of Westwood Trust. Westwood Trust, founded as a state-chartered trust company in 1974, provides trust, custodial and investment management services through the use of commingled funds and individual securities to institutions and high net worth individuals.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revenues are generally derived from fees based on a percentage of AUM and AUA, and Westwood Management and Westwood Trust collectively had AUM of approximately $17.0 billion and AUA of approximately $1.0 billion at June 30, 2026. We have established a track record of delivering competitive, risk-adjusted returns for our clients.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With respect to most of our AUM, we utilize a "value" investment style focused on achieving superior long-term, risk-adjusted returns by investing in companies with high levels of free cash flow, improving returns on equity and strengthening balance sheets that are well positioned for growth but whose value is not fully recognized in the marketplace. This investment approach is designed to limit downside during unfavorable periods and provide superior real returns over the long term. Our investment teams have significant industry experience. Our investment team members have an average investment experience of over twenty years.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built a foundation in terms of personnel and infrastructure to support a much larger business and we have developed investment strategies that we believe will be sought after within our target institutional, wealth management and intermediary markets. Developing new products and growing the organization has resulted in our incurring expenses that, in some cases, have not yet generated significant offsetting revenues. We believe that investors will recognize the potential for new revenue streams inherent in these products and services; however, there is no guarantee that they will occur.</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Revenues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derive our revenues from investment advisory fees, trust fees and other revenues. Our advisory fees are generated by Westwood Management, which manages client accounts under investment advisory and sub-advisory agreements. Advisory fees are typically calculated based on a percentage of AUM and AUA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other revenues primarily consist of investment income from seed money investments into new investment strategies.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Employee Compensation and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 costs generally consist of salaries, sales commissions, incentive compensation, stock-based compensation expense and benefits.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Sales and Marketing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Sales and marketing costs relate to our marketing efforts, including travel and entertainment, direct marketing and advertising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Westwood Funds</w:t>
      </w:r>
    </w:p>
    <w:p>
      <w:pPr>
        <w:pStyle w:val="TextBody"/>
        <w:bidi w:val="0"/>
        <w:spacing w:lineRule="auto" w:line="288" w:before="120" w:after="283"/>
        <w:ind w:left="0" w:right="0" w:firstLine="540"/>
        <w:jc w:val="left"/>
        <w:rPr/>
      </w:pPr>
      <w:r>
        <w:rPr>
          <w:rFonts w:ascii="Times New Roman;serif" w:hAnsi="Times New Roman;serif"/>
          <w:b w:val="false"/>
          <w:color w:val="000000"/>
          <w:sz w:val="20"/>
        </w:rPr>
        <w:t>Expenses for Westwood funds relate to our marketing, distribution and administration of the Westwood Funds</w:t>
      </w:r>
      <w:r>
        <w:rPr>
          <w:rFonts w:ascii="Times New Roman;serif" w:hAnsi="Times New Roman;serif"/>
          <w:b/>
          <w:i/>
          <w:color w:val="000000"/>
          <w:sz w:val="20"/>
        </w:rPr>
        <w:t xml:space="preserve">® </w:t>
      </w:r>
      <w:r>
        <w:rPr>
          <w:rFonts w:ascii="Times New Roman;serif" w:hAnsi="Times New Roman;serif"/>
          <w:b w:val="false"/>
          <w:color w:val="000000"/>
          <w:sz w:val="20"/>
        </w:rPr>
        <w:t>mutual funds and Westwood ETFs.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Information Technology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Information technology expenses include costs associated with proprietary investment research tools, maintenance and support, computing hardware, software licenses, telecommunications and other related costs.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Professional Services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Professional services expenses generally consist of costs associated with sub-advisory fees, audit, legal and other professional services.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generally consist of costs associated with the lease of office space, amortization, depreciation, insurance, custody expense, Directors' fees, investor relations, licenses and fees, office supplies and other miscellaneous expenses.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change in unrealized depreciation on private investments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change in unrealized depreciation on private investments includes changes in the value of our privately held investments.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Net Investment Income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investment income primarily includes interest and dividend income on fixed income securities and money market funds.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Other Income (Expense)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Other income (expense) primarily consists of income from the sublease of a portion of our corporate offices.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Firm-wide Assets Under Management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Firm-wide assets under management of $17.9 billion at June 30, 2026 consisted of $17.0 billion of AUM and $1.0 billion of AUA.</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AUM decreased $0.3 billion to $17.0 billion at June 30, 2026 compared with $17.3 billion at June 30, 2025. The average of beginning and ending AUM ("average AUM") for the second quarter of 2026 was $17.1 billion compared to $17.2 billion for the second quarter of 2025.</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displays AUM as of June 30, 2026 and 2025 (in millions): </w:t>
      </w:r>
    </w:p>
    <w:tbl>
      <w:tblPr>
        <w:tblW w:w="5960" w:type="dxa"/>
        <w:jc w:val="left"/>
        <w:tblInd w:w="0" w:type="dxa"/>
        <w:tblLayout w:type="fixed"/>
        <w:tblCellMar>
          <w:top w:w="28" w:type="dxa"/>
          <w:left w:w="28" w:type="dxa"/>
          <w:bottom w:w="28" w:type="dxa"/>
          <w:right w:w="28" w:type="dxa"/>
        </w:tblCellMar>
      </w:tblPr>
      <w:tblGrid>
        <w:gridCol w:w="809"/>
        <w:gridCol w:w="712"/>
        <w:gridCol w:w="713"/>
        <w:gridCol w:w="109"/>
        <w:gridCol w:w="109"/>
        <w:gridCol w:w="109"/>
        <w:gridCol w:w="196"/>
        <w:gridCol w:w="646"/>
        <w:gridCol w:w="109"/>
        <w:gridCol w:w="109"/>
        <w:gridCol w:w="109"/>
        <w:gridCol w:w="109"/>
        <w:gridCol w:w="196"/>
        <w:gridCol w:w="646"/>
        <w:gridCol w:w="109"/>
        <w:gridCol w:w="109"/>
        <w:gridCol w:w="109"/>
        <w:gridCol w:w="109"/>
        <w:gridCol w:w="203"/>
        <w:gridCol w:w="203"/>
        <w:gridCol w:w="437"/>
      </w:tblGrid>
      <w:tr>
        <w:trPr/>
        <w:tc>
          <w:tcPr>
            <w:tcW w:w="8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70" w:type="dxa"/>
            <w:gridSpan w:val="6"/>
            <w:tcBorders/>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Institutional</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Wealth Management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Mutual Funds and ETFs</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4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54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collective investment trusts; and (iv) managed account relationships with brokerage firms and other RIAs that offer Westwood products to their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provides advisory services to high net worth individuals. Investment sub-advisory services are provided for the common trust funds by Westwood Management and unaffiliated sub-advisors. For certain assets in this category Westwood Trust provides limited custodial services for a minimal or no fee, viewing these assets as potentially converting to fee-generating managed assets in the future.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(3)Mutual Funds and ETFs include the Westwood Funds®, a family of mutual funds and Westwood ETFs, for which Westwood Management or Salient Advisors serves as advisor. These funds are available to individual investors, institutional investors and wealth management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Roll-Forward of Assets Under Management </w:t>
      </w:r>
    </w:p>
    <w:p>
      <w:pPr>
        <w:pStyle w:val="TextBody"/>
        <w:bidi w:val="0"/>
        <w:spacing w:lineRule="auto" w:line="288" w:before="0" w:after="0"/>
        <w:jc w:val="left"/>
        <w:rPr>
          <w:color w:val="000000"/>
        </w:rPr>
      </w:pPr>
      <w:r>
        <w:rPr>
          <w:color w:val="000000"/>
        </w:rPr>
        <w:t> </w:t>
      </w:r>
    </w:p>
    <w:tbl>
      <w:tblPr>
        <w:tblW w:w="7594" w:type="dxa"/>
        <w:jc w:val="left"/>
        <w:tblInd w:w="0" w:type="dxa"/>
        <w:tblLayout w:type="fixed"/>
        <w:tblCellMar>
          <w:top w:w="28" w:type="dxa"/>
          <w:left w:w="28" w:type="dxa"/>
          <w:bottom w:w="28" w:type="dxa"/>
          <w:right w:w="28" w:type="dxa"/>
        </w:tblCellMar>
      </w:tblPr>
      <w:tblGrid>
        <w:gridCol w:w="922"/>
        <w:gridCol w:w="812"/>
        <w:gridCol w:w="816"/>
        <w:gridCol w:w="215"/>
        <w:gridCol w:w="708"/>
        <w:gridCol w:w="119"/>
        <w:gridCol w:w="119"/>
        <w:gridCol w:w="119"/>
        <w:gridCol w:w="119"/>
        <w:gridCol w:w="215"/>
        <w:gridCol w:w="708"/>
        <w:gridCol w:w="119"/>
        <w:gridCol w:w="109"/>
        <w:gridCol w:w="109"/>
        <w:gridCol w:w="109"/>
        <w:gridCol w:w="196"/>
        <w:gridCol w:w="647"/>
        <w:gridCol w:w="109"/>
        <w:gridCol w:w="109"/>
        <w:gridCol w:w="109"/>
        <w:gridCol w:w="109"/>
        <w:gridCol w:w="196"/>
        <w:gridCol w:w="647"/>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Institutional</w:t>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Wealth Management</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Mutual Funds and ETFs</w:t>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Total AUM</w:t>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the three months ended June 30, 2025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three months ended June 30, 2026 was due to market appreciation of $1.2 billion offset by net outflows of $1.6 billion. Net outflows were primarily related to our LargeCap Value and SmallCap Value strategies.</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three months ended June 30, 2025 was due to market appreciation of $0.6 billion offset by net outflows of $0.2 billion.</w:t>
      </w:r>
    </w:p>
    <w:p>
      <w:pPr>
        <w:pStyle w:val="TextBody"/>
        <w:bidi w:val="0"/>
        <w:spacing w:lineRule="auto" w:line="288" w:before="120" w:after="60"/>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the six months ended June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change in AUM for the six months ended June 30, 2026 was due to market appreciation of $2.0 billion offset by net outflows of $1.6 billion. Net outflows were primarily related to our LargeCap Value and SmallCap Value strategies.</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$0.7 billion increase in AUM for the six months ended June 30, 2025 was due to net inflows of $0.4 billion and market appreciation of $0.3 billion. Net inflows were primarily related to our SmallCap Value strategy.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Roll-Forward of Assets Under Advisement</w:t>
      </w:r>
    </w:p>
    <w:tbl>
      <w:tblPr>
        <w:tblW w:w="7594" w:type="dxa"/>
        <w:jc w:val="left"/>
        <w:tblInd w:w="0" w:type="dxa"/>
        <w:tblLayout w:type="fixed"/>
        <w:tblCellMar>
          <w:top w:w="28" w:type="dxa"/>
          <w:left w:w="28" w:type="dxa"/>
          <w:bottom w:w="28" w:type="dxa"/>
          <w:right w:w="28" w:type="dxa"/>
        </w:tblCellMar>
      </w:tblPr>
      <w:tblGrid>
        <w:gridCol w:w="921"/>
        <w:gridCol w:w="810"/>
        <w:gridCol w:w="819"/>
        <w:gridCol w:w="269"/>
        <w:gridCol w:w="578"/>
        <w:gridCol w:w="149"/>
        <w:gridCol w:w="149"/>
        <w:gridCol w:w="149"/>
        <w:gridCol w:w="149"/>
        <w:gridCol w:w="269"/>
        <w:gridCol w:w="578"/>
        <w:gridCol w:w="149"/>
        <w:gridCol w:w="109"/>
        <w:gridCol w:w="109"/>
        <w:gridCol w:w="109"/>
        <w:gridCol w:w="245"/>
        <w:gridCol w:w="526"/>
        <w:gridCol w:w="136"/>
        <w:gridCol w:w="136"/>
        <w:gridCol w:w="136"/>
        <w:gridCol w:w="136"/>
        <w:gridCol w:w="245"/>
        <w:gridCol w:w="526"/>
        <w:gridCol w:w="192"/>
      </w:tblGrid>
      <w:tr>
        <w:trPr/>
        <w:tc>
          <w:tcPr>
            <w:tcW w:w="921"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Assets Under Advisement</w:t>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 assets</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Inflows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Outflows</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client flows</w:t>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appreciation (depreciation)</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w:t>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 assets</w:t>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Results of Operations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(dollars in thousands) and discussion of our results of operations are based upon data derived from the Condensed Consolidated Statements of Operations contained in our Condensed Consolidated Financial Statements and should be read in conjunction with those statements included elsewhere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170"/>
        <w:gridCol w:w="915"/>
        <w:gridCol w:w="921"/>
        <w:gridCol w:w="196"/>
        <w:gridCol w:w="646"/>
        <w:gridCol w:w="109"/>
        <w:gridCol w:w="109"/>
        <w:gridCol w:w="109"/>
        <w:gridCol w:w="109"/>
        <w:gridCol w:w="196"/>
        <w:gridCol w:w="646"/>
        <w:gridCol w:w="109"/>
        <w:gridCol w:w="109"/>
        <w:gridCol w:w="109"/>
        <w:gridCol w:w="109"/>
        <w:gridCol w:w="233"/>
        <w:gridCol w:w="236"/>
        <w:gridCol w:w="382"/>
        <w:gridCol w:w="109"/>
        <w:gridCol w:w="109"/>
        <w:gridCol w:w="109"/>
        <w:gridCol w:w="196"/>
        <w:gridCol w:w="646"/>
        <w:gridCol w:w="109"/>
        <w:gridCol w:w="109"/>
        <w:gridCol w:w="109"/>
        <w:gridCol w:w="109"/>
        <w:gridCol w:w="196"/>
        <w:gridCol w:w="646"/>
        <w:gridCol w:w="109"/>
        <w:gridCol w:w="109"/>
        <w:gridCol w:w="109"/>
        <w:gridCol w:w="109"/>
        <w:gridCol w:w="233"/>
        <w:gridCol w:w="236"/>
        <w:gridCol w:w="440"/>
      </w:tblGrid>
      <w:tr>
        <w:trPr/>
        <w:tc>
          <w:tcPr>
            <w:tcW w:w="117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 fees: asset-based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fees: asset-based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Information technology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operating income</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private investments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depreciation on private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before income taxes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attributable to noncontrolling interest</w:t>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8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44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60"/>
        <w:jc w:val="left"/>
        <w:rPr>
          <w:rFonts w:ascii="Times New Roman;serif" w:hAnsi="Times New Roman;serif"/>
          <w:b w:val="false"/>
          <w:color w:val="000000"/>
          <w:sz w:val="16"/>
        </w:rPr>
      </w:pPr>
      <w:r>
        <w:rPr>
          <w:rFonts w:ascii="Times New Roman;serif" w:hAnsi="Times New Roman;serif"/>
          <w:b w:val="false"/>
          <w:color w:val="000000"/>
          <w:sz w:val="16"/>
        </w:rPr>
        <w:t>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NM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Three months ended June 30, 2026 compared to three months ended June 30, 2025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Total revenues</w:t>
      </w:r>
      <w:r>
        <w:rPr>
          <w:rFonts w:ascii="Times New Roman;serif" w:hAnsi="Times New Roman;serif"/>
          <w:b w:val="false"/>
          <w:color w:val="000000"/>
          <w:sz w:val="20"/>
        </w:rPr>
        <w:t>. Total revenues for the three months ended June 30, 2026 were higher than revenues for the three months ended June 30, 2025 due to growth from our ETFs and private energy secondaries funds and gains on our seed money investments.</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for the three months ended June 30, 2026 increased compared to the three months June 30, 2025 primarily due to higher incentive compensation costs and higher costs related to our alternatives investment team.</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Professional services</w:t>
      </w:r>
      <w:r>
        <w:rPr>
          <w:rFonts w:ascii="Times New Roman;serif" w:hAnsi="Times New Roman;serif"/>
          <w:b w:val="false"/>
          <w:color w:val="000000"/>
          <w:sz w:val="20"/>
        </w:rPr>
        <w:t>. Professional services costs for the three months ended June 30, 2026 increased compared to the three months ended June 30, 2025 primarily due to additional consulting and recruiting expenses.</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Income tax provision</w:t>
      </w:r>
      <w:r>
        <w:rPr>
          <w:rFonts w:ascii="Times New Roman;serif" w:hAnsi="Times New Roman;serif"/>
          <w:b w:val="false"/>
          <w:color w:val="000000"/>
          <w:sz w:val="20"/>
        </w:rPr>
        <w:t xml:space="preserve">. Our effective income tax rate differed from the 21% statutory rate for the three months ended June 30, 2026 and June 30, 2025 due to permanent differences related to an Internal Revenue Code Section 162(m) limitation on compensation deductions and the impact of state and local taxes. In addition, a separate expansion of Section 162(m), enacted under prior law and scheduled to take effect in 2027, could further increase our effective tax rate and income tax expense, potentially materially.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Six months ended June 30, 2026 compared to six months ended June 30, 2025 </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Total revenues</w:t>
      </w:r>
      <w:r>
        <w:rPr>
          <w:rFonts w:ascii="Times New Roman;serif" w:hAnsi="Times New Roman;serif"/>
          <w:b w:val="false"/>
          <w:color w:val="000000"/>
          <w:sz w:val="20"/>
        </w:rPr>
        <w:t>. Total revenues for the six months ended June 30, 2026 were higher than revenues for the six months ended June 30, 2025 due to growth from our ETFs and private energy secondaries funds and gains on our seed money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for the six months ended June 30, 2026 increased compared to the six months ended June 30, 2025 primarily due to higher incentive compensation costs and higher costs related to our alternatives investment team.</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Professional services</w:t>
      </w:r>
      <w:r>
        <w:rPr>
          <w:rFonts w:ascii="Times New Roman;serif" w:hAnsi="Times New Roman;serif"/>
          <w:b w:val="false"/>
          <w:color w:val="000000"/>
          <w:sz w:val="20"/>
        </w:rPr>
        <w:t>. Professional services costs for the six months ended June 30, 2026 increased compared to the six months ended June 30, 2025 primarily due to additional consulting, recruiting and legal expenses.</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Realized gains on private investments</w:t>
      </w:r>
      <w:r>
        <w:rPr>
          <w:rFonts w:ascii="Times New Roman;serif" w:hAnsi="Times New Roman;serif"/>
          <w:b w:val="false"/>
          <w:color w:val="000000"/>
          <w:sz w:val="20"/>
        </w:rPr>
        <w:t>. Realized gains on private investments related to our first quarter 2026 sale of NBHC stock.</w:t>
      </w:r>
    </w:p>
    <w:p>
      <w:pPr>
        <w:pStyle w:val="TextBody"/>
        <w:bidi w:val="0"/>
        <w:spacing w:lineRule="auto" w:line="288" w:before="120" w:after="283"/>
        <w:ind w:left="0" w:right="0" w:firstLine="540"/>
        <w:jc w:val="left"/>
        <w:rPr/>
      </w:pPr>
      <w:r>
        <w:rPr>
          <w:rFonts w:ascii="Times New Roman;serif" w:hAnsi="Times New Roman;serif"/>
          <w:b w:val="false"/>
          <w:i/>
          <w:color w:val="000000"/>
          <w:sz w:val="20"/>
        </w:rPr>
        <w:t>Income tax provision</w:t>
      </w:r>
      <w:r>
        <w:rPr>
          <w:rFonts w:ascii="Times New Roman;serif" w:hAnsi="Times New Roman;serif"/>
          <w:b w:val="false"/>
          <w:color w:val="000000"/>
          <w:sz w:val="20"/>
        </w:rPr>
        <w:t>. Our effective income tax rate differed from the 21% statutory rate for the six months ended June 30, 2026 and June 30, 2025 due to permanent differences related to an Internal Revenue Code Section 162(m) limitation on compensation deductions and the impact of state and local taxes. In addition, a separate expansion of Section 162(m), enacted under prior law and scheduled to take effect in 2027, could further increase our effective tax rate and income tax expense, potentially materially.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Supplemental Financial Information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supplemental information, we are providing non-GAAP performance measures that we refer to as Economic Earnings and Economic EPS. We provide these measures in addition to, not as a substitute for, income attributable to Westwood Holdings Group, Inc.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income attributable to Westwood Holdings Group, Inc.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Economic Earnings as income attributable to Westwood Holdings Group, Inc.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tables (in thousands, except share and per share amounts) provide a reconciliation of income attributable to Westwood Holdings Group, Inc. to Economic Earnings and Economic Earnings by segment. We have included the tax impact of adjustments for all periods presented.</w:t>
      </w:r>
    </w:p>
    <w:p>
      <w:pPr>
        <w:pStyle w:val="TextBody"/>
        <w:bidi w:val="0"/>
        <w:spacing w:before="120" w:after="6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86"/>
        <w:gridCol w:w="914"/>
        <w:gridCol w:w="917"/>
        <w:gridCol w:w="233"/>
        <w:gridCol w:w="651"/>
        <w:gridCol w:w="120"/>
        <w:gridCol w:w="120"/>
        <w:gridCol w:w="120"/>
        <w:gridCol w:w="120"/>
        <w:gridCol w:w="233"/>
        <w:gridCol w:w="651"/>
        <w:gridCol w:w="120"/>
        <w:gridCol w:w="109"/>
        <w:gridCol w:w="109"/>
        <w:gridCol w:w="109"/>
        <w:gridCol w:w="201"/>
        <w:gridCol w:w="205"/>
        <w:gridCol w:w="382"/>
        <w:gridCol w:w="109"/>
        <w:gridCol w:w="109"/>
        <w:gridCol w:w="109"/>
        <w:gridCol w:w="204"/>
        <w:gridCol w:w="671"/>
        <w:gridCol w:w="111"/>
        <w:gridCol w:w="111"/>
        <w:gridCol w:w="111"/>
        <w:gridCol w:w="111"/>
        <w:gridCol w:w="227"/>
        <w:gridCol w:w="644"/>
        <w:gridCol w:w="111"/>
        <w:gridCol w:w="109"/>
        <w:gridCol w:w="109"/>
        <w:gridCol w:w="109"/>
        <w:gridCol w:w="201"/>
        <w:gridCol w:w="205"/>
        <w:gridCol w:w="444"/>
      </w:tblGrid>
      <w:tr>
        <w:trPr/>
        <w:tc>
          <w:tcPr>
            <w:tcW w:w="108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attributable to Westwood Holdings Group, Inc.</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3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net income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8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amortization</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0" w:type="dxa"/>
            <w:gridSpan w:val="3"/>
            <w:tcBorders/>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from goodwill amortization</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impacts of adjustments to GAAP income</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 per share</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0.33 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0.60 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8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9,079,971 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8,813,606 </w:t>
            </w:r>
          </w:p>
        </w:tc>
        <w:tc>
          <w:tcPr>
            <w:tcW w:w="1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9,061,350 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8,798,092 </w:t>
            </w:r>
          </w:p>
        </w:tc>
        <w:tc>
          <w:tcPr>
            <w:tcW w:w="1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Economic Earnings by Segment:</w:t>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Advisory</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w:t>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Westwood Holdings</w:t>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2,968 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3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5,815 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2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Liquidity and Capital Resources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Historically we have funded our operations and cash requirements with cash generated from operating activities. We may seek additional sources of cash to fund investments or acquisitions. These additional sources of cash may take the form of debt, and there can be no assurance that financing would be available at all or, if so, on terms that are acceptable to us. We may also use cash from operations to pay dividends to our stockholders, for deferred contingent consideration payments, or for providing seed capital for certain investments. The changes in net cash provided by operating activities generally reflect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had cash and investments of $56.5 million and $63.4 million as of June 30, 2026 and December 31, 2025, respectively.</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cash flow provided by operating activities included net sales of equity investments of $6.1 million and reductions in compensation and benefits payable of $5.4 million. During the six months ended June 30, 2025, cash flow provided by operating activities was $2.4 million, which included net sales of investments of $8.0 million, reductions in compensation and benefits payable of $5.2 million and contingent consideration of $4.4 million following the final payment for the revenue retention earn-out.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flow used in investing activities during the six months ended June 30, 2026 was related to the net purchases of investments, purchases of leasehold improvements and property and equipment, and return of capital from investments. Cash flow used in investing activities during the six months ended June 30, 2025 was related to the purchase of investments and internally developed software.</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Cash flows used in financing activities of $4.2 million for the six months ended June 30, 2026 reflected the payment of dividends and restricted stock returned for the payment of taxes. Cash flows used in financing activities of $4.4 million for the six months ended June 30, 2025 reflected the payment of dividends, restricted stock returned for the payment of taxes and deferred contingent consideration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Westwood Trust is required to maintain cash and investments in an amount equal to the minimum restricted capital of $4.0 million, as required by the Texas Finance Code. Restricted capital is included in "Cash and cash equivalents" and "Investments, at fair value" in the accompanying Condensed Consolidated Balance Sheets. At June 30, 2026, Westwood Trust had approximately $13.7 million in excess of its minimum capital requirement.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2025.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Failure to raise needed capital on attractive terms, if at all, could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Critical and Significant Accounting Policies and Estimates </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or significant accounting policies and estimates since December 31, 2025.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Accounting Developments </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Refer to Note 2 “Summary of Significant Accounting Policies” in our Condensed Consolidated Financial Statements included in Part I, Item 1. “Financial Statements” of this Quarterly Report on Form 10-Q for a description of recently issued accounting guidance.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significant changes in our Quantitative and Qualitative Disclosures about Market Risk from those previously reported in our Annual Report on Form 10-K for the year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there were no changes in our internal controls over financial reporting (as defined in Rule 13a-15(f) under the Exchange Act)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2025 and the risks set forth below.</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the Form 10-K. You should carefully consider the following risks and the risks included in the Company’s Annual Report on Form 10-K,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share repurchase program has no expiration date and may be discontinued at any time by the Board of Directors. During the three months ended June 30, 2026, the Company did not repurchase any shares of our common stock.</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120" w:after="283"/>
        <w:ind w:left="0" w:right="0" w:hanging="189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quarter ended June 30, 2026, none of our directors or officers (as defined in Rule 16a-1(f) of the Securities Exchange Act of 1934) adopted, terminated or modified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184"/>
        <w:gridCol w:w="162"/>
        <w:gridCol w:w="166"/>
        <w:gridCol w:w="109"/>
        <w:gridCol w:w="109"/>
        <w:gridCol w:w="109"/>
        <w:gridCol w:w="2851"/>
        <w:gridCol w:w="2698"/>
        <w:gridCol w:w="3817"/>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rPr>
                <w:t>Securities Purchase Agreement by and among Westwood Holdings Group, Inc., McCarthy Group Advisors, LLC, MGA Holdings, LLC, and The Members of MGA Holdings, LLC (incorporated by reference from the Form 10-K filed with the SEC on February 28, 2013)</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rPr>
                <w:t>Reorganization Agreement and Agreement and Plan of Merger dated as of January 15, 2015 by and among Westwood Holdings Group, Inc., Westwood Trust, Woodway Financial Advisors, A Trust Company and the Shareholders of Woodway Financial Advisors, A Trust Company (incorporated by reference from the Form 8-K filed with the SEC on January 16, 2015)</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rPr>
                <w:t>Purchase Agreement, dated May 25, 2022, by and among Westwood Holdings Group, Inc., Salient Capital Management, LLC, Salient Partners, L.P. and the other Seller parties identified on Annex I (incorporated by reference from the Form 8-K filed with the SEC on May 26, 2022)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rPr>
                <w:t>Amended and Restated Certificate of Incorporation of Westwood Holdings Group, Inc. (incorporated by reference from the Form S-8 filed with the SEC on September 28, 2022)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rPr>
                <w:t>Certificate of Amendment to Certificate of Formation of Westwood Holdings Group, Inc. (incorporated by reference to the Form 8-K filed with the SEC on December 2, 2024)</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rPr>
                <w:t>Amended and Restated Bylaws of Westwood Holdings Group, Inc. (incorporated by reference from the Form 8-K filed with the SEC on November 2, 2021)</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rPr>
                <w:t>Form of Common Stock Certificate of Westwood Holdings Group, Inc. (incorporated by reference from Amendment No. 2 to Registration Statement on Form 10/A filed with the SEC on April 30, 2002)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xhibit311.htm">
              <w:r>
                <w:rPr>
                  <w:rStyle w:val="InternetLink"/>
                  <w:rFonts w:ascii="Times New Roman;serif" w:hAnsi="Times New Roman;serif"/>
                  <w:b w:val="false"/>
                  <w:color w:val="0000FF"/>
                  <w:sz w:val="20"/>
                </w:rPr>
                <w:t>Certification of Chief Executive Officer Pursuant to Securities Exchange Act Rule 13a-14(a)</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xhibit312.htm">
              <w:r>
                <w:rPr>
                  <w:rStyle w:val="InternetLink"/>
                  <w:rFonts w:ascii="Times New Roman;serif" w:hAnsi="Times New Roman;serif"/>
                  <w:b w:val="false"/>
                  <w:color w:val="0000FF"/>
                  <w:sz w:val="20"/>
                </w:rPr>
                <w:t>Certification of Chief Financial Officer Pursuant to Securities Exchange Act Rule 13a-14(a)</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xhibit321.htm">
              <w:r>
                <w:rPr>
                  <w:rStyle w:val="InternetLink"/>
                  <w:rFonts w:ascii="Times New Roman;serif" w:hAnsi="Times New Roman;serif"/>
                  <w:b w:val="false"/>
                  <w:color w:val="0000FF"/>
                  <w:sz w:val="20"/>
                </w:rPr>
                <w:t>Certification of Chief Executive Officer Pursuant to 18 U.S.C. Section 1350, as Adopted Pursuant to Section 906 of the Sarbanes-Oxley Act of 2002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xhibit322.htm">
              <w:r>
                <w:rPr>
                  <w:rStyle w:val="InternetLink"/>
                  <w:rFonts w:ascii="Times New Roman;serif" w:hAnsi="Times New Roman;serif"/>
                  <w:b w:val="false"/>
                  <w:color w:val="0000FF"/>
                  <w:sz w:val="20"/>
                </w:rPr>
                <w:t>Certification of Chief Financial Officer Pursuant to 18 U.S.C. Section 1350, as Adopted Pursuant to Section 906 of the Sarbanes-Oxley Act of 2002</w:t>
              </w:r>
            </w:hyperlink>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Westwood Holdings Group, Inc.'s Quarterly Report on Form 10-Q for the period ended June 30, 2026, formatted in Inline eXtensible Business Reporting Language (iXBRL): (i) Condensed Consolidated Balance Sheets as of June 30, 2026 and December 31, 2025; (ii) Condensed Consolidated Statements of Operations for the three and six months ended June 30, 2026 and 2025; (iii) Condensed Consolidated Statements of Stockholders' Equity; (iv) Condensed Consolidated Statements of Cash Flows for the six months ended June 30, 2026 and 2025; and (v) Notes to the Condensed Consolidated Financial Statements.</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iXBRL and contained in Exhibit 101)</w:t>
            </w:r>
          </w:p>
        </w:tc>
      </w:tr>
      <w:tr>
        <w:trPr/>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hanging="90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0"/>
        <w:ind w:left="0" w:right="0" w:hanging="9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SIGNATURES </w:t>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283"/>
        <w:ind w:left="0" w:right="0" w:firstLine="540"/>
        <w:jc w:val="left"/>
        <w:rPr/>
      </w:pPr>
      <w:r>
        <w:rPr/>
      </w:r>
    </w:p>
    <w:p>
      <w:pPr>
        <w:pStyle w:val="TextBody"/>
        <w:bidi w:val="0"/>
        <w:spacing w:lineRule="auto" w:line="288" w:before="0" w:after="0"/>
        <w:jc w:val="left"/>
        <w:rPr>
          <w:color w:val="000000"/>
        </w:rPr>
      </w:pPr>
      <w:r>
        <w:rPr>
          <w:color w:val="000000"/>
        </w:rPr>
        <w:t> </w:t>
      </w:r>
    </w:p>
    <w:tbl>
      <w:tblPr>
        <w:tblW w:w="7318"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360"/>
        <w:gridCol w:w="360"/>
        <w:gridCol w:w="360"/>
        <w:gridCol w:w="360"/>
        <w:gridCol w:w="360"/>
        <w:gridCol w:w="360"/>
        <w:gridCol w:w="904"/>
        <w:gridCol w:w="904"/>
        <w:gridCol w:w="1341"/>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530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WESTWOOD HOLDINGS GROUP,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O. Casey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Murray Forbes III</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Exhibit 31.1</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CERTIFICATION OF CHIEF EXECUTIVE OFFICER</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EXCHANGE ACT RULES 13a-14(a)</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Brian O. Casey,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Dated: August 6, 2026</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O. Casey</w:t>
            </w:r>
          </w:p>
        </w:tc>
      </w:tr>
      <w:tr>
        <w:trPr/>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60" w:after="283"/>
        <w:jc w:val="righ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60" w:after="283"/>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CERTIFICATION OF CHIEF FINANCIAL OFFICER</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PURSUANT TO</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EXCHANGE ACT RULES 13a-14(a)</w:t>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I, Murray Forbes III, certify that:</w:t>
      </w:r>
    </w:p>
    <w:p>
      <w:pPr>
        <w:pStyle w:val="TextBody"/>
        <w:bidi w:val="0"/>
        <w:spacing w:before="120" w:after="283"/>
        <w:jc w:val="left"/>
        <w:rPr/>
      </w:pPr>
      <w:r>
        <w:rPr/>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 have reviewed this report on Form 10-Q of Westwood Holdings Group, Inc.;</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r>
    </w:p>
    <w:tbl>
      <w:tblPr>
        <w:tblW w:w="2819" w:type="dxa"/>
        <w:jc w:val="left"/>
        <w:tblInd w:w="0" w:type="dxa"/>
        <w:tblLayout w:type="fixed"/>
        <w:tblCellMar>
          <w:top w:w="28" w:type="dxa"/>
          <w:left w:w="28" w:type="dxa"/>
          <w:bottom w:w="28" w:type="dxa"/>
          <w:right w:w="28" w:type="dxa"/>
        </w:tblCellMar>
      </w:tblPr>
      <w:tblGrid>
        <w:gridCol w:w="902"/>
        <w:gridCol w:w="790"/>
        <w:gridCol w:w="1127"/>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Dated: August 6, 2026</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Murray Forbes III</w:t>
            </w:r>
          </w:p>
        </w:tc>
      </w:tr>
      <w:tr>
        <w:trPr/>
        <w:tc>
          <w:tcPr>
            <w:tcW w:w="2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tc>
      </w:tr>
    </w:tbl>
    <w:p>
      <w:pPr>
        <w:pStyle w:val="TextBody"/>
        <w:bidi w:val="0"/>
        <w:spacing w:lineRule="auto" w:line="288" w:before="60" w:after="283"/>
        <w:jc w:val="left"/>
        <w:rPr>
          <w:color w:val="000000"/>
        </w:rPr>
      </w:pPr>
      <w:r>
        <w:rPr>
          <w:color w:val="000000"/>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Westwood Holdings Group, Inc. (the “Company”) on Form 10-Q for the period ended June 30, 2026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(15 U.S.C.78m or 78o(d)); and</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1844" w:type="dxa"/>
        <w:jc w:val="left"/>
        <w:tblInd w:w="0" w:type="dxa"/>
        <w:tblLayout w:type="fixed"/>
        <w:tblCellMar>
          <w:top w:w="28" w:type="dxa"/>
          <w:left w:w="28" w:type="dxa"/>
          <w:bottom w:w="28" w:type="dxa"/>
          <w:right w:w="28" w:type="dxa"/>
        </w:tblCellMar>
      </w:tblPr>
      <w:tblGrid>
        <w:gridCol w:w="590"/>
        <w:gridCol w:w="517"/>
        <w:gridCol w:w="737"/>
      </w:tblGrid>
      <w:tr>
        <w:trPr/>
        <w:tc>
          <w:tcPr>
            <w:tcW w:w="59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6, 2026</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Brian O. Casey</w:t>
            </w:r>
          </w:p>
        </w:tc>
      </w:tr>
      <w:tr>
        <w:trPr/>
        <w:tc>
          <w:tcPr>
            <w:tcW w:w="18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Brian O. Casey</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w:t>
            </w:r>
          </w:p>
        </w:tc>
      </w:tr>
    </w:tbl>
    <w:p>
      <w:pPr>
        <w:pStyle w:val="TextBody"/>
        <w:bidi w:val="0"/>
        <w:spacing w:lineRule="auto" w:line="288" w:before="2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32.2</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CERTIFICATION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18 U.S.C. SECTION 1350,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AS ADOPTED PURSUANT TO</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SECTION 906 OF THE SARBANES-OXLEY ACT OF 2002</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In connection with the Quarterly Report of Westwood Holdings Group, Inc. (the “Company”) on Form 10-Q for the period ended June 30, 2026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(1) The Report fully complies with the requirements of section 13(a) or 15(d) of the Securities Exchange Act of 1934 (15 U.S.C. 78m or 78o(d)); and</w:t>
      </w:r>
    </w:p>
    <w:p>
      <w:pPr>
        <w:pStyle w:val="TextBody"/>
        <w:bidi w:val="0"/>
        <w:spacing w:lineRule="auto" w:line="288" w:before="12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(2) 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lineRule="auto" w:line="288" w:before="0" w:after="0"/>
        <w:jc w:val="left"/>
        <w:rPr>
          <w:color w:val="000000"/>
        </w:rPr>
      </w:pPr>
      <w:r>
        <w:rPr>
          <w:color w:val="000000"/>
        </w:rPr>
        <w:t> </w:t>
      </w:r>
    </w:p>
    <w:tbl>
      <w:tblPr>
        <w:tblW w:w="2819" w:type="dxa"/>
        <w:jc w:val="left"/>
        <w:tblInd w:w="0" w:type="dxa"/>
        <w:tblLayout w:type="fixed"/>
        <w:tblCellMar>
          <w:top w:w="28" w:type="dxa"/>
          <w:left w:w="28" w:type="dxa"/>
          <w:bottom w:w="28" w:type="dxa"/>
          <w:right w:w="28" w:type="dxa"/>
        </w:tblCellMar>
      </w:tblPr>
      <w:tblGrid>
        <w:gridCol w:w="902"/>
        <w:gridCol w:w="790"/>
        <w:gridCol w:w="1127"/>
      </w:tblGrid>
      <w:tr>
        <w:trPr/>
        <w:tc>
          <w:tcPr>
            <w:tcW w:w="90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6, 2026</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Murray Forbes III</w:t>
            </w:r>
          </w:p>
        </w:tc>
      </w:tr>
      <w:tr>
        <w:trPr/>
        <w:tc>
          <w:tcPr>
            <w:tcW w:w="2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Murray Forbes III</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 and Treasurer</w:t>
            </w:r>
          </w:p>
        </w:tc>
      </w:tr>
    </w:tbl>
    <w:p>
      <w:pPr>
        <w:pStyle w:val="TextBody"/>
        <w:bidi w:val="0"/>
        <w:spacing w:lineRule="auto" w:line="288" w:before="240" w:after="283"/>
        <w:ind w:left="0" w:right="0" w:firstLine="540"/>
        <w:jc w:val="left"/>
        <w:rPr>
          <w:rFonts w:ascii="Times New Roman;serif" w:hAnsi="Times New Roman;serif"/>
          <w:b w:val="false"/>
          <w:color w:val="000000"/>
          <w:sz w:val="18"/>
        </w:rPr>
      </w:pPr>
      <w:r>
        <w:rPr>
          <w:rFonts w:ascii="Times New Roman;serif" w:hAnsi="Times New Roman;serif"/>
          <w:b w:val="false"/>
          <w:color w:val="000000"/>
          <w:sz w:val="18"/>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65002/000119312513084081/d444159dex21.htm" TargetMode="External"/><Relationship Id="rId3" Type="http://schemas.openxmlformats.org/officeDocument/2006/relationships/hyperlink" Target="https://www.sec.gov/Archives/edgar/data/1165002/000119312515012458/d853486dex21.htm" TargetMode="External"/><Relationship Id="rId4" Type="http://schemas.openxmlformats.org/officeDocument/2006/relationships/hyperlink" Target="https://www.sec.gov/Archives/edgar/data/1165002/000116500222000079/0001165002-22-000079-index.htm" TargetMode="External"/><Relationship Id="rId5" Type="http://schemas.openxmlformats.org/officeDocument/2006/relationships/hyperlink" Target="https://www.sec.gov/Archives/edgar/data/1165002/000116500222000098/0001165002-22-000098-index.htm" TargetMode="External"/><Relationship Id="rId6" Type="http://schemas.openxmlformats.org/officeDocument/2006/relationships/hyperlink" Target="https://www.sec.gov/ix?doc=/Archives/edgar/data/0001165002/000116500224000087/whg-20241202.htm" TargetMode="External"/><Relationship Id="rId7" Type="http://schemas.openxmlformats.org/officeDocument/2006/relationships/hyperlink" Target="https://www.sec.gov/ix?doc=/Archives/edgar/data/0001165002/000116500221000089/whg-20211027.htm" TargetMode="External"/><Relationship Id="rId8" Type="http://schemas.openxmlformats.org/officeDocument/2006/relationships/hyperlink" Target="https://www.sec.gov/Archives/edgar/data/1165002/000093066102001393/d1012ba.txt"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13174</Words>
  <Characters>73454</Characters>
  <CharactersWithSpaces>85368</CharactersWithSpaces>
  <Paragraphs>2722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