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312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13D/A</w:t>
      </w:r>
    </w:p>
    <w:p>
      <w:pPr>
        <w:spacing w:after="0" w:line="221" w:lineRule="exact"/>
        <w:rPr>
          <w:sz w:val="24"/>
          <w:szCs w:val="24"/>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 TO RULE 13d-1(a) AND AMENDMENTS THERETO FILED PURSUANT TO RULE 13d-2(a)</w:t>
      </w:r>
    </w:p>
    <w:p>
      <w:pPr>
        <w:spacing w:after="0" w:line="3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2)</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961765104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Hoak Public Equities, L.P.</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3963 Maple Avenue, Suite 450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Dallas, Texas 75219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(214) 855-2284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5,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8" w:lineRule="exact"/>
        <w:rPr>
          <w:sz w:val="24"/>
          <w:szCs w:val="24"/>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Rule 13d-7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16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509270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ind w:left="2600" w:right="6260" w:hanging="1543"/>
        <w:spacing w:after="0" w:line="578" w:lineRule="auto"/>
        <w:tabs>
          <w:tab w:leader="none" w:pos="2283"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7183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7183755"/>
                    </a:xfrm>
                    <a:prstGeom prst="rect">
                      <a:avLst/>
                    </a:prstGeom>
                    <a:noFill/>
                  </pic:spPr>
                </pic:pic>
              </a:graphicData>
            </a:graphic>
          </wp:anchor>
        </w:drawing>
        <w:t>NAME OF REPORTING PERSONS Hoak Public Equities, L.P.</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480" w:type="dxa"/>
            <w:vAlign w:val="bottom"/>
          </w:tcPr>
          <w:p>
            <w:pPr>
              <w:ind w:left="69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80" w:type="dxa"/>
            <w:vAlign w:val="bottom"/>
          </w:tcPr>
          <w:p>
            <w:pPr>
              <w:ind w:left="69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5"/>
        </w:trPr>
        <w:tc>
          <w:tcPr>
            <w:tcW w:w="21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7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1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WC</w:t>
            </w:r>
          </w:p>
        </w:tc>
        <w:tc>
          <w:tcPr>
            <w:tcW w:w="7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120" w:type="dxa"/>
            <w:vAlign w:val="bottom"/>
            <w:tcBorders>
              <w:bottom w:val="single" w:sz="8" w:color="auto"/>
            </w:tcBorders>
          </w:tcPr>
          <w:p>
            <w:pPr>
              <w:spacing w:after="0"/>
              <w:rPr>
                <w:sz w:val="9"/>
                <w:szCs w:val="9"/>
                <w:color w:val="auto"/>
              </w:rPr>
            </w:pPr>
          </w:p>
        </w:tc>
        <w:tc>
          <w:tcPr>
            <w:tcW w:w="906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9060" w:type="dxa"/>
            <w:vAlign w:val="bottom"/>
            <w:gridSpan w:val="2"/>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0"/>
        </w:trPr>
        <w:tc>
          <w:tcPr>
            <w:tcW w:w="2120" w:type="dxa"/>
            <w:vAlign w:val="bottom"/>
            <w:tcBorders>
              <w:bottom w:val="single" w:sz="8" w:color="auto"/>
            </w:tcBorders>
          </w:tcPr>
          <w:p>
            <w:pPr>
              <w:spacing w:after="0"/>
              <w:rPr>
                <w:sz w:val="6"/>
                <w:szCs w:val="6"/>
                <w:color w:val="auto"/>
              </w:rPr>
            </w:pPr>
          </w:p>
        </w:tc>
        <w:tc>
          <w:tcPr>
            <w:tcW w:w="906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1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Texas</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1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7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580" w:type="dxa"/>
            <w:vAlign w:val="bottom"/>
            <w:tcBorders>
              <w:right w:val="single" w:sz="8" w:color="auto"/>
            </w:tcBorders>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580" w:type="dxa"/>
            <w:vAlign w:val="bottom"/>
            <w:tcBorders>
              <w:right w:val="single" w:sz="8" w:color="auto"/>
            </w:tcBorders>
          </w:tcPr>
          <w:p>
            <w:pPr>
              <w:spacing w:after="0"/>
              <w:rPr>
                <w:sz w:val="18"/>
                <w:szCs w:val="18"/>
                <w:color w:val="auto"/>
              </w:rPr>
            </w:pP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744,353</w:t>
            </w:r>
          </w:p>
        </w:tc>
        <w:tc>
          <w:tcPr>
            <w:tcW w:w="0" w:type="dxa"/>
            <w:vAlign w:val="bottom"/>
          </w:tcPr>
          <w:p>
            <w:pPr>
              <w:spacing w:after="0"/>
              <w:rPr>
                <w:sz w:val="1"/>
                <w:szCs w:val="1"/>
                <w:color w:val="auto"/>
              </w:rPr>
            </w:pPr>
          </w:p>
        </w:tc>
      </w:tr>
      <w:tr>
        <w:trPr>
          <w:trHeight w:val="126"/>
        </w:trPr>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1580" w:type="dxa"/>
            <w:vAlign w:val="bottom"/>
            <w:tcBorders>
              <w:bottom w:val="single" w:sz="8" w:color="auto"/>
              <w:right w:val="single" w:sz="8" w:color="auto"/>
            </w:tcBorders>
          </w:tcPr>
          <w:p>
            <w:pPr>
              <w:spacing w:after="0"/>
              <w:rPr>
                <w:sz w:val="10"/>
                <w:szCs w:val="10"/>
                <w:color w:val="auto"/>
              </w:rPr>
            </w:pPr>
          </w:p>
        </w:tc>
        <w:tc>
          <w:tcPr>
            <w:tcW w:w="7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120" w:type="dxa"/>
            <w:vAlign w:val="bottom"/>
            <w:vMerge w:val="continue"/>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1580" w:type="dxa"/>
            <w:vAlign w:val="bottom"/>
            <w:tcBorders>
              <w:right w:val="single" w:sz="8" w:color="auto"/>
            </w:tcBorders>
          </w:tcPr>
          <w:p>
            <w:pPr>
              <w:spacing w:after="0"/>
              <w:rPr>
                <w:sz w:val="20"/>
                <w:szCs w:val="20"/>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7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120" w:type="dxa"/>
            <w:vAlign w:val="bottom"/>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744,353</w:t>
            </w: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120" w:type="dxa"/>
            <w:vAlign w:val="bottom"/>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8"/>
        </w:trPr>
        <w:tc>
          <w:tcPr>
            <w:tcW w:w="2120" w:type="dxa"/>
            <w:vAlign w:val="bottom"/>
            <w:tcBorders>
              <w:bottom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1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744,353</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1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7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66"/>
        </w:trPr>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9060" w:type="dxa"/>
            <w:vAlign w:val="bottom"/>
            <w:tcBorders>
              <w:bottom w:val="single" w:sz="8" w:color="auto"/>
            </w:tcBorders>
            <w:gridSpan w:val="2"/>
          </w:tcPr>
          <w:p>
            <w:pPr>
              <w:ind w:left="120"/>
              <w:spacing w:after="0" w:line="334"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8"/>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1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8.0%*</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800" w:right="6440" w:hanging="1789"/>
        <w:spacing w:after="0" w:line="532" w:lineRule="auto"/>
        <w:tabs>
          <w:tab w:leader="none" w:pos="2273"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94" w:lineRule="exact"/>
        <w:rPr>
          <w:rFonts w:ascii="Times New Roman" w:cs="Times New Roman" w:eastAsia="Times New Roman" w:hAnsi="Times New Roman"/>
          <w:sz w:val="18"/>
          <w:szCs w:val="18"/>
          <w:color w:val="auto"/>
        </w:rPr>
      </w:pPr>
    </w:p>
    <w:p>
      <w:pPr>
        <w:jc w:val="both"/>
        <w:ind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calculation is based upon 9,271,573 shares of Common Stock, $0.01 par value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Westwood Holdings Group, Inc.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outstanding as of October 24, 2024 as disclosed on the Issuer’s Form 10-Q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October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2" w:name="page3"/>
    <w:bookmarkEnd w:id="2"/>
    <w:p>
      <w:pPr>
        <w:ind w:left="2600" w:right="6260" w:hanging="1543"/>
        <w:spacing w:after="0" w:line="578" w:lineRule="auto"/>
        <w:tabs>
          <w:tab w:leader="none" w:pos="228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7183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7183755"/>
                    </a:xfrm>
                    <a:prstGeom prst="rect">
                      <a:avLst/>
                    </a:prstGeom>
                    <a:noFill/>
                  </pic:spPr>
                </pic:pic>
              </a:graphicData>
            </a:graphic>
          </wp:anchor>
        </w:drawing>
        <w:t>NAME OF REPORTING PERSONS Hoak Fund Management, L.P.</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480" w:type="dxa"/>
            <w:vAlign w:val="bottom"/>
          </w:tcPr>
          <w:p>
            <w:pPr>
              <w:ind w:left="69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80" w:type="dxa"/>
            <w:vAlign w:val="bottom"/>
          </w:tcPr>
          <w:p>
            <w:pPr>
              <w:ind w:left="69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5"/>
        </w:trPr>
        <w:tc>
          <w:tcPr>
            <w:tcW w:w="21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7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1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AF</w:t>
            </w:r>
          </w:p>
        </w:tc>
        <w:tc>
          <w:tcPr>
            <w:tcW w:w="7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120" w:type="dxa"/>
            <w:vAlign w:val="bottom"/>
            <w:tcBorders>
              <w:bottom w:val="single" w:sz="8" w:color="auto"/>
            </w:tcBorders>
          </w:tcPr>
          <w:p>
            <w:pPr>
              <w:spacing w:after="0"/>
              <w:rPr>
                <w:sz w:val="9"/>
                <w:szCs w:val="9"/>
                <w:color w:val="auto"/>
              </w:rPr>
            </w:pPr>
          </w:p>
        </w:tc>
        <w:tc>
          <w:tcPr>
            <w:tcW w:w="906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9060" w:type="dxa"/>
            <w:vAlign w:val="bottom"/>
            <w:gridSpan w:val="2"/>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0"/>
        </w:trPr>
        <w:tc>
          <w:tcPr>
            <w:tcW w:w="2120" w:type="dxa"/>
            <w:vAlign w:val="bottom"/>
            <w:tcBorders>
              <w:bottom w:val="single" w:sz="8" w:color="auto"/>
            </w:tcBorders>
          </w:tcPr>
          <w:p>
            <w:pPr>
              <w:spacing w:after="0"/>
              <w:rPr>
                <w:sz w:val="6"/>
                <w:szCs w:val="6"/>
                <w:color w:val="auto"/>
              </w:rPr>
            </w:pPr>
          </w:p>
        </w:tc>
        <w:tc>
          <w:tcPr>
            <w:tcW w:w="906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1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Texas</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1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7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580" w:type="dxa"/>
            <w:vAlign w:val="bottom"/>
            <w:tcBorders>
              <w:right w:val="single" w:sz="8" w:color="auto"/>
            </w:tcBorders>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580" w:type="dxa"/>
            <w:vAlign w:val="bottom"/>
            <w:tcBorders>
              <w:right w:val="single" w:sz="8" w:color="auto"/>
            </w:tcBorders>
          </w:tcPr>
          <w:p>
            <w:pPr>
              <w:spacing w:after="0"/>
              <w:rPr>
                <w:sz w:val="18"/>
                <w:szCs w:val="18"/>
                <w:color w:val="auto"/>
              </w:rPr>
            </w:pP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744,353</w:t>
            </w:r>
          </w:p>
        </w:tc>
        <w:tc>
          <w:tcPr>
            <w:tcW w:w="0" w:type="dxa"/>
            <w:vAlign w:val="bottom"/>
          </w:tcPr>
          <w:p>
            <w:pPr>
              <w:spacing w:after="0"/>
              <w:rPr>
                <w:sz w:val="1"/>
                <w:szCs w:val="1"/>
                <w:color w:val="auto"/>
              </w:rPr>
            </w:pPr>
          </w:p>
        </w:tc>
      </w:tr>
      <w:tr>
        <w:trPr>
          <w:trHeight w:val="126"/>
        </w:trPr>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1580" w:type="dxa"/>
            <w:vAlign w:val="bottom"/>
            <w:tcBorders>
              <w:bottom w:val="single" w:sz="8" w:color="auto"/>
              <w:right w:val="single" w:sz="8" w:color="auto"/>
            </w:tcBorders>
          </w:tcPr>
          <w:p>
            <w:pPr>
              <w:spacing w:after="0"/>
              <w:rPr>
                <w:sz w:val="10"/>
                <w:szCs w:val="10"/>
                <w:color w:val="auto"/>
              </w:rPr>
            </w:pPr>
          </w:p>
        </w:tc>
        <w:tc>
          <w:tcPr>
            <w:tcW w:w="7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120" w:type="dxa"/>
            <w:vAlign w:val="bottom"/>
            <w:vMerge w:val="continue"/>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1580" w:type="dxa"/>
            <w:vAlign w:val="bottom"/>
            <w:tcBorders>
              <w:right w:val="single" w:sz="8" w:color="auto"/>
            </w:tcBorders>
          </w:tcPr>
          <w:p>
            <w:pPr>
              <w:spacing w:after="0"/>
              <w:rPr>
                <w:sz w:val="20"/>
                <w:szCs w:val="20"/>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7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120" w:type="dxa"/>
            <w:vAlign w:val="bottom"/>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744,353</w:t>
            </w: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120" w:type="dxa"/>
            <w:vAlign w:val="bottom"/>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8"/>
        </w:trPr>
        <w:tc>
          <w:tcPr>
            <w:tcW w:w="2120" w:type="dxa"/>
            <w:vAlign w:val="bottom"/>
            <w:tcBorders>
              <w:bottom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1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744,353</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1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7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66"/>
        </w:trPr>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9060" w:type="dxa"/>
            <w:vAlign w:val="bottom"/>
            <w:tcBorders>
              <w:bottom w:val="single" w:sz="8" w:color="auto"/>
            </w:tcBorders>
            <w:gridSpan w:val="2"/>
          </w:tcPr>
          <w:p>
            <w:pPr>
              <w:ind w:left="120"/>
              <w:spacing w:after="0" w:line="334"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8"/>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1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8.0%*</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800" w:right="6440" w:hanging="1789"/>
        <w:spacing w:after="0" w:line="532" w:lineRule="auto"/>
        <w:tabs>
          <w:tab w:leader="none" w:pos="227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94"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calculation is based upon 9,271,573 shares of Common Stock of the Issuer outstanding as of October 24, 2024 as disclosed on the Issuer’s Form 10-Q filed with the SEC on October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34"/>
        </w:trPr>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229"/>
        </w:trPr>
        <w:tc>
          <w:tcPr>
            <w:tcW w:w="2120" w:type="dxa"/>
            <w:vAlign w:val="bottom"/>
            <w:vMerge w:val="continue"/>
          </w:tcPr>
          <w:p>
            <w:pPr>
              <w:spacing w:after="0"/>
              <w:rPr>
                <w:sz w:val="19"/>
                <w:szCs w:val="19"/>
                <w:color w:val="auto"/>
              </w:rPr>
            </w:pPr>
          </w:p>
        </w:tc>
        <w:tc>
          <w:tcPr>
            <w:tcW w:w="15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Hoak &amp; Co.</w:t>
            </w:r>
          </w:p>
        </w:tc>
        <w:tc>
          <w:tcPr>
            <w:tcW w:w="7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7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120" w:type="dxa"/>
            <w:vAlign w:val="bottom"/>
            <w:tcBorders>
              <w:bottom w:val="single" w:sz="8" w:color="auto"/>
            </w:tcBorders>
          </w:tcPr>
          <w:p>
            <w:pPr>
              <w:spacing w:after="0"/>
              <w:rPr>
                <w:sz w:val="9"/>
                <w:szCs w:val="9"/>
                <w:color w:val="auto"/>
              </w:rPr>
            </w:pPr>
          </w:p>
        </w:tc>
        <w:tc>
          <w:tcPr>
            <w:tcW w:w="906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480" w:type="dxa"/>
            <w:vAlign w:val="bottom"/>
          </w:tcPr>
          <w:p>
            <w:pPr>
              <w:ind w:left="69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80" w:type="dxa"/>
            <w:vAlign w:val="bottom"/>
          </w:tcPr>
          <w:p>
            <w:pPr>
              <w:ind w:left="69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5"/>
        </w:trPr>
        <w:tc>
          <w:tcPr>
            <w:tcW w:w="21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7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1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AF</w:t>
            </w:r>
          </w:p>
        </w:tc>
        <w:tc>
          <w:tcPr>
            <w:tcW w:w="7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120" w:type="dxa"/>
            <w:vAlign w:val="bottom"/>
            <w:tcBorders>
              <w:bottom w:val="single" w:sz="8" w:color="auto"/>
            </w:tcBorders>
          </w:tcPr>
          <w:p>
            <w:pPr>
              <w:spacing w:after="0"/>
              <w:rPr>
                <w:sz w:val="9"/>
                <w:szCs w:val="9"/>
                <w:color w:val="auto"/>
              </w:rPr>
            </w:pPr>
          </w:p>
        </w:tc>
        <w:tc>
          <w:tcPr>
            <w:tcW w:w="906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9060" w:type="dxa"/>
            <w:vAlign w:val="bottom"/>
            <w:gridSpan w:val="2"/>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0"/>
        </w:trPr>
        <w:tc>
          <w:tcPr>
            <w:tcW w:w="2120" w:type="dxa"/>
            <w:vAlign w:val="bottom"/>
            <w:tcBorders>
              <w:bottom w:val="single" w:sz="8" w:color="auto"/>
            </w:tcBorders>
          </w:tcPr>
          <w:p>
            <w:pPr>
              <w:spacing w:after="0"/>
              <w:rPr>
                <w:sz w:val="6"/>
                <w:szCs w:val="6"/>
                <w:color w:val="auto"/>
              </w:rPr>
            </w:pPr>
          </w:p>
        </w:tc>
        <w:tc>
          <w:tcPr>
            <w:tcW w:w="906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1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Texas</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1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7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580" w:type="dxa"/>
            <w:vAlign w:val="bottom"/>
            <w:tcBorders>
              <w:right w:val="single" w:sz="8" w:color="auto"/>
            </w:tcBorders>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580" w:type="dxa"/>
            <w:vAlign w:val="bottom"/>
            <w:tcBorders>
              <w:right w:val="single" w:sz="8" w:color="auto"/>
            </w:tcBorders>
          </w:tcPr>
          <w:p>
            <w:pPr>
              <w:spacing w:after="0"/>
              <w:rPr>
                <w:sz w:val="18"/>
                <w:szCs w:val="18"/>
                <w:color w:val="auto"/>
              </w:rPr>
            </w:pP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744,353</w:t>
            </w:r>
          </w:p>
        </w:tc>
        <w:tc>
          <w:tcPr>
            <w:tcW w:w="0" w:type="dxa"/>
            <w:vAlign w:val="bottom"/>
          </w:tcPr>
          <w:p>
            <w:pPr>
              <w:spacing w:after="0"/>
              <w:rPr>
                <w:sz w:val="1"/>
                <w:szCs w:val="1"/>
                <w:color w:val="auto"/>
              </w:rPr>
            </w:pPr>
          </w:p>
        </w:tc>
      </w:tr>
      <w:tr>
        <w:trPr>
          <w:trHeight w:val="126"/>
        </w:trPr>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1580" w:type="dxa"/>
            <w:vAlign w:val="bottom"/>
            <w:tcBorders>
              <w:bottom w:val="single" w:sz="8" w:color="auto"/>
              <w:right w:val="single" w:sz="8" w:color="auto"/>
            </w:tcBorders>
          </w:tcPr>
          <w:p>
            <w:pPr>
              <w:spacing w:after="0"/>
              <w:rPr>
                <w:sz w:val="10"/>
                <w:szCs w:val="10"/>
                <w:color w:val="auto"/>
              </w:rPr>
            </w:pPr>
          </w:p>
        </w:tc>
        <w:tc>
          <w:tcPr>
            <w:tcW w:w="7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120" w:type="dxa"/>
            <w:vAlign w:val="bottom"/>
            <w:vMerge w:val="continue"/>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1580" w:type="dxa"/>
            <w:vAlign w:val="bottom"/>
            <w:tcBorders>
              <w:right w:val="single" w:sz="8" w:color="auto"/>
            </w:tcBorders>
          </w:tcPr>
          <w:p>
            <w:pPr>
              <w:spacing w:after="0"/>
              <w:rPr>
                <w:sz w:val="20"/>
                <w:szCs w:val="20"/>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7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120" w:type="dxa"/>
            <w:vAlign w:val="bottom"/>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744,353</w:t>
            </w: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120" w:type="dxa"/>
            <w:vAlign w:val="bottom"/>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8"/>
        </w:trPr>
        <w:tc>
          <w:tcPr>
            <w:tcW w:w="2120" w:type="dxa"/>
            <w:vAlign w:val="bottom"/>
            <w:tcBorders>
              <w:bottom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1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744,353</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1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7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66"/>
        </w:trPr>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9060" w:type="dxa"/>
            <w:vAlign w:val="bottom"/>
            <w:tcBorders>
              <w:bottom w:val="single" w:sz="8" w:color="auto"/>
            </w:tcBorders>
            <w:gridSpan w:val="2"/>
          </w:tcPr>
          <w:p>
            <w:pPr>
              <w:ind w:left="120"/>
              <w:spacing w:after="0" w:line="334"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8"/>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1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8.0%*</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7046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7046595"/>
                    </a:xfrm>
                    <a:prstGeom prst="rect">
                      <a:avLst/>
                    </a:prstGeom>
                    <a:noFill/>
                  </pic:spPr>
                </pic:pic>
              </a:graphicData>
            </a:graphic>
          </wp:anchor>
        </w:drawing>
      </w:r>
    </w:p>
    <w:p>
      <w:pPr>
        <w:ind w:left="2800" w:right="6440" w:hanging="1789"/>
        <w:spacing w:after="0" w:line="532" w:lineRule="auto"/>
        <w:tabs>
          <w:tab w:leader="none" w:pos="227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CO</w:t>
      </w:r>
    </w:p>
    <w:p>
      <w:pPr>
        <w:spacing w:after="0" w:line="310"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calculation is based upon 9,271,573 shares of Common Stock of the Issuer outstanding as of October 24, 2024 as disclosed on the Issuer’s Form 10-Q filed with the SEC on October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4" w:name="page5"/>
    <w:bookmarkEnd w:id="4"/>
    <w:p>
      <w:pPr>
        <w:ind w:left="2600" w:right="6280" w:hanging="1543"/>
        <w:spacing w:after="0" w:line="508" w:lineRule="auto"/>
        <w:tabs>
          <w:tab w:leader="none" w:pos="228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7046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7046595"/>
                    </a:xfrm>
                    <a:prstGeom prst="rect">
                      <a:avLst/>
                    </a:prstGeom>
                    <a:noFill/>
                  </pic:spPr>
                </pic:pic>
              </a:graphicData>
            </a:graphic>
          </wp:anchor>
        </w:drawing>
        <w:t>NAME OF REPORTING PERSONS J. Hale Hoak</w:t>
      </w:r>
    </w:p>
    <w:tbl>
      <w:tblPr>
        <w:tblLayout w:type="fixed"/>
        <w:tblInd w:w="40" w:type="dxa"/>
        <w:tblCellMar>
          <w:top w:w="0" w:type="dxa"/>
          <w:left w:w="0" w:type="dxa"/>
          <w:bottom w:w="0" w:type="dxa"/>
          <w:right w:w="0" w:type="dxa"/>
        </w:tblCellMar>
      </w:tblPr>
      <w:tr>
        <w:trPr>
          <w:trHeight w:val="182"/>
        </w:trPr>
        <w:tc>
          <w:tcPr>
            <w:tcW w:w="21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2</w:t>
            </w:r>
          </w:p>
        </w:tc>
        <w:tc>
          <w:tcPr>
            <w:tcW w:w="906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480" w:type="dxa"/>
            <w:vAlign w:val="bottom"/>
          </w:tcPr>
          <w:p>
            <w:pPr>
              <w:ind w:left="69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80" w:type="dxa"/>
            <w:vAlign w:val="bottom"/>
          </w:tcPr>
          <w:p>
            <w:pPr>
              <w:ind w:left="69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5"/>
        </w:trPr>
        <w:tc>
          <w:tcPr>
            <w:tcW w:w="21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7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1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AF</w:t>
            </w:r>
          </w:p>
        </w:tc>
        <w:tc>
          <w:tcPr>
            <w:tcW w:w="7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120" w:type="dxa"/>
            <w:vAlign w:val="bottom"/>
            <w:tcBorders>
              <w:bottom w:val="single" w:sz="8" w:color="auto"/>
            </w:tcBorders>
          </w:tcPr>
          <w:p>
            <w:pPr>
              <w:spacing w:after="0"/>
              <w:rPr>
                <w:sz w:val="9"/>
                <w:szCs w:val="9"/>
                <w:color w:val="auto"/>
              </w:rPr>
            </w:pPr>
          </w:p>
        </w:tc>
        <w:tc>
          <w:tcPr>
            <w:tcW w:w="906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46"/>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9060" w:type="dxa"/>
            <w:vAlign w:val="bottom"/>
            <w:gridSpan w:val="2"/>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0"/>
        </w:trPr>
        <w:tc>
          <w:tcPr>
            <w:tcW w:w="2120" w:type="dxa"/>
            <w:vAlign w:val="bottom"/>
            <w:tcBorders>
              <w:bottom w:val="single" w:sz="8" w:color="auto"/>
            </w:tcBorders>
          </w:tcPr>
          <w:p>
            <w:pPr>
              <w:spacing w:after="0"/>
              <w:rPr>
                <w:sz w:val="6"/>
                <w:szCs w:val="6"/>
                <w:color w:val="auto"/>
              </w:rPr>
            </w:pPr>
          </w:p>
        </w:tc>
        <w:tc>
          <w:tcPr>
            <w:tcW w:w="906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9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108"/>
        </w:trPr>
        <w:tc>
          <w:tcPr>
            <w:tcW w:w="21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7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580" w:type="dxa"/>
            <w:vAlign w:val="bottom"/>
            <w:tcBorders>
              <w:right w:val="single" w:sz="8" w:color="auto"/>
            </w:tcBorders>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580" w:type="dxa"/>
            <w:vAlign w:val="bottom"/>
            <w:tcBorders>
              <w:right w:val="single" w:sz="8" w:color="auto"/>
            </w:tcBorders>
          </w:tcPr>
          <w:p>
            <w:pPr>
              <w:spacing w:after="0"/>
              <w:rPr>
                <w:sz w:val="18"/>
                <w:szCs w:val="18"/>
                <w:color w:val="auto"/>
              </w:rPr>
            </w:pP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818,653*</w:t>
            </w:r>
          </w:p>
        </w:tc>
        <w:tc>
          <w:tcPr>
            <w:tcW w:w="0" w:type="dxa"/>
            <w:vAlign w:val="bottom"/>
          </w:tcPr>
          <w:p>
            <w:pPr>
              <w:spacing w:after="0"/>
              <w:rPr>
                <w:sz w:val="1"/>
                <w:szCs w:val="1"/>
                <w:color w:val="auto"/>
              </w:rPr>
            </w:pPr>
          </w:p>
        </w:tc>
      </w:tr>
      <w:tr>
        <w:trPr>
          <w:trHeight w:val="126"/>
        </w:trPr>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1580" w:type="dxa"/>
            <w:vAlign w:val="bottom"/>
            <w:tcBorders>
              <w:bottom w:val="single" w:sz="8" w:color="auto"/>
              <w:right w:val="single" w:sz="8" w:color="auto"/>
            </w:tcBorders>
          </w:tcPr>
          <w:p>
            <w:pPr>
              <w:spacing w:after="0"/>
              <w:rPr>
                <w:sz w:val="10"/>
                <w:szCs w:val="10"/>
                <w:color w:val="auto"/>
              </w:rPr>
            </w:pPr>
          </w:p>
        </w:tc>
        <w:tc>
          <w:tcPr>
            <w:tcW w:w="7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120" w:type="dxa"/>
            <w:vAlign w:val="bottom"/>
            <w:vMerge w:val="continue"/>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1580" w:type="dxa"/>
            <w:vAlign w:val="bottom"/>
            <w:tcBorders>
              <w:right w:val="single" w:sz="8" w:color="auto"/>
            </w:tcBorders>
          </w:tcPr>
          <w:p>
            <w:pPr>
              <w:spacing w:after="0"/>
              <w:rPr>
                <w:sz w:val="20"/>
                <w:szCs w:val="20"/>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7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120" w:type="dxa"/>
            <w:vAlign w:val="bottom"/>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818,653*</w:t>
            </w: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120" w:type="dxa"/>
            <w:vAlign w:val="bottom"/>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8"/>
        </w:trPr>
        <w:tc>
          <w:tcPr>
            <w:tcW w:w="2120" w:type="dxa"/>
            <w:vAlign w:val="bottom"/>
            <w:tcBorders>
              <w:bottom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1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818,653</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1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7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66"/>
        </w:trPr>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9060" w:type="dxa"/>
            <w:vAlign w:val="bottom"/>
            <w:tcBorders>
              <w:bottom w:val="single" w:sz="8" w:color="auto"/>
            </w:tcBorders>
            <w:gridSpan w:val="2"/>
          </w:tcPr>
          <w:p>
            <w:pPr>
              <w:ind w:left="120"/>
              <w:spacing w:after="0" w:line="334"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8"/>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1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8.8%**</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800" w:right="6460" w:hanging="1789"/>
        <w:spacing w:after="0" w:line="532" w:lineRule="auto"/>
        <w:tabs>
          <w:tab w:leader="none" w:pos="227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94" w:lineRule="exact"/>
        <w:rPr>
          <w:rFonts w:ascii="Times New Roman" w:cs="Times New Roman" w:eastAsia="Times New Roman" w:hAnsi="Times New Roman"/>
          <w:sz w:val="18"/>
          <w:szCs w:val="18"/>
          <w:color w:val="auto"/>
        </w:rPr>
      </w:pPr>
    </w:p>
    <w:p>
      <w:pPr>
        <w:ind w:right="2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Includes (1) 744,353 shares of Common Stock of the Issuer held directly by Hoak Public Equities, L.P., and (2) 74,300 shares of Common Stock of the Issuer held by J. Hale Hoak (of which 25,000 shares of Common Stock are held in the name of J. Hale Hoak Child’s Trust).</w:t>
      </w:r>
    </w:p>
    <w:p>
      <w:pPr>
        <w:ind w:firstLine="8"/>
        <w:spacing w:after="0" w:line="260" w:lineRule="auto"/>
        <w:tabs>
          <w:tab w:leader="none" w:pos="2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based upon 9,271,573 shares of Common Stock of the Issuer outstanding as of October 24, 2024 as disclosed on the Issuer’s Form 10-Q filed with the SEC on October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5" w:name="page6"/>
    <w:bookmarkEnd w:id="5"/>
    <w:tbl>
      <w:tblPr>
        <w:tblLayout w:type="fixed"/>
        <w:tblInd w:w="40" w:type="dxa"/>
        <w:tblCellMar>
          <w:top w:w="0" w:type="dxa"/>
          <w:left w:w="0" w:type="dxa"/>
          <w:bottom w:w="0" w:type="dxa"/>
          <w:right w:w="0" w:type="dxa"/>
        </w:tblCellMar>
      </w:tblPr>
      <w:tr>
        <w:trPr>
          <w:trHeight w:val="234"/>
        </w:trPr>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229"/>
        </w:trPr>
        <w:tc>
          <w:tcPr>
            <w:tcW w:w="2120" w:type="dxa"/>
            <w:vAlign w:val="bottom"/>
            <w:vMerge w:val="continue"/>
          </w:tcPr>
          <w:p>
            <w:pPr>
              <w:spacing w:after="0"/>
              <w:rPr>
                <w:sz w:val="19"/>
                <w:szCs w:val="19"/>
                <w:color w:val="auto"/>
              </w:rPr>
            </w:pPr>
          </w:p>
        </w:tc>
        <w:tc>
          <w:tcPr>
            <w:tcW w:w="90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James M. Hoak, Jr.</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9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120" w:type="dxa"/>
            <w:vAlign w:val="bottom"/>
            <w:tcBorders>
              <w:bottom w:val="single" w:sz="8" w:color="auto"/>
            </w:tcBorders>
          </w:tcPr>
          <w:p>
            <w:pPr>
              <w:spacing w:after="0"/>
              <w:rPr>
                <w:sz w:val="9"/>
                <w:szCs w:val="9"/>
                <w:color w:val="auto"/>
              </w:rPr>
            </w:pPr>
          </w:p>
        </w:tc>
        <w:tc>
          <w:tcPr>
            <w:tcW w:w="906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480" w:type="dxa"/>
            <w:vAlign w:val="bottom"/>
          </w:tcPr>
          <w:p>
            <w:pPr>
              <w:ind w:left="69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2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80" w:type="dxa"/>
            <w:vAlign w:val="bottom"/>
          </w:tcPr>
          <w:p>
            <w:pPr>
              <w:ind w:left="69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5"/>
        </w:trPr>
        <w:tc>
          <w:tcPr>
            <w:tcW w:w="21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7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15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AF</w:t>
            </w:r>
          </w:p>
        </w:tc>
        <w:tc>
          <w:tcPr>
            <w:tcW w:w="7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120" w:type="dxa"/>
            <w:vAlign w:val="bottom"/>
            <w:tcBorders>
              <w:bottom w:val="single" w:sz="8" w:color="auto"/>
            </w:tcBorders>
          </w:tcPr>
          <w:p>
            <w:pPr>
              <w:spacing w:after="0"/>
              <w:rPr>
                <w:sz w:val="9"/>
                <w:szCs w:val="9"/>
                <w:color w:val="auto"/>
              </w:rPr>
            </w:pPr>
          </w:p>
        </w:tc>
        <w:tc>
          <w:tcPr>
            <w:tcW w:w="906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9060" w:type="dxa"/>
            <w:vAlign w:val="bottom"/>
            <w:gridSpan w:val="2"/>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0"/>
        </w:trPr>
        <w:tc>
          <w:tcPr>
            <w:tcW w:w="2120" w:type="dxa"/>
            <w:vAlign w:val="bottom"/>
            <w:tcBorders>
              <w:bottom w:val="single" w:sz="8" w:color="auto"/>
            </w:tcBorders>
          </w:tcPr>
          <w:p>
            <w:pPr>
              <w:spacing w:after="0"/>
              <w:rPr>
                <w:sz w:val="6"/>
                <w:szCs w:val="6"/>
                <w:color w:val="auto"/>
              </w:rPr>
            </w:pPr>
          </w:p>
        </w:tc>
        <w:tc>
          <w:tcPr>
            <w:tcW w:w="906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9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108"/>
        </w:trPr>
        <w:tc>
          <w:tcPr>
            <w:tcW w:w="21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7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580" w:type="dxa"/>
            <w:vAlign w:val="bottom"/>
            <w:tcBorders>
              <w:right w:val="single" w:sz="8" w:color="auto"/>
            </w:tcBorders>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580" w:type="dxa"/>
            <w:vAlign w:val="bottom"/>
            <w:tcBorders>
              <w:right w:val="single" w:sz="8" w:color="auto"/>
            </w:tcBorders>
          </w:tcPr>
          <w:p>
            <w:pPr>
              <w:spacing w:after="0"/>
              <w:rPr>
                <w:sz w:val="18"/>
                <w:szCs w:val="18"/>
                <w:color w:val="auto"/>
              </w:rPr>
            </w:pP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744,353</w:t>
            </w:r>
          </w:p>
        </w:tc>
        <w:tc>
          <w:tcPr>
            <w:tcW w:w="0" w:type="dxa"/>
            <w:vAlign w:val="bottom"/>
          </w:tcPr>
          <w:p>
            <w:pPr>
              <w:spacing w:after="0"/>
              <w:rPr>
                <w:sz w:val="1"/>
                <w:szCs w:val="1"/>
                <w:color w:val="auto"/>
              </w:rPr>
            </w:pPr>
          </w:p>
        </w:tc>
      </w:tr>
      <w:tr>
        <w:trPr>
          <w:trHeight w:val="126"/>
        </w:trPr>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1580" w:type="dxa"/>
            <w:vAlign w:val="bottom"/>
            <w:tcBorders>
              <w:bottom w:val="single" w:sz="8" w:color="auto"/>
              <w:right w:val="single" w:sz="8" w:color="auto"/>
            </w:tcBorders>
          </w:tcPr>
          <w:p>
            <w:pPr>
              <w:spacing w:after="0"/>
              <w:rPr>
                <w:sz w:val="10"/>
                <w:szCs w:val="10"/>
                <w:color w:val="auto"/>
              </w:rPr>
            </w:pPr>
          </w:p>
        </w:tc>
        <w:tc>
          <w:tcPr>
            <w:tcW w:w="7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120" w:type="dxa"/>
            <w:vAlign w:val="bottom"/>
            <w:vMerge w:val="continue"/>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c>
          <w:tcPr>
            <w:tcW w:w="7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1580" w:type="dxa"/>
            <w:vAlign w:val="bottom"/>
            <w:tcBorders>
              <w:right w:val="single" w:sz="8" w:color="auto"/>
            </w:tcBorders>
          </w:tcPr>
          <w:p>
            <w:pPr>
              <w:spacing w:after="0"/>
              <w:rPr>
                <w:sz w:val="20"/>
                <w:szCs w:val="20"/>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7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120" w:type="dxa"/>
            <w:vAlign w:val="bottom"/>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744,353</w:t>
            </w: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120" w:type="dxa"/>
            <w:vAlign w:val="bottom"/>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8"/>
        </w:trPr>
        <w:tc>
          <w:tcPr>
            <w:tcW w:w="2120" w:type="dxa"/>
            <w:vAlign w:val="bottom"/>
            <w:tcBorders>
              <w:bottom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7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1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744,353</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1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7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66"/>
        </w:trPr>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9060" w:type="dxa"/>
            <w:vAlign w:val="bottom"/>
            <w:tcBorders>
              <w:bottom w:val="single" w:sz="8" w:color="auto"/>
            </w:tcBorders>
            <w:gridSpan w:val="2"/>
          </w:tcPr>
          <w:p>
            <w:pPr>
              <w:ind w:left="120"/>
              <w:spacing w:after="0" w:line="334" w:lineRule="exact"/>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8"/>
        </w:trPr>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1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8.0%*</w:t>
            </w:r>
          </w:p>
        </w:tc>
        <w:tc>
          <w:tcPr>
            <w:tcW w:w="7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7046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7046595"/>
                    </a:xfrm>
                    <a:prstGeom prst="rect">
                      <a:avLst/>
                    </a:prstGeom>
                    <a:noFill/>
                  </pic:spPr>
                </pic:pic>
              </a:graphicData>
            </a:graphic>
          </wp:anchor>
        </w:drawing>
      </w:r>
    </w:p>
    <w:p>
      <w:pPr>
        <w:ind w:left="2800" w:right="6440" w:hanging="1789"/>
        <w:spacing w:after="0" w:line="532" w:lineRule="auto"/>
        <w:tabs>
          <w:tab w:leader="none" w:pos="227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310" w:lineRule="exact"/>
        <w:rPr>
          <w:rFonts w:ascii="Times New Roman" w:cs="Times New Roman" w:eastAsia="Times New Roman" w:hAnsi="Times New Roman"/>
          <w:sz w:val="18"/>
          <w:szCs w:val="18"/>
          <w:color w:val="auto"/>
        </w:rPr>
      </w:pPr>
    </w:p>
    <w:p>
      <w:pPr>
        <w:ind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calculation is based upon 9,271,573 shares of Common Stock of the Issuer outstanding as of October 24, 2024 as disclosed on the Issuer’s Form 10-Q filed with the SEC on October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This Amendment No. 2 to Schedule 13D (“</w:t>
      </w:r>
      <w:r>
        <w:rPr>
          <w:rFonts w:ascii="Times New Roman" w:cs="Times New Roman" w:eastAsia="Times New Roman" w:hAnsi="Times New Roman"/>
          <w:sz w:val="18"/>
          <w:szCs w:val="18"/>
          <w:u w:val="single" w:color="auto"/>
          <w:color w:val="auto"/>
        </w:rPr>
        <w:t>Amendment No. 2</w:t>
      </w:r>
      <w:r>
        <w:rPr>
          <w:rFonts w:ascii="Times New Roman" w:cs="Times New Roman" w:eastAsia="Times New Roman" w:hAnsi="Times New Roman"/>
          <w:sz w:val="18"/>
          <w:szCs w:val="18"/>
          <w:color w:val="auto"/>
        </w:rPr>
        <w:t>”) amends and supplements the Schedule 13D originally filed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December 12, 2023 (the “</w:t>
      </w:r>
      <w:r>
        <w:rPr>
          <w:rFonts w:ascii="Times New Roman" w:cs="Times New Roman" w:eastAsia="Times New Roman" w:hAnsi="Times New Roman"/>
          <w:sz w:val="18"/>
          <w:szCs w:val="18"/>
          <w:u w:val="single" w:color="auto"/>
          <w:color w:val="auto"/>
        </w:rPr>
        <w:t>Original 13D</w:t>
      </w:r>
      <w:r>
        <w:rPr>
          <w:rFonts w:ascii="Times New Roman" w:cs="Times New Roman" w:eastAsia="Times New Roman" w:hAnsi="Times New Roman"/>
          <w:sz w:val="18"/>
          <w:szCs w:val="18"/>
          <w:color w:val="auto"/>
        </w:rPr>
        <w:t>”) as amended by Amendment No. 1 to Schedule 13D filed with the SEC on May 13, 2024 (“</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and together with the Original 13D and Amendment No. 2,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Unless otherwise indicated, all capitalized terms used but not defined herein shall have the meanings ascribed to them in the Original 13D.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No. 2 is being filed to make amendments to the Schedule 13D as follows: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amended and restated in its entirety as follows: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The total amount of funds used for the purchase of Common Stock by HPE was $8,396,799.72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including costs of commissions and expenses). All of the shares of Common Stock beneficially owned by HPE were paid for using working capital of HPE. Hoak Management, Hoak &amp; Co. and James M. Hoak, Jr., do not directly hold any Common Stock but may be deemed to beneficially own the Common Stock owned by HPE.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J. Hale Hoak may also be deemed to beneficially own the Common Stock owned by HPE. The total amount of funds used for the purchase of the remaining Common Stock reported by J. Hale Hoak (of which 25,000 shares are held in J. Hale Hoak Child’s Trust), was $878,712.99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including costs of commissions and expenses), such shares being paid for using personal funds.</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by amending and replacing in their entirety each of Items 5(a) and 5(c) as follows:</w:t>
      </w:r>
    </w:p>
    <w:p>
      <w:pPr>
        <w:spacing w:after="0" w:line="225" w:lineRule="exact"/>
        <w:rPr>
          <w:sz w:val="20"/>
          <w:szCs w:val="20"/>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Schedule 13D, based upon 9,271,573 shares of Common Stock of the Issuer outstanding as of October 24, 2024 as disclosed on the Issuer’s Form 10-Q filed with the SEC on October 30, 2024:</w:t>
      </w:r>
    </w:p>
    <w:p>
      <w:pPr>
        <w:spacing w:after="0" w:line="161" w:lineRule="exact"/>
        <w:rPr>
          <w:rFonts w:ascii="Times New Roman" w:cs="Times New Roman" w:eastAsia="Times New Roman" w:hAnsi="Times New Roman"/>
          <w:sz w:val="18"/>
          <w:szCs w:val="18"/>
          <w:color w:val="auto"/>
        </w:rPr>
      </w:pPr>
    </w:p>
    <w:p>
      <w:pPr>
        <w:ind w:left="1620" w:hanging="316"/>
        <w:spacing w:after="0" w:line="261"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HPE directly owns an aggregate of 744,353 shares of Common Stock, representing approximately 8.0% of the outstanding Common Stock.</w:t>
      </w:r>
    </w:p>
    <w:p>
      <w:pPr>
        <w:ind w:left="1620" w:right="20" w:hanging="316"/>
        <w:spacing w:after="0" w:line="250"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Hoak Management, in its capacity as HPE’s general partner, may be deemed to beneficially own an aggregate of 744,353 shares of Common Stock, representing approximately 8.0% of the outstanding Common Stock.</w:t>
      </w:r>
    </w:p>
    <w:p>
      <w:pPr>
        <w:ind w:left="1620" w:hanging="316"/>
        <w:spacing w:after="0" w:line="250"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Hoak and Co., in its capacity as the general partner of Hoak Management, may be deemed to beneficially own an aggregate of 744,353 shares of Common Stock, representing approximately 8.0% of the outstanding Common Stock.</w:t>
      </w:r>
    </w:p>
    <w:p>
      <w:pPr>
        <w:ind w:left="1620" w:hanging="316"/>
        <w:spacing w:after="0" w:line="250"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M. Hoak, Jr., in his capacity as Hoak &amp; Co.’s controlling shareholder and Chairman, may be deemed to beneficially own 744,353 shares of Common Stock, representing approximately 8.0% of the outstanding Common Stock.</w:t>
      </w:r>
    </w:p>
    <w:p>
      <w:pPr>
        <w:jc w:val="both"/>
        <w:ind w:left="1620" w:hanging="316"/>
        <w:spacing w:after="0" w:line="253"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Hale Hoak (1) owns an aggregate of 74,300 shares of Common Stock (of which 25,000 shares are held in J. Hale Hoak Child’s Trust) and (2) in his capacity as Hoak &amp; Co.’s President may be deemed to beneficially own an aggregate of 744,353 shares of Common Stock, for an aggregate of 818,653 shares of Common Stock representing approximately 8.8% of the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A hereto sets forth all transactions in the Common Stock within the past 60 days by any Reporting Person. Except for the transactions set forth on Schedule A, none of the Reporting Persons effected any transaction in the Common Stock during the past 60 days.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Material to Be Filed as Exhibits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0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Joint Filing Agreement dated November 7, 2024, by and among Hoak Public Equities, L.P., Hoak Fund Management,</w:t>
            </w:r>
          </w:p>
        </w:tc>
      </w:tr>
      <w:tr>
        <w:trPr>
          <w:trHeight w:val="237"/>
        </w:trPr>
        <w:tc>
          <w:tcPr>
            <w:tcW w:w="320" w:type="dxa"/>
            <w:vAlign w:val="bottom"/>
            <w:tcBorders>
              <w:top w:val="single" w:sz="8" w:color="0000EE"/>
            </w:tcBorders>
          </w:tcPr>
          <w:p>
            <w:pPr>
              <w:spacing w:after="0"/>
              <w:rPr>
                <w:sz w:val="20"/>
                <w:szCs w:val="20"/>
                <w:color w:val="auto"/>
              </w:rPr>
            </w:pPr>
          </w:p>
        </w:tc>
        <w:tc>
          <w:tcPr>
            <w:tcW w:w="520" w:type="dxa"/>
            <w:vAlign w:val="bottom"/>
          </w:tcPr>
          <w:p>
            <w:pPr>
              <w:spacing w:after="0"/>
              <w:rPr>
                <w:sz w:val="20"/>
                <w:szCs w:val="20"/>
                <w:color w:val="auto"/>
              </w:rPr>
            </w:pPr>
          </w:p>
        </w:tc>
        <w:tc>
          <w:tcPr>
            <w:tcW w:w="10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L.P., Hoak &amp; Co., James M. Hoak, Jr., and J. Hale Hoak</w:t>
            </w:r>
          </w:p>
        </w:tc>
      </w:tr>
      <w:tr>
        <w:trPr>
          <w:trHeight w:val="540"/>
        </w:trPr>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knowledge and belief, each of the undersigned certifies that the information set forth in this Statement is true, complete and correct.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November 7, 2024</w:t>
            </w:r>
          </w:p>
        </w:tc>
        <w:tc>
          <w:tcPr>
            <w:tcW w:w="16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32"/>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Hoak Public Equities, L.P.</w:t>
            </w:r>
          </w:p>
        </w:tc>
        <w:tc>
          <w:tcPr>
            <w:tcW w:w="538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Hoak Fund Management, L.P.</w:t>
            </w:r>
          </w:p>
        </w:tc>
      </w:tr>
      <w:tr>
        <w:trPr>
          <w:trHeight w:val="432"/>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Hoak Fund Management, L.P., its general partner</w:t>
            </w:r>
          </w:p>
        </w:tc>
        <w:tc>
          <w:tcPr>
            <w:tcW w:w="53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By: Hoak &amp; Co., its general partner</w:t>
            </w:r>
          </w:p>
        </w:tc>
      </w:tr>
      <w:tr>
        <w:trPr>
          <w:trHeight w:val="432"/>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Hoak &amp; Co., its general partner</w:t>
            </w:r>
          </w:p>
        </w:tc>
        <w:tc>
          <w:tcPr>
            <w:tcW w:w="16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Hale Hoak</w:t>
            </w:r>
          </w:p>
        </w:tc>
      </w:tr>
      <w:tr>
        <w:trPr>
          <w:trHeight w:val="191"/>
        </w:trPr>
        <w:tc>
          <w:tcPr>
            <w:tcW w:w="4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 Hale Hoak</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Hale Hoak</w:t>
            </w:r>
          </w:p>
        </w:tc>
        <w:tc>
          <w:tcPr>
            <w:tcW w:w="16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191"/>
        </w:trPr>
        <w:tc>
          <w:tcPr>
            <w:tcW w:w="460" w:type="dxa"/>
            <w:vAlign w:val="bottom"/>
          </w:tcPr>
          <w:p>
            <w:pPr>
              <w:spacing w:after="0"/>
              <w:rPr>
                <w:sz w:val="16"/>
                <w:szCs w:val="16"/>
                <w:color w:val="auto"/>
              </w:rPr>
            </w:pPr>
          </w:p>
        </w:tc>
        <w:tc>
          <w:tcPr>
            <w:tcW w:w="3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 Hale Hoak</w:t>
            </w:r>
          </w:p>
        </w:tc>
        <w:tc>
          <w:tcPr>
            <w:tcW w:w="168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234"/>
        </w:trPr>
        <w:tc>
          <w:tcPr>
            <w:tcW w:w="46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16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32"/>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Hoak &amp; Co.</w:t>
            </w:r>
          </w:p>
        </w:tc>
        <w:tc>
          <w:tcPr>
            <w:tcW w:w="538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James M. Hoak, Jr.</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Hale Hoak</w:t>
            </w:r>
          </w:p>
        </w:tc>
        <w:tc>
          <w:tcPr>
            <w:tcW w:w="16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M. Hoak, Jr.</w:t>
            </w:r>
          </w:p>
        </w:tc>
      </w:tr>
      <w:tr>
        <w:trPr>
          <w:trHeight w:val="191"/>
        </w:trPr>
        <w:tc>
          <w:tcPr>
            <w:tcW w:w="460" w:type="dxa"/>
            <w:vAlign w:val="bottom"/>
          </w:tcPr>
          <w:p>
            <w:pPr>
              <w:spacing w:after="0"/>
              <w:rPr>
                <w:sz w:val="16"/>
                <w:szCs w:val="16"/>
                <w:color w:val="auto"/>
              </w:rPr>
            </w:pPr>
          </w:p>
        </w:tc>
        <w:tc>
          <w:tcPr>
            <w:tcW w:w="3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 Hale Hoak</w:t>
            </w:r>
          </w:p>
        </w:tc>
        <w:tc>
          <w:tcPr>
            <w:tcW w:w="1680" w:type="dxa"/>
            <w:vAlign w:val="bottom"/>
          </w:tcPr>
          <w:p>
            <w:pPr>
              <w:spacing w:after="0"/>
              <w:rPr>
                <w:sz w:val="16"/>
                <w:szCs w:val="16"/>
                <w:color w:val="auto"/>
              </w:rPr>
            </w:pPr>
          </w:p>
        </w:tc>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M. Hoak, Jr.</w:t>
            </w:r>
          </w:p>
        </w:tc>
      </w:tr>
      <w:tr>
        <w:trPr>
          <w:trHeight w:val="234"/>
        </w:trPr>
        <w:tc>
          <w:tcPr>
            <w:tcW w:w="46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168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Hale Hoak</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 Hale Hoak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3571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 Hale Hoak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 Last 60 days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6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9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Transaction Date</w:t>
            </w:r>
          </w:p>
        </w:tc>
        <w:tc>
          <w:tcPr>
            <w:tcW w:w="19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19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9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Price Per Share</w:t>
            </w:r>
          </w:p>
        </w:tc>
      </w:tr>
      <w:tr>
        <w:trPr>
          <w:trHeight w:val="216"/>
        </w:trPr>
        <w:tc>
          <w:tcPr>
            <w:tcW w:w="362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(including costs of</w:t>
            </w:r>
          </w:p>
        </w:tc>
      </w:tr>
      <w:tr>
        <w:trPr>
          <w:trHeight w:val="216"/>
        </w:trPr>
        <w:tc>
          <w:tcPr>
            <w:tcW w:w="362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commissions and</w:t>
            </w:r>
          </w:p>
        </w:tc>
      </w:tr>
      <w:tr>
        <w:trPr>
          <w:trHeight w:val="238"/>
        </w:trPr>
        <w:tc>
          <w:tcPr>
            <w:tcW w:w="3620" w:type="dxa"/>
            <w:vAlign w:val="bottom"/>
            <w:tcBorders>
              <w:left w:val="single" w:sz="8" w:color="auto"/>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expenses)</w:t>
            </w:r>
          </w:p>
        </w:tc>
      </w:tr>
      <w:tr>
        <w:trPr>
          <w:trHeight w:val="209"/>
        </w:trPr>
        <w:tc>
          <w:tcPr>
            <w:tcW w:w="36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9/9/2024</w:t>
            </w:r>
          </w:p>
        </w:tc>
        <w:tc>
          <w:tcPr>
            <w:tcW w:w="1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Purchase</w:t>
            </w:r>
          </w:p>
        </w:tc>
        <w:tc>
          <w:tcPr>
            <w:tcW w:w="19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1,005</w:t>
            </w:r>
          </w:p>
        </w:tc>
        <w:tc>
          <w:tcPr>
            <w:tcW w:w="1900" w:type="dxa"/>
            <w:vAlign w:val="bottom"/>
            <w:tcBorders>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$12.51</w:t>
            </w:r>
          </w:p>
        </w:tc>
      </w:tr>
      <w:tr>
        <w:trPr>
          <w:trHeight w:val="210"/>
        </w:trPr>
        <w:tc>
          <w:tcPr>
            <w:tcW w:w="36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9/9/2024</w:t>
            </w:r>
          </w:p>
        </w:tc>
        <w:tc>
          <w:tcPr>
            <w:tcW w:w="1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Purchase</w:t>
            </w:r>
          </w:p>
        </w:tc>
        <w:tc>
          <w:tcPr>
            <w:tcW w:w="19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125</w:t>
            </w:r>
          </w:p>
        </w:tc>
        <w:tc>
          <w:tcPr>
            <w:tcW w:w="1900" w:type="dxa"/>
            <w:vAlign w:val="bottom"/>
            <w:tcBorders>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$12.58</w:t>
            </w:r>
          </w:p>
        </w:tc>
      </w:tr>
      <w:tr>
        <w:trPr>
          <w:trHeight w:val="209"/>
        </w:trPr>
        <w:tc>
          <w:tcPr>
            <w:tcW w:w="36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9/10/2024</w:t>
            </w:r>
          </w:p>
        </w:tc>
        <w:tc>
          <w:tcPr>
            <w:tcW w:w="1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Purchase</w:t>
            </w:r>
          </w:p>
        </w:tc>
        <w:tc>
          <w:tcPr>
            <w:tcW w:w="19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440</w:t>
            </w:r>
          </w:p>
        </w:tc>
        <w:tc>
          <w:tcPr>
            <w:tcW w:w="1900" w:type="dxa"/>
            <w:vAlign w:val="bottom"/>
            <w:tcBorders>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$12.52</w:t>
            </w:r>
          </w:p>
        </w:tc>
      </w:tr>
      <w:tr>
        <w:trPr>
          <w:trHeight w:val="210"/>
        </w:trPr>
        <w:tc>
          <w:tcPr>
            <w:tcW w:w="36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9/11/2024</w:t>
            </w:r>
          </w:p>
        </w:tc>
        <w:tc>
          <w:tcPr>
            <w:tcW w:w="1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Purchase</w:t>
            </w:r>
          </w:p>
        </w:tc>
        <w:tc>
          <w:tcPr>
            <w:tcW w:w="19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2,476</w:t>
            </w:r>
          </w:p>
        </w:tc>
        <w:tc>
          <w:tcPr>
            <w:tcW w:w="1900" w:type="dxa"/>
            <w:vAlign w:val="bottom"/>
            <w:tcBorders>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$12.47</w:t>
            </w:r>
          </w:p>
        </w:tc>
      </w:tr>
      <w:tr>
        <w:trPr>
          <w:trHeight w:val="209"/>
        </w:trPr>
        <w:tc>
          <w:tcPr>
            <w:tcW w:w="36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 Hale Hoak</w:t>
            </w:r>
          </w:p>
        </w:tc>
        <w:tc>
          <w:tcPr>
            <w:tcW w:w="1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9/12/2024</w:t>
            </w:r>
          </w:p>
        </w:tc>
        <w:tc>
          <w:tcPr>
            <w:tcW w:w="1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Purchase</w:t>
            </w:r>
          </w:p>
        </w:tc>
        <w:tc>
          <w:tcPr>
            <w:tcW w:w="19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14,086</w:t>
            </w:r>
          </w:p>
        </w:tc>
        <w:tc>
          <w:tcPr>
            <w:tcW w:w="1900" w:type="dxa"/>
            <w:vAlign w:val="bottom"/>
            <w:tcBorders>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$12.55</w:t>
            </w:r>
          </w:p>
        </w:tc>
      </w:tr>
      <w:tr>
        <w:trPr>
          <w:trHeight w:val="209"/>
        </w:trPr>
        <w:tc>
          <w:tcPr>
            <w:tcW w:w="36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9/12/2024</w:t>
            </w:r>
          </w:p>
        </w:tc>
        <w:tc>
          <w:tcPr>
            <w:tcW w:w="1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Purchase</w:t>
            </w:r>
          </w:p>
        </w:tc>
        <w:tc>
          <w:tcPr>
            <w:tcW w:w="19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1,460</w:t>
            </w:r>
          </w:p>
        </w:tc>
        <w:tc>
          <w:tcPr>
            <w:tcW w:w="1900" w:type="dxa"/>
            <w:vAlign w:val="bottom"/>
            <w:tcBorders>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$12.51</w:t>
            </w:r>
          </w:p>
        </w:tc>
      </w:tr>
      <w:tr>
        <w:trPr>
          <w:trHeight w:val="210"/>
        </w:trPr>
        <w:tc>
          <w:tcPr>
            <w:tcW w:w="36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9/12/2024</w:t>
            </w:r>
          </w:p>
        </w:tc>
        <w:tc>
          <w:tcPr>
            <w:tcW w:w="1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Sell</w:t>
            </w: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15,000</w:t>
            </w:r>
          </w:p>
        </w:tc>
        <w:tc>
          <w:tcPr>
            <w:tcW w:w="1900" w:type="dxa"/>
            <w:vAlign w:val="bottom"/>
            <w:tcBorders>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$12.49</w:t>
            </w:r>
          </w:p>
        </w:tc>
      </w:tr>
      <w:tr>
        <w:trPr>
          <w:trHeight w:val="209"/>
        </w:trPr>
        <w:tc>
          <w:tcPr>
            <w:tcW w:w="36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 Hale Hoak</w:t>
            </w:r>
          </w:p>
        </w:tc>
        <w:tc>
          <w:tcPr>
            <w:tcW w:w="1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9/16/2024</w:t>
            </w:r>
          </w:p>
        </w:tc>
        <w:tc>
          <w:tcPr>
            <w:tcW w:w="1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Purchase</w:t>
            </w:r>
          </w:p>
        </w:tc>
        <w:tc>
          <w:tcPr>
            <w:tcW w:w="19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2,000</w:t>
            </w:r>
          </w:p>
        </w:tc>
        <w:tc>
          <w:tcPr>
            <w:tcW w:w="1900" w:type="dxa"/>
            <w:vAlign w:val="bottom"/>
            <w:tcBorders>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$12.53</w:t>
            </w:r>
          </w:p>
        </w:tc>
      </w:tr>
      <w:tr>
        <w:trPr>
          <w:trHeight w:val="209"/>
        </w:trPr>
        <w:tc>
          <w:tcPr>
            <w:tcW w:w="36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 Hale Hoak</w:t>
            </w:r>
          </w:p>
        </w:tc>
        <w:tc>
          <w:tcPr>
            <w:tcW w:w="1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9/16/2024</w:t>
            </w:r>
          </w:p>
        </w:tc>
        <w:tc>
          <w:tcPr>
            <w:tcW w:w="1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Purchase</w:t>
            </w:r>
          </w:p>
        </w:tc>
        <w:tc>
          <w:tcPr>
            <w:tcW w:w="19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2,000</w:t>
            </w:r>
          </w:p>
        </w:tc>
        <w:tc>
          <w:tcPr>
            <w:tcW w:w="1900" w:type="dxa"/>
            <w:vAlign w:val="bottom"/>
            <w:tcBorders>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$12.53</w:t>
            </w:r>
          </w:p>
        </w:tc>
      </w:tr>
      <w:tr>
        <w:trPr>
          <w:trHeight w:val="210"/>
        </w:trPr>
        <w:tc>
          <w:tcPr>
            <w:tcW w:w="36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 Hale Hoak</w:t>
            </w:r>
          </w:p>
        </w:tc>
        <w:tc>
          <w:tcPr>
            <w:tcW w:w="1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9/16/2024</w:t>
            </w:r>
          </w:p>
        </w:tc>
        <w:tc>
          <w:tcPr>
            <w:tcW w:w="1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Purchase</w:t>
            </w:r>
          </w:p>
        </w:tc>
        <w:tc>
          <w:tcPr>
            <w:tcW w:w="19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1,000</w:t>
            </w:r>
          </w:p>
        </w:tc>
        <w:tc>
          <w:tcPr>
            <w:tcW w:w="1900" w:type="dxa"/>
            <w:vAlign w:val="bottom"/>
            <w:tcBorders>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$12.53</w:t>
            </w:r>
          </w:p>
        </w:tc>
      </w:tr>
      <w:tr>
        <w:trPr>
          <w:trHeight w:val="209"/>
        </w:trPr>
        <w:tc>
          <w:tcPr>
            <w:tcW w:w="36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 Hale Hoak</w:t>
            </w:r>
          </w:p>
        </w:tc>
        <w:tc>
          <w:tcPr>
            <w:tcW w:w="1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9/16/2024</w:t>
            </w:r>
          </w:p>
        </w:tc>
        <w:tc>
          <w:tcPr>
            <w:tcW w:w="1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Purchase</w:t>
            </w:r>
          </w:p>
        </w:tc>
        <w:tc>
          <w:tcPr>
            <w:tcW w:w="19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2,631</w:t>
            </w:r>
          </w:p>
        </w:tc>
        <w:tc>
          <w:tcPr>
            <w:tcW w:w="1900" w:type="dxa"/>
            <w:vAlign w:val="bottom"/>
            <w:tcBorders>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$12.53</w:t>
            </w:r>
          </w:p>
        </w:tc>
      </w:tr>
      <w:tr>
        <w:trPr>
          <w:trHeight w:val="210"/>
        </w:trPr>
        <w:tc>
          <w:tcPr>
            <w:tcW w:w="36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 Hale Hoak</w:t>
            </w:r>
          </w:p>
        </w:tc>
        <w:tc>
          <w:tcPr>
            <w:tcW w:w="1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9/16/2024</w:t>
            </w:r>
          </w:p>
        </w:tc>
        <w:tc>
          <w:tcPr>
            <w:tcW w:w="1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Purchase</w:t>
            </w:r>
          </w:p>
        </w:tc>
        <w:tc>
          <w:tcPr>
            <w:tcW w:w="19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300</w:t>
            </w:r>
          </w:p>
        </w:tc>
        <w:tc>
          <w:tcPr>
            <w:tcW w:w="1900" w:type="dxa"/>
            <w:vAlign w:val="bottom"/>
            <w:tcBorders>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$12.52</w:t>
            </w:r>
          </w:p>
        </w:tc>
      </w:tr>
      <w:tr>
        <w:trPr>
          <w:trHeight w:val="209"/>
        </w:trPr>
        <w:tc>
          <w:tcPr>
            <w:tcW w:w="36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11/1/2024</w:t>
            </w:r>
          </w:p>
        </w:tc>
        <w:tc>
          <w:tcPr>
            <w:tcW w:w="1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Purchase</w:t>
            </w:r>
          </w:p>
        </w:tc>
        <w:tc>
          <w:tcPr>
            <w:tcW w:w="19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1,484</w:t>
            </w:r>
          </w:p>
        </w:tc>
        <w:tc>
          <w:tcPr>
            <w:tcW w:w="1900" w:type="dxa"/>
            <w:vAlign w:val="bottom"/>
            <w:tcBorders>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$14.80</w:t>
            </w:r>
          </w:p>
        </w:tc>
      </w:tr>
      <w:tr>
        <w:trPr>
          <w:trHeight w:val="209"/>
        </w:trPr>
        <w:tc>
          <w:tcPr>
            <w:tcW w:w="36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11/4/2024</w:t>
            </w:r>
          </w:p>
        </w:tc>
        <w:tc>
          <w:tcPr>
            <w:tcW w:w="1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Purchase</w:t>
            </w:r>
          </w:p>
        </w:tc>
        <w:tc>
          <w:tcPr>
            <w:tcW w:w="19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349</w:t>
            </w:r>
          </w:p>
        </w:tc>
        <w:tc>
          <w:tcPr>
            <w:tcW w:w="1900" w:type="dxa"/>
            <w:vAlign w:val="bottom"/>
            <w:tcBorders>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$14.03</w:t>
            </w:r>
          </w:p>
        </w:tc>
      </w:tr>
      <w:tr>
        <w:trPr>
          <w:trHeight w:val="210"/>
        </w:trPr>
        <w:tc>
          <w:tcPr>
            <w:tcW w:w="36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Hoak Public Equities, L.P.</w:t>
            </w:r>
          </w:p>
        </w:tc>
        <w:tc>
          <w:tcPr>
            <w:tcW w:w="1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11/5/2024</w:t>
            </w:r>
          </w:p>
        </w:tc>
        <w:tc>
          <w:tcPr>
            <w:tcW w:w="1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Purchase</w:t>
            </w:r>
          </w:p>
        </w:tc>
        <w:tc>
          <w:tcPr>
            <w:tcW w:w="19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40,769</w:t>
            </w:r>
          </w:p>
        </w:tc>
        <w:tc>
          <w:tcPr>
            <w:tcW w:w="1900" w:type="dxa"/>
            <w:vAlign w:val="bottom"/>
            <w:tcBorders>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$14.55</w:t>
            </w:r>
          </w:p>
        </w:tc>
      </w:tr>
      <w:tr>
        <w:trPr>
          <w:trHeight w:val="560"/>
        </w:trPr>
        <w:tc>
          <w:tcPr>
            <w:tcW w:w="36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07" w:lineRule="exact"/>
        <w:rPr>
          <w:sz w:val="20"/>
          <w:szCs w:val="20"/>
          <w:color w:val="auto"/>
        </w:rPr>
      </w:pPr>
    </w:p>
    <w:p>
      <w:pPr>
        <w:jc w:val="both"/>
        <w:ind w:firstLine="824"/>
        <w:spacing w:after="0" w:line="266" w:lineRule="auto"/>
        <w:rPr>
          <w:sz w:val="20"/>
          <w:szCs w:val="20"/>
          <w:color w:val="auto"/>
        </w:rPr>
      </w:pPr>
      <w:r>
        <w:rPr>
          <w:rFonts w:ascii="Times New Roman" w:cs="Times New Roman" w:eastAsia="Times New Roman" w:hAnsi="Times New Roman"/>
          <w:sz w:val="18"/>
          <w:szCs w:val="18"/>
          <w:color w:val="auto"/>
        </w:rPr>
        <w:t>In accordance with Rule 13d-1(k)(1)(iii) under the Securities Exchange Act of 1934, as amended, the persons named below agree to the joint filing on behalf of each of them of a Statement on Schedule 13D dated November 7, 2024 (including amendments thereto) with respect to the Common Stock of Westwood Holdings Group, Inc. This Joint Filing Agreement shall be filed as an Exhibit to such Statement.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November 7, 2024</w:t>
            </w:r>
          </w:p>
        </w:tc>
        <w:tc>
          <w:tcPr>
            <w:tcW w:w="16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32"/>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Hoak Public Equities, L.P.</w:t>
            </w:r>
          </w:p>
        </w:tc>
        <w:tc>
          <w:tcPr>
            <w:tcW w:w="538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Hoak Fund Management, L.P.</w:t>
            </w:r>
          </w:p>
        </w:tc>
      </w:tr>
      <w:tr>
        <w:trPr>
          <w:trHeight w:val="432"/>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Hoak Fund Management, L.P., its general partner</w:t>
            </w:r>
          </w:p>
        </w:tc>
        <w:tc>
          <w:tcPr>
            <w:tcW w:w="53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By: Hoak &amp; Co., its general partner</w:t>
            </w:r>
          </w:p>
        </w:tc>
      </w:tr>
      <w:tr>
        <w:trPr>
          <w:trHeight w:val="432"/>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Hoak &amp; Co., its general partner</w:t>
            </w:r>
          </w:p>
        </w:tc>
        <w:tc>
          <w:tcPr>
            <w:tcW w:w="16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Hale Hoak</w:t>
            </w:r>
          </w:p>
        </w:tc>
      </w:tr>
      <w:tr>
        <w:trPr>
          <w:trHeight w:val="191"/>
        </w:trPr>
        <w:tc>
          <w:tcPr>
            <w:tcW w:w="4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 Hale Hoak</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Hale Hoak</w:t>
            </w:r>
          </w:p>
        </w:tc>
        <w:tc>
          <w:tcPr>
            <w:tcW w:w="16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191"/>
        </w:trPr>
        <w:tc>
          <w:tcPr>
            <w:tcW w:w="460" w:type="dxa"/>
            <w:vAlign w:val="bottom"/>
          </w:tcPr>
          <w:p>
            <w:pPr>
              <w:spacing w:after="0"/>
              <w:rPr>
                <w:sz w:val="16"/>
                <w:szCs w:val="16"/>
                <w:color w:val="auto"/>
              </w:rPr>
            </w:pPr>
          </w:p>
        </w:tc>
        <w:tc>
          <w:tcPr>
            <w:tcW w:w="3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 Hale Hoak</w:t>
            </w:r>
          </w:p>
        </w:tc>
        <w:tc>
          <w:tcPr>
            <w:tcW w:w="168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234"/>
        </w:trPr>
        <w:tc>
          <w:tcPr>
            <w:tcW w:w="46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16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32"/>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Hoak &amp; Co.</w:t>
            </w:r>
          </w:p>
        </w:tc>
        <w:tc>
          <w:tcPr>
            <w:tcW w:w="538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James M. Hoak, Jr.</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Hale Hoak</w:t>
            </w:r>
          </w:p>
        </w:tc>
        <w:tc>
          <w:tcPr>
            <w:tcW w:w="16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M. Hoak, Jr.</w:t>
            </w:r>
          </w:p>
        </w:tc>
      </w:tr>
      <w:tr>
        <w:trPr>
          <w:trHeight w:val="191"/>
        </w:trPr>
        <w:tc>
          <w:tcPr>
            <w:tcW w:w="460" w:type="dxa"/>
            <w:vAlign w:val="bottom"/>
          </w:tcPr>
          <w:p>
            <w:pPr>
              <w:spacing w:after="0"/>
              <w:rPr>
                <w:sz w:val="16"/>
                <w:szCs w:val="16"/>
                <w:color w:val="auto"/>
              </w:rPr>
            </w:pPr>
          </w:p>
        </w:tc>
        <w:tc>
          <w:tcPr>
            <w:tcW w:w="3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 Hale Hoak</w:t>
            </w:r>
          </w:p>
        </w:tc>
        <w:tc>
          <w:tcPr>
            <w:tcW w:w="1680" w:type="dxa"/>
            <w:vAlign w:val="bottom"/>
          </w:tcPr>
          <w:p>
            <w:pPr>
              <w:spacing w:after="0"/>
              <w:rPr>
                <w:sz w:val="16"/>
                <w:szCs w:val="16"/>
                <w:color w:val="auto"/>
              </w:rPr>
            </w:pPr>
          </w:p>
        </w:tc>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M. Hoak, Jr.</w:t>
            </w:r>
          </w:p>
        </w:tc>
      </w:tr>
      <w:tr>
        <w:trPr>
          <w:trHeight w:val="234"/>
        </w:trPr>
        <w:tc>
          <w:tcPr>
            <w:tcW w:w="46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168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Hale Hoak</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 Hale Hoak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3571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 Hale Hoak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
      <w:numFmt w:val="bullet"/>
      <w:start w:val="1"/>
    </w:lvl>
    <w:lvl w:ilvl="1">
      <w:lvlJc w:val="left"/>
      <w:lvlText w:val="%2"/>
      <w:numFmt w:val="decimal"/>
      <w:start w:val="14"/>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
      <w:numFmt w:val="bullet"/>
      <w:start w:val="1"/>
    </w:lvl>
    <w:lvl w:ilvl="1">
      <w:lvlJc w:val="left"/>
      <w:lvlText w:val="%2"/>
      <w:numFmt w:val="decimal"/>
      <w:start w:val="14"/>
    </w:lvl>
  </w:abstractNum>
  <w:abstractNum w:abstractNumId="4">
    <w:nsid w:val="7545E146"/>
    <w:multiLevelType w:val="hybridMultilevel"/>
    <w:lvl w:ilvl="0">
      <w:lvlJc w:val="left"/>
      <w:lvlText w:val="*"/>
      <w:numFmt w:val="bullet"/>
      <w:start w:val="1"/>
    </w:lvl>
    <w:lvl w:ilvl="1">
      <w:lvlJc w:val="left"/>
      <w:lvlText w:val="%2"/>
      <w:numFmt w:val="decimal"/>
      <w:start w:val="14"/>
    </w:lvl>
  </w:abstractNum>
  <w:abstractNum w:abstractNumId="5">
    <w:nsid w:val="515F007C"/>
    <w:multiLevelType w:val="hybridMultilevel"/>
    <w:lvl w:ilvl="0">
      <w:lvlJc w:val="left"/>
      <w:lvlText w:val="1"/>
      <w:numFmt w:val="bullet"/>
      <w:start w:val="1"/>
    </w:lvl>
    <w:lvl w:ilvl="1">
      <w:lvlJc w:val="left"/>
      <w:lvlText w:val="%2"/>
      <w:numFmt w:val="upperLetter"/>
      <w:start w:val="1"/>
    </w:lvl>
  </w:abstractNum>
  <w:abstractNum w:abstractNumId="6">
    <w:nsid w:val="5BD062C2"/>
    <w:multiLevelType w:val="hybridMultilevel"/>
    <w:lvl w:ilvl="0">
      <w:lvlJc w:val="left"/>
      <w:lvlText w:val="*"/>
      <w:numFmt w:val="bullet"/>
      <w:start w:val="1"/>
    </w:lvl>
    <w:lvl w:ilvl="1">
      <w:lvlJc w:val="left"/>
      <w:lvlText w:val="%2"/>
      <w:numFmt w:val="decimal"/>
      <w:start w:val="14"/>
    </w:lvl>
  </w:abstractNum>
  <w:abstractNum w:abstractNumId="7">
    <w:nsid w:val="12200854"/>
    <w:multiLevelType w:val="hybridMultilevel"/>
    <w:lvl w:ilvl="0">
      <w:lvlJc w:val="left"/>
      <w:lvlText w:val="**"/>
      <w:numFmt w:val="bullet"/>
      <w:start w:val="1"/>
    </w:lvl>
    <w:lvl w:ilvl="1">
      <w:lvlJc w:val="left"/>
      <w:lvlText w:val="%2"/>
      <w:numFmt w:val="decimal"/>
      <w:start w:val="1"/>
    </w:lvl>
  </w:abstractNum>
  <w:abstractNum w:abstractNumId="8">
    <w:nsid w:val="4DB127F8"/>
    <w:multiLevelType w:val="hybridMultilevel"/>
    <w:lvl w:ilvl="0">
      <w:lvlJc w:val="left"/>
      <w:lvlText w:val="*"/>
      <w:numFmt w:val="bullet"/>
      <w:start w:val="1"/>
    </w:lvl>
    <w:lvl w:ilvl="1">
      <w:lvlJc w:val="left"/>
      <w:lvlText w:val="%2"/>
      <w:numFmt w:val="decimal"/>
      <w:start w:val="14"/>
    </w:lvl>
  </w:abstractNum>
  <w:abstractNum w:abstractNumId="9">
    <w:nsid w:val="216231B"/>
    <w:multiLevelType w:val="hybridMultilevel"/>
    <w:lvl w:ilvl="0">
      <w:lvlJc w:val="left"/>
      <w:lvlText w:val="(%1)"/>
      <w:numFmt w:val="lowerLetter"/>
      <w:start w:val="1"/>
    </w:lvl>
    <w:lvl w:ilvl="1">
      <w:lvlJc w:val="left"/>
      <w:lvlText w:val="%2."/>
      <w:numFmt w:val="lowerRoman"/>
      <w:start w:val="1"/>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2024-11-07T17:16:01Z</dcterms:created>
  <dcterms:modified xsi:type="dcterms:W3CDTF">2024-11-07T17:16:01Z</dcterms:modified>
</cp:coreProperties>
</file>