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4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6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Pursuant to Section 13 or 15(d) of</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April 26, 2017</w:t>
      </w:r>
    </w:p>
    <w:p>
      <w:pPr>
        <w:spacing w:after="0" w:line="200" w:lineRule="exact"/>
        <w:rPr>
          <w:sz w:val="24"/>
          <w:szCs w:val="24"/>
          <w:color w:val="auto"/>
        </w:rPr>
      </w:pPr>
    </w:p>
    <w:p>
      <w:pPr>
        <w:spacing w:after="0" w:line="266"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WESTWOOD HOLDINGS GROUP, INC.</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74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17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2040"/>
        <w:spacing w:after="0"/>
        <w:rPr>
          <w:sz w:val="20"/>
          <w:szCs w:val="20"/>
          <w:color w:val="auto"/>
        </w:rPr>
      </w:pPr>
      <w:r>
        <w:rPr>
          <w:rFonts w:ascii="Arial" w:cs="Arial" w:eastAsia="Arial" w:hAnsi="Arial"/>
          <w:sz w:val="16"/>
          <w:szCs w:val="16"/>
          <w:b w:val="1"/>
          <w:bCs w:val="1"/>
          <w:color w:val="auto"/>
        </w:rPr>
        <w:t>001-31234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75-2969997</w:t>
      </w:r>
    </w:p>
    <w:p>
      <w:pPr>
        <w:spacing w:after="0" w:line="95" w:lineRule="exact"/>
        <w:rPr>
          <w:sz w:val="24"/>
          <w:szCs w:val="24"/>
          <w:color w:val="auto"/>
        </w:rPr>
      </w:pPr>
    </w:p>
    <w:p>
      <w:pPr>
        <w:sectPr>
          <w:pgSz w:w="11900" w:h="16838" w:orient="portrait"/>
          <w:cols w:equalWidth="0" w:num="3">
            <w:col w:w="4720" w:space="720"/>
            <w:col w:w="2820" w:space="720"/>
            <w:col w:w="2400"/>
          </w:cols>
          <w:pgMar w:left="240" w:top="747" w:right="279" w:bottom="1440" w:gutter="0" w:footer="0" w:header="0"/>
          <w:type w:val="continuous"/>
        </w:sectPr>
      </w:pPr>
    </w:p>
    <w:p>
      <w:pPr>
        <w:jc w:val="center"/>
        <w:ind w:right="440"/>
        <w:spacing w:after="0"/>
        <w:rPr>
          <w:sz w:val="20"/>
          <w:szCs w:val="20"/>
          <w:color w:val="auto"/>
        </w:rPr>
      </w:pPr>
      <w:r>
        <w:rPr>
          <w:rFonts w:ascii="Arial" w:cs="Arial" w:eastAsia="Arial" w:hAnsi="Arial"/>
          <w:sz w:val="14"/>
          <w:szCs w:val="14"/>
          <w:color w:val="auto"/>
        </w:rPr>
        <w:t>(State or Other Jurisdiction</w:t>
      </w:r>
    </w:p>
    <w:p>
      <w:pPr>
        <w:spacing w:after="0" w:line="45"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6"/>
          <w:szCs w:val="16"/>
          <w:color w:val="auto"/>
        </w:rPr>
        <w:t>(I.R.S. Employer</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Identification Number)</w:t>
      </w:r>
    </w:p>
    <w:p>
      <w:pPr>
        <w:spacing w:after="0" w:line="179" w:lineRule="exact"/>
        <w:rPr>
          <w:sz w:val="24"/>
          <w:szCs w:val="24"/>
          <w:color w:val="auto"/>
        </w:rPr>
      </w:pPr>
    </w:p>
    <w:p>
      <w:pPr>
        <w:sectPr>
          <w:pgSz w:w="11900" w:h="16838" w:orient="portrait"/>
          <w:cols w:equalWidth="0" w:num="3">
            <w:col w:w="4680" w:space="720"/>
            <w:col w:w="2540" w:space="720"/>
            <w:col w:w="2720"/>
          </w:cols>
          <w:pgMar w:left="240" w:top="747"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200 Crescent Court, Suite 1200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(214) 756-6900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380"/>
          </w:cols>
          <w:pgMar w:left="240" w:top="747"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38"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80"/>
          </w:cols>
          <w:pgMar w:left="240" w:top="747" w:right="279" w:bottom="1440" w:gutter="0" w:footer="0" w:header="0"/>
          <w:type w:val="continuous"/>
        </w:sectPr>
      </w:pPr>
    </w:p>
    <w:bookmarkStart w:id="1" w:name="page2"/>
    <w:bookmarkEnd w:id="1"/>
    <w:p>
      <w:pPr>
        <w:ind w:left="1300" w:right="1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12"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As previously announced and as further described under Item 5.07, on April 26, 2017, Westwood Holdings Group, Inc. (the “Company”) held its annual meeting of stockholders in Dallas, Texas (the “Annual Meeting”). The Company’s stockholders approved the Fourth Amended and Restated Westwood Holdings Group, Inc. Stock Incentive Plan (the “Incentive Plan”). The material revisions of the Incentive Plan included:</w:t>
      </w:r>
    </w:p>
    <w:p>
      <w:pPr>
        <w:spacing w:after="0" w:line="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total number of shares currently authorized under the Incentive Plan by 250,000 shares;</w:t>
      </w:r>
    </w:p>
    <w:p>
      <w:pPr>
        <w:spacing w:after="0" w:line="63"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 a minimum one-year vesting limitation on awards granted under the Incentive Plan (with exception for death, disability, or a change in control), with a carve-out exception for up to 5% of the total shares currently authorized under the Incentive Plan;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Eliminate option share repricing;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Eliminate the ability to accelerate vesting of shares other than for death, disability, or change in control;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Prohibit utilizing shares of stock that are withheld to satisfy tax withholding obligations for subsequent awards under the Incentive Plan;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Prohibit the payment of dividends on unvested shares;</w:t>
      </w:r>
    </w:p>
    <w:p>
      <w:pPr>
        <w:spacing w:after="0" w:line="63"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Set a limitation, such that the grant of an award to a non-employee director, acting in his or her capacity as director, taken together with cash fees paid to the non-employee director, cannot exceed $350,000 in the case of a non-employee director other than the Chairman of the Board or $500,000 in the case of the Chairman of the Board; and</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 the term of the Incentive Plan to March 10, 2027.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Incentive Plan was included as Appendix A to the Definitive Proxy Statement filed with the SEC on March 20, 2017.</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the Annual Meeting, the following Proposals 1, 2, 3, 4, 5, and 6 were approved by the Company’s stockholders. No other business was brought before the Annual Meeting. The Proposals are described in detail in the Company’s definitive proxy statement filed with the SEC on March 20, 2017. The voting results for the Annual Meeting are set forth below.</w:t>
      </w:r>
    </w:p>
    <w:p>
      <w:pPr>
        <w:spacing w:after="0" w:line="141" w:lineRule="exact"/>
        <w:rPr>
          <w:sz w:val="20"/>
          <w:szCs w:val="20"/>
          <w:color w:val="auto"/>
        </w:rPr>
      </w:pPr>
    </w:p>
    <w:p>
      <w:pPr>
        <w:ind w:left="540" w:right="14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The stockholders elected the directors listed below to hold office until the next annual meeting and until their respective successors shall have been duly elected and qualified. The voting results for this Proposal 1 were as follows: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2840" w:type="dxa"/>
            <w:vAlign w:val="bottom"/>
          </w:tcPr>
          <w:p>
            <w:pPr>
              <w:ind w:left="40"/>
              <w:spacing w:after="0"/>
              <w:rPr>
                <w:sz w:val="20"/>
                <w:szCs w:val="20"/>
                <w:color w:val="auto"/>
              </w:rPr>
            </w:pPr>
            <w:r>
              <w:rPr>
                <w:rFonts w:ascii="Arial" w:cs="Arial" w:eastAsia="Arial" w:hAnsi="Arial"/>
                <w:sz w:val="14"/>
                <w:szCs w:val="14"/>
                <w:b w:val="1"/>
                <w:bCs w:val="1"/>
                <w:color w:val="auto"/>
              </w:rPr>
              <w:t>Nominee</w:t>
            </w:r>
          </w:p>
        </w:tc>
        <w:tc>
          <w:tcPr>
            <w:tcW w:w="1820" w:type="dxa"/>
            <w:vAlign w:val="bottom"/>
            <w:gridSpan w:val="2"/>
          </w:tcPr>
          <w:p>
            <w:pPr>
              <w:ind w:left="740"/>
              <w:spacing w:after="0"/>
              <w:rPr>
                <w:sz w:val="20"/>
                <w:szCs w:val="20"/>
                <w:color w:val="auto"/>
              </w:rPr>
            </w:pPr>
            <w:r>
              <w:rPr>
                <w:rFonts w:ascii="Arial" w:cs="Arial" w:eastAsia="Arial" w:hAnsi="Arial"/>
                <w:sz w:val="14"/>
                <w:szCs w:val="14"/>
                <w:b w:val="1"/>
                <w:bCs w:val="1"/>
                <w:color w:val="auto"/>
              </w:rPr>
              <w:t>For</w:t>
            </w:r>
          </w:p>
        </w:tc>
        <w:tc>
          <w:tcPr>
            <w:tcW w:w="1800" w:type="dxa"/>
            <w:vAlign w:val="bottom"/>
            <w:gridSpan w:val="2"/>
          </w:tcPr>
          <w:p>
            <w:pPr>
              <w:ind w:left="560"/>
              <w:spacing w:after="0"/>
              <w:rPr>
                <w:sz w:val="20"/>
                <w:szCs w:val="20"/>
                <w:color w:val="auto"/>
              </w:rPr>
            </w:pPr>
            <w:r>
              <w:rPr>
                <w:rFonts w:ascii="Arial" w:cs="Arial" w:eastAsia="Arial" w:hAnsi="Arial"/>
                <w:sz w:val="14"/>
                <w:szCs w:val="14"/>
                <w:b w:val="1"/>
                <w:bCs w:val="1"/>
                <w:color w:val="auto"/>
              </w:rPr>
              <w:t>Withheld</w:t>
            </w:r>
          </w:p>
        </w:tc>
        <w:tc>
          <w:tcPr>
            <w:tcW w:w="1720" w:type="dxa"/>
            <w:vAlign w:val="bottom"/>
          </w:tcPr>
          <w:p>
            <w:pPr>
              <w:jc w:val="right"/>
              <w:ind w:right="252"/>
              <w:spacing w:after="0"/>
              <w:rPr>
                <w:sz w:val="20"/>
                <w:szCs w:val="20"/>
                <w:color w:val="auto"/>
              </w:rPr>
            </w:pPr>
            <w:r>
              <w:rPr>
                <w:rFonts w:ascii="Arial" w:cs="Arial" w:eastAsia="Arial" w:hAnsi="Arial"/>
                <w:sz w:val="14"/>
                <w:szCs w:val="14"/>
                <w:b w:val="1"/>
                <w:bCs w:val="1"/>
                <w:color w:val="auto"/>
              </w:rPr>
              <w:t>Broker Non-Vote</w:t>
            </w:r>
          </w:p>
        </w:tc>
      </w:tr>
      <w:tr>
        <w:trPr>
          <w:trHeight w:val="250"/>
        </w:trPr>
        <w:tc>
          <w:tcPr>
            <w:tcW w:w="2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Brian O. Casey</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7,048,388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849,592</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Richard M. Frank</w:t>
            </w:r>
          </w:p>
        </w:tc>
        <w:tc>
          <w:tcPr>
            <w:tcW w:w="1700" w:type="dxa"/>
            <w:vAlign w:val="bottom"/>
          </w:tcPr>
          <w:p>
            <w:pPr>
              <w:jc w:val="right"/>
              <w:spacing w:after="0"/>
              <w:rPr>
                <w:sz w:val="20"/>
                <w:szCs w:val="20"/>
                <w:color w:val="auto"/>
              </w:rPr>
            </w:pPr>
            <w:r>
              <w:rPr>
                <w:rFonts w:ascii="Arial" w:cs="Arial" w:eastAsia="Arial" w:hAnsi="Arial"/>
                <w:sz w:val="18"/>
                <w:szCs w:val="18"/>
                <w:color w:val="auto"/>
              </w:rPr>
              <w:t>7,028,782</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65,846</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849,592</w:t>
            </w:r>
          </w:p>
        </w:tc>
      </w:tr>
      <w:tr>
        <w:trPr>
          <w:trHeight w:val="27"/>
        </w:trPr>
        <w:tc>
          <w:tcPr>
            <w:tcW w:w="2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Susan M. Byrne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7,050,331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849,592</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Ellen H. Masterson</w:t>
            </w:r>
          </w:p>
        </w:tc>
        <w:tc>
          <w:tcPr>
            <w:tcW w:w="1700" w:type="dxa"/>
            <w:vAlign w:val="bottom"/>
          </w:tcPr>
          <w:p>
            <w:pPr>
              <w:jc w:val="right"/>
              <w:spacing w:after="0"/>
              <w:rPr>
                <w:sz w:val="20"/>
                <w:szCs w:val="20"/>
                <w:color w:val="auto"/>
              </w:rPr>
            </w:pPr>
            <w:r>
              <w:rPr>
                <w:rFonts w:ascii="Arial" w:cs="Arial" w:eastAsia="Arial" w:hAnsi="Arial"/>
                <w:sz w:val="18"/>
                <w:szCs w:val="18"/>
                <w:color w:val="auto"/>
              </w:rPr>
              <w:t>7,006,524</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88,104</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849,592</w:t>
            </w:r>
          </w:p>
        </w:tc>
      </w:tr>
      <w:tr>
        <w:trPr>
          <w:trHeight w:val="27"/>
        </w:trPr>
        <w:tc>
          <w:tcPr>
            <w:tcW w:w="2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D. McTeer</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7,023,613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71,015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849,592</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Geoffrey R. Norman</w:t>
            </w:r>
          </w:p>
        </w:tc>
        <w:tc>
          <w:tcPr>
            <w:tcW w:w="1700" w:type="dxa"/>
            <w:vAlign w:val="bottom"/>
          </w:tcPr>
          <w:p>
            <w:pPr>
              <w:jc w:val="right"/>
              <w:spacing w:after="0"/>
              <w:rPr>
                <w:sz w:val="20"/>
                <w:szCs w:val="20"/>
                <w:color w:val="auto"/>
              </w:rPr>
            </w:pPr>
            <w:r>
              <w:rPr>
                <w:rFonts w:ascii="Arial" w:cs="Arial" w:eastAsia="Arial" w:hAnsi="Arial"/>
                <w:sz w:val="18"/>
                <w:szCs w:val="18"/>
                <w:color w:val="auto"/>
              </w:rPr>
              <w:t>7,028,902</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65,726</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849,592</w:t>
            </w:r>
          </w:p>
        </w:tc>
      </w:tr>
      <w:tr>
        <w:trPr>
          <w:trHeight w:val="27"/>
        </w:trPr>
        <w:tc>
          <w:tcPr>
            <w:tcW w:w="2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Martin J. Weiland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7,021,981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72,647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849,592</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Raymond E. Wooldridge</w:t>
            </w:r>
          </w:p>
        </w:tc>
        <w:tc>
          <w:tcPr>
            <w:tcW w:w="1700" w:type="dxa"/>
            <w:vAlign w:val="bottom"/>
          </w:tcPr>
          <w:p>
            <w:pPr>
              <w:jc w:val="right"/>
              <w:spacing w:after="0"/>
              <w:rPr>
                <w:sz w:val="20"/>
                <w:szCs w:val="20"/>
                <w:color w:val="auto"/>
              </w:rPr>
            </w:pPr>
            <w:r>
              <w:rPr>
                <w:rFonts w:ascii="Arial" w:cs="Arial" w:eastAsia="Arial" w:hAnsi="Arial"/>
                <w:sz w:val="18"/>
                <w:szCs w:val="18"/>
                <w:color w:val="auto"/>
              </w:rPr>
              <w:t>7,010,741</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83,887</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849,592</w:t>
            </w:r>
          </w:p>
        </w:tc>
      </w:tr>
    </w:tbl>
    <w:p>
      <w:pPr>
        <w:spacing w:after="0" w:line="310" w:lineRule="exact"/>
        <w:rPr>
          <w:sz w:val="20"/>
          <w:szCs w:val="20"/>
          <w:color w:val="auto"/>
        </w:rPr>
      </w:pPr>
    </w:p>
    <w:p>
      <w:pPr>
        <w:ind w:left="540" w:right="32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stockholders ratified Deloitte &amp; Touche LLP as the Company’s independent auditors for the year ending December 31, 2017. The voting results for this Proposal 2 were as follows:</w:t>
      </w:r>
    </w:p>
    <w:p>
      <w:pPr>
        <w:spacing w:after="0" w:line="176"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2140" w:type="dxa"/>
            <w:vAlign w:val="bottom"/>
            <w:gridSpan w:val="2"/>
          </w:tcPr>
          <w:p>
            <w:pPr>
              <w:ind w:left="900"/>
              <w:spacing w:after="0"/>
              <w:rPr>
                <w:sz w:val="20"/>
                <w:szCs w:val="20"/>
                <w:color w:val="auto"/>
              </w:rPr>
            </w:pPr>
            <w:r>
              <w:rPr>
                <w:rFonts w:ascii="Arial" w:cs="Arial" w:eastAsia="Arial" w:hAnsi="Arial"/>
                <w:sz w:val="14"/>
                <w:szCs w:val="14"/>
                <w:b w:val="1"/>
                <w:bCs w:val="1"/>
                <w:color w:val="auto"/>
              </w:rPr>
              <w:t>For</w:t>
            </w:r>
          </w:p>
        </w:tc>
        <w:tc>
          <w:tcPr>
            <w:tcW w:w="2040" w:type="dxa"/>
            <w:vAlign w:val="bottom"/>
            <w:gridSpan w:val="2"/>
          </w:tcPr>
          <w:p>
            <w:pPr>
              <w:ind w:left="740"/>
              <w:spacing w:after="0"/>
              <w:rPr>
                <w:sz w:val="20"/>
                <w:szCs w:val="20"/>
                <w:color w:val="auto"/>
              </w:rPr>
            </w:pPr>
            <w:r>
              <w:rPr>
                <w:rFonts w:ascii="Arial" w:cs="Arial" w:eastAsia="Arial" w:hAnsi="Arial"/>
                <w:sz w:val="14"/>
                <w:szCs w:val="14"/>
                <w:b w:val="1"/>
                <w:bCs w:val="1"/>
                <w:color w:val="auto"/>
              </w:rPr>
              <w:t>Against</w:t>
            </w:r>
          </w:p>
        </w:tc>
        <w:tc>
          <w:tcPr>
            <w:tcW w:w="1940" w:type="dxa"/>
            <w:vAlign w:val="bottom"/>
          </w:tcPr>
          <w:p>
            <w:pPr>
              <w:jc w:val="right"/>
              <w:ind w:right="659"/>
              <w:spacing w:after="0"/>
              <w:rPr>
                <w:sz w:val="20"/>
                <w:szCs w:val="20"/>
                <w:color w:val="auto"/>
              </w:rPr>
            </w:pPr>
            <w:r>
              <w:rPr>
                <w:rFonts w:ascii="Arial" w:cs="Arial" w:eastAsia="Arial" w:hAnsi="Arial"/>
                <w:sz w:val="14"/>
                <w:szCs w:val="14"/>
                <w:b w:val="1"/>
                <w:bCs w:val="1"/>
                <w:color w:val="auto"/>
              </w:rPr>
              <w:t>Abstain</w:t>
            </w:r>
          </w:p>
        </w:tc>
      </w:tr>
      <w:tr>
        <w:trPr>
          <w:trHeight w:val="243"/>
        </w:trPr>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7,807,463</w:t>
            </w:r>
          </w:p>
        </w:tc>
        <w:tc>
          <w:tcPr>
            <w:tcW w:w="10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132,635</w:t>
            </w:r>
          </w:p>
        </w:tc>
        <w:tc>
          <w:tcPr>
            <w:tcW w:w="10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r>
      <w:tr>
        <w:trPr>
          <w:trHeight w:val="27"/>
        </w:trPr>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ectPr>
          <w:pgSz w:w="11900" w:h="16838" w:orient="portrait"/>
          <w:cols w:equalWidth="0" w:num="1">
            <w:col w:w="11380"/>
          </w:cols>
          <w:pgMar w:left="240" w:top="742" w:right="279" w:bottom="1440" w:gutter="0" w:footer="0" w:header="0"/>
        </w:sectPr>
      </w:pPr>
    </w:p>
    <w:bookmarkStart w:id="2" w:name="page3"/>
    <w:bookmarkEnd w:id="2"/>
    <w:p>
      <w:pPr>
        <w:ind w:left="316" w:hanging="316"/>
        <w:spacing w:after="0" w:line="277" w:lineRule="auto"/>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stockholders approved the Fourth Amended and Restated Westwood Holdings Group, Inc. Stock Incentive Plan. The voting results for this Proposal 3 were as follows:</w:t>
      </w:r>
    </w:p>
    <w:p>
      <w:pPr>
        <w:spacing w:after="0" w:line="176" w:lineRule="exact"/>
        <w:rPr>
          <w:sz w:val="20"/>
          <w:szCs w:val="20"/>
          <w:color w:val="auto"/>
        </w:rPr>
      </w:pPr>
    </w:p>
    <w:tbl>
      <w:tblPr>
        <w:tblLayout w:type="fixed"/>
        <w:tblInd w:w="1856" w:type="dxa"/>
        <w:tblCellMar>
          <w:top w:w="0" w:type="dxa"/>
          <w:left w:w="0" w:type="dxa"/>
          <w:bottom w:w="0" w:type="dxa"/>
          <w:right w:w="0" w:type="dxa"/>
        </w:tblCellMar>
      </w:tblPr>
      <w:tr>
        <w:trPr>
          <w:trHeight w:val="192"/>
        </w:trPr>
        <w:tc>
          <w:tcPr>
            <w:tcW w:w="2100" w:type="dxa"/>
            <w:vAlign w:val="bottom"/>
            <w:gridSpan w:val="2"/>
          </w:tcPr>
          <w:p>
            <w:pPr>
              <w:ind w:left="880"/>
              <w:spacing w:after="0"/>
              <w:rPr>
                <w:sz w:val="20"/>
                <w:szCs w:val="20"/>
                <w:color w:val="auto"/>
              </w:rPr>
            </w:pPr>
            <w:r>
              <w:rPr>
                <w:rFonts w:ascii="Arial" w:cs="Arial" w:eastAsia="Arial" w:hAnsi="Arial"/>
                <w:sz w:val="14"/>
                <w:szCs w:val="14"/>
                <w:b w:val="1"/>
                <w:bCs w:val="1"/>
                <w:color w:val="auto"/>
              </w:rPr>
              <w:t>For</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Against</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1660" w:type="dxa"/>
            <w:vAlign w:val="bottom"/>
          </w:tcPr>
          <w:p>
            <w:pPr>
              <w:jc w:val="right"/>
              <w:ind w:right="239"/>
              <w:spacing w:after="0"/>
              <w:rPr>
                <w:sz w:val="20"/>
                <w:szCs w:val="20"/>
                <w:color w:val="auto"/>
              </w:rPr>
            </w:pPr>
            <w:r>
              <w:rPr>
                <w:rFonts w:ascii="Arial" w:cs="Arial" w:eastAsia="Arial" w:hAnsi="Arial"/>
                <w:sz w:val="14"/>
                <w:szCs w:val="14"/>
                <w:b w:val="1"/>
                <w:bCs w:val="1"/>
                <w:color w:val="auto"/>
              </w:rPr>
              <w:t>Broker Non-Vote</w:t>
            </w:r>
          </w:p>
        </w:tc>
      </w:tr>
      <w:tr>
        <w:trPr>
          <w:trHeight w:val="243"/>
        </w:trPr>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6,122,638</w:t>
            </w:r>
          </w:p>
        </w:tc>
        <w:tc>
          <w:tcPr>
            <w:tcW w:w="10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953,689</w:t>
            </w:r>
          </w:p>
        </w:tc>
        <w:tc>
          <w:tcPr>
            <w:tcW w:w="12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18,301</w:t>
            </w:r>
          </w:p>
        </w:tc>
        <w:tc>
          <w:tcPr>
            <w:tcW w:w="12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849,592</w:t>
            </w:r>
          </w:p>
        </w:tc>
      </w:tr>
      <w:tr>
        <w:trPr>
          <w:trHeight w:val="27"/>
        </w:trPr>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76" w:hanging="249"/>
        <w:spacing w:after="0"/>
        <w:tabs>
          <w:tab w:leader="none" w:pos="276"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Proposal 4</w:t>
      </w:r>
      <w:r>
        <w:rPr>
          <w:rFonts w:ascii="Arial" w:cs="Arial" w:eastAsia="Arial" w:hAnsi="Arial"/>
          <w:sz w:val="16"/>
          <w:szCs w:val="16"/>
          <w:color w:val="auto"/>
        </w:rPr>
        <w:t>: The stockholders approved, on a non-binding, advisory basis, the Company's executive compensation. The voting results for this Proposal</w:t>
      </w:r>
    </w:p>
    <w:p>
      <w:pPr>
        <w:spacing w:after="0" w:line="46" w:lineRule="exact"/>
        <w:rPr>
          <w:rFonts w:ascii="Arial" w:cs="Arial" w:eastAsia="Arial" w:hAnsi="Arial"/>
          <w:sz w:val="16"/>
          <w:szCs w:val="16"/>
          <w:color w:val="auto"/>
        </w:rPr>
      </w:pPr>
    </w:p>
    <w:p>
      <w:pPr>
        <w:ind w:left="356"/>
        <w:spacing w:after="0"/>
        <w:rPr>
          <w:rFonts w:ascii="Arial" w:cs="Arial" w:eastAsia="Arial" w:hAnsi="Arial"/>
          <w:sz w:val="16"/>
          <w:szCs w:val="16"/>
          <w:color w:val="auto"/>
        </w:rPr>
      </w:pPr>
      <w:r>
        <w:rPr>
          <w:rFonts w:ascii="Arial" w:cs="Arial" w:eastAsia="Arial" w:hAnsi="Arial"/>
          <w:sz w:val="18"/>
          <w:szCs w:val="18"/>
          <w:color w:val="auto"/>
        </w:rPr>
        <w:t>4 were as follows:</w:t>
      </w:r>
    </w:p>
    <w:p>
      <w:pPr>
        <w:spacing w:after="0" w:line="216" w:lineRule="exact"/>
        <w:rPr>
          <w:sz w:val="20"/>
          <w:szCs w:val="20"/>
          <w:color w:val="auto"/>
        </w:rPr>
      </w:pPr>
    </w:p>
    <w:tbl>
      <w:tblPr>
        <w:tblLayout w:type="fixed"/>
        <w:tblInd w:w="1856" w:type="dxa"/>
        <w:tblCellMar>
          <w:top w:w="0" w:type="dxa"/>
          <w:left w:w="0" w:type="dxa"/>
          <w:bottom w:w="0" w:type="dxa"/>
          <w:right w:w="0" w:type="dxa"/>
        </w:tblCellMar>
      </w:tblPr>
      <w:tr>
        <w:trPr>
          <w:trHeight w:val="192"/>
        </w:trPr>
        <w:tc>
          <w:tcPr>
            <w:tcW w:w="2100" w:type="dxa"/>
            <w:vAlign w:val="bottom"/>
            <w:gridSpan w:val="2"/>
          </w:tcPr>
          <w:p>
            <w:pPr>
              <w:ind w:left="880"/>
              <w:spacing w:after="0"/>
              <w:rPr>
                <w:sz w:val="20"/>
                <w:szCs w:val="20"/>
                <w:color w:val="auto"/>
              </w:rPr>
            </w:pPr>
            <w:r>
              <w:rPr>
                <w:rFonts w:ascii="Arial" w:cs="Arial" w:eastAsia="Arial" w:hAnsi="Arial"/>
                <w:sz w:val="14"/>
                <w:szCs w:val="14"/>
                <w:b w:val="1"/>
                <w:bCs w:val="1"/>
                <w:color w:val="auto"/>
              </w:rPr>
              <w:t>For</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Against</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1660" w:type="dxa"/>
            <w:vAlign w:val="bottom"/>
          </w:tcPr>
          <w:p>
            <w:pPr>
              <w:jc w:val="right"/>
              <w:ind w:right="239"/>
              <w:spacing w:after="0"/>
              <w:rPr>
                <w:sz w:val="20"/>
                <w:szCs w:val="20"/>
                <w:color w:val="auto"/>
              </w:rPr>
            </w:pPr>
            <w:r>
              <w:rPr>
                <w:rFonts w:ascii="Arial" w:cs="Arial" w:eastAsia="Arial" w:hAnsi="Arial"/>
                <w:sz w:val="14"/>
                <w:szCs w:val="14"/>
                <w:b w:val="1"/>
                <w:bCs w:val="1"/>
                <w:color w:val="auto"/>
              </w:rPr>
              <w:t>Broker Non-Vote</w:t>
            </w:r>
          </w:p>
        </w:tc>
      </w:tr>
      <w:tr>
        <w:trPr>
          <w:trHeight w:val="243"/>
        </w:trPr>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5,340,667</w:t>
            </w:r>
          </w:p>
        </w:tc>
        <w:tc>
          <w:tcPr>
            <w:tcW w:w="10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1,729,575</w:t>
            </w:r>
          </w:p>
        </w:tc>
        <w:tc>
          <w:tcPr>
            <w:tcW w:w="12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24,386</w:t>
            </w:r>
          </w:p>
        </w:tc>
        <w:tc>
          <w:tcPr>
            <w:tcW w:w="12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849,592</w:t>
            </w:r>
          </w:p>
        </w:tc>
      </w:tr>
      <w:tr>
        <w:trPr>
          <w:trHeight w:val="27"/>
        </w:trPr>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56" w:right="380" w:hanging="329"/>
        <w:spacing w:after="0" w:line="277" w:lineRule="auto"/>
        <w:tabs>
          <w:tab w:leader="none" w:pos="27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Proposal 5</w:t>
      </w:r>
      <w:r>
        <w:rPr>
          <w:rFonts w:ascii="Arial" w:cs="Arial" w:eastAsia="Arial" w:hAnsi="Arial"/>
          <w:sz w:val="18"/>
          <w:szCs w:val="18"/>
          <w:color w:val="auto"/>
        </w:rPr>
        <w:t>: The stockholders approved, on a non-binding, advisory basis, an annual advisory vote on the Company's executive compensation. The voting results for this Proposal 5 were as follows:</w:t>
      </w:r>
    </w:p>
    <w:p>
      <w:pPr>
        <w:spacing w:after="0" w:line="176" w:lineRule="exact"/>
        <w:rPr>
          <w:sz w:val="20"/>
          <w:szCs w:val="20"/>
          <w:color w:val="auto"/>
        </w:rPr>
      </w:pPr>
    </w:p>
    <w:tbl>
      <w:tblPr>
        <w:tblLayout w:type="fixed"/>
        <w:tblInd w:w="996" w:type="dxa"/>
        <w:tblCellMar>
          <w:top w:w="0" w:type="dxa"/>
          <w:left w:w="0" w:type="dxa"/>
          <w:bottom w:w="0" w:type="dxa"/>
          <w:right w:w="0" w:type="dxa"/>
        </w:tblCellMar>
      </w:tblPr>
      <w:tr>
        <w:trPr>
          <w:trHeight w:val="192"/>
        </w:trPr>
        <w:tc>
          <w:tcPr>
            <w:tcW w:w="1880" w:type="dxa"/>
            <w:vAlign w:val="bottom"/>
            <w:gridSpan w:val="2"/>
          </w:tcPr>
          <w:p>
            <w:pPr>
              <w:ind w:left="680"/>
              <w:spacing w:after="0"/>
              <w:rPr>
                <w:sz w:val="20"/>
                <w:szCs w:val="20"/>
                <w:color w:val="auto"/>
              </w:rPr>
            </w:pPr>
            <w:r>
              <w:rPr>
                <w:rFonts w:ascii="Arial" w:cs="Arial" w:eastAsia="Arial" w:hAnsi="Arial"/>
                <w:sz w:val="14"/>
                <w:szCs w:val="14"/>
                <w:b w:val="1"/>
                <w:bCs w:val="1"/>
                <w:color w:val="auto"/>
              </w:rPr>
              <w:t>1 Year</w:t>
            </w:r>
          </w:p>
        </w:tc>
        <w:tc>
          <w:tcPr>
            <w:tcW w:w="1820" w:type="dxa"/>
            <w:vAlign w:val="bottom"/>
            <w:gridSpan w:val="2"/>
          </w:tcPr>
          <w:p>
            <w:pPr>
              <w:ind w:left="620"/>
              <w:spacing w:after="0"/>
              <w:rPr>
                <w:sz w:val="20"/>
                <w:szCs w:val="20"/>
                <w:color w:val="auto"/>
              </w:rPr>
            </w:pPr>
            <w:r>
              <w:rPr>
                <w:rFonts w:ascii="Arial" w:cs="Arial" w:eastAsia="Arial" w:hAnsi="Arial"/>
                <w:sz w:val="14"/>
                <w:szCs w:val="14"/>
                <w:b w:val="1"/>
                <w:bCs w:val="1"/>
                <w:color w:val="auto"/>
              </w:rPr>
              <w:t>2 Years</w:t>
            </w:r>
          </w:p>
        </w:tc>
        <w:tc>
          <w:tcPr>
            <w:tcW w:w="1800" w:type="dxa"/>
            <w:vAlign w:val="bottom"/>
            <w:gridSpan w:val="2"/>
          </w:tcPr>
          <w:p>
            <w:pPr>
              <w:ind w:left="600"/>
              <w:spacing w:after="0"/>
              <w:rPr>
                <w:sz w:val="20"/>
                <w:szCs w:val="20"/>
                <w:color w:val="auto"/>
              </w:rPr>
            </w:pPr>
            <w:r>
              <w:rPr>
                <w:rFonts w:ascii="Arial" w:cs="Arial" w:eastAsia="Arial" w:hAnsi="Arial"/>
                <w:sz w:val="14"/>
                <w:szCs w:val="14"/>
                <w:b w:val="1"/>
                <w:bCs w:val="1"/>
                <w:color w:val="auto"/>
              </w:rPr>
              <w:t>3 Years</w:t>
            </w:r>
          </w:p>
        </w:tc>
        <w:tc>
          <w:tcPr>
            <w:tcW w:w="1800" w:type="dxa"/>
            <w:vAlign w:val="bottom"/>
            <w:gridSpan w:val="2"/>
          </w:tcPr>
          <w:p>
            <w:pPr>
              <w:ind w:left="600"/>
              <w:spacing w:after="0"/>
              <w:rPr>
                <w:sz w:val="20"/>
                <w:szCs w:val="20"/>
                <w:color w:val="auto"/>
              </w:rPr>
            </w:pPr>
            <w:r>
              <w:rPr>
                <w:rFonts w:ascii="Arial" w:cs="Arial" w:eastAsia="Arial" w:hAnsi="Arial"/>
                <w:sz w:val="14"/>
                <w:szCs w:val="14"/>
                <w:b w:val="1"/>
                <w:bCs w:val="1"/>
                <w:color w:val="auto"/>
              </w:rPr>
              <w:t>Abstain</w:t>
            </w:r>
          </w:p>
        </w:tc>
        <w:tc>
          <w:tcPr>
            <w:tcW w:w="1720" w:type="dxa"/>
            <w:vAlign w:val="bottom"/>
          </w:tcPr>
          <w:p>
            <w:pPr>
              <w:jc w:val="right"/>
              <w:ind w:right="259"/>
              <w:spacing w:after="0"/>
              <w:rPr>
                <w:sz w:val="20"/>
                <w:szCs w:val="20"/>
                <w:color w:val="auto"/>
              </w:rPr>
            </w:pPr>
            <w:r>
              <w:rPr>
                <w:rFonts w:ascii="Arial" w:cs="Arial" w:eastAsia="Arial" w:hAnsi="Arial"/>
                <w:sz w:val="14"/>
                <w:szCs w:val="14"/>
                <w:b w:val="1"/>
                <w:bCs w:val="1"/>
                <w:color w:val="auto"/>
              </w:rPr>
              <w:t>Broker Non-Vote</w:t>
            </w:r>
          </w:p>
        </w:tc>
      </w:tr>
      <w:tr>
        <w:trPr>
          <w:trHeight w:val="243"/>
        </w:trPr>
        <w:tc>
          <w:tcPr>
            <w:tcW w:w="1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6,107,499</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12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965,759</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0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849,591</w:t>
            </w:r>
          </w:p>
        </w:tc>
      </w:tr>
      <w:tr>
        <w:trPr>
          <w:trHeight w:val="27"/>
        </w:trPr>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56" w:right="520"/>
        <w:spacing w:after="0" w:line="264" w:lineRule="auto"/>
        <w:rPr>
          <w:sz w:val="20"/>
          <w:szCs w:val="20"/>
          <w:color w:val="auto"/>
        </w:rPr>
      </w:pPr>
      <w:r>
        <w:rPr>
          <w:rFonts w:ascii="Arial" w:cs="Arial" w:eastAsia="Arial" w:hAnsi="Arial"/>
          <w:sz w:val="18"/>
          <w:szCs w:val="18"/>
          <w:color w:val="auto"/>
        </w:rPr>
        <w:t>In light of the stockholder vote on Proposal 5, the Company will include an advisory stockholder vote on the compensation of named executive officers in its proxy materials once every year until the next required vote on the frequency of stockholder votes on the Company's executive compensation.</w:t>
      </w:r>
    </w:p>
    <w:p>
      <w:pPr>
        <w:spacing w:after="0" w:line="181" w:lineRule="exact"/>
        <w:rPr>
          <w:sz w:val="20"/>
          <w:szCs w:val="20"/>
          <w:color w:val="auto"/>
        </w:rPr>
      </w:pPr>
    </w:p>
    <w:p>
      <w:pPr>
        <w:ind w:left="356" w:right="300" w:hanging="329"/>
        <w:spacing w:after="0" w:line="342" w:lineRule="auto"/>
        <w:tabs>
          <w:tab w:leader="none" w:pos="25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Proposal 6</w:t>
      </w:r>
      <w:r>
        <w:rPr>
          <w:rFonts w:ascii="Arial" w:cs="Arial" w:eastAsia="Arial" w:hAnsi="Arial"/>
          <w:sz w:val="16"/>
          <w:szCs w:val="16"/>
          <w:color w:val="auto"/>
        </w:rPr>
        <w:t>: The stockholders approved the amendments to the Amended and Restated Certificate of Incorporation, as amended and Amended and Restated Bylaws to eliminate the provisions prohibiting removal of directors without cause. The voting results for this Proposal 6 were as follows:</w:t>
      </w:r>
    </w:p>
    <w:p>
      <w:pPr>
        <w:spacing w:after="0" w:line="129" w:lineRule="exact"/>
        <w:rPr>
          <w:sz w:val="20"/>
          <w:szCs w:val="20"/>
          <w:color w:val="auto"/>
        </w:rPr>
      </w:pPr>
    </w:p>
    <w:tbl>
      <w:tblPr>
        <w:tblLayout w:type="fixed"/>
        <w:tblInd w:w="2736" w:type="dxa"/>
        <w:tblCellMar>
          <w:top w:w="0" w:type="dxa"/>
          <w:left w:w="0" w:type="dxa"/>
          <w:bottom w:w="0" w:type="dxa"/>
          <w:right w:w="0" w:type="dxa"/>
        </w:tblCellMar>
      </w:tblPr>
      <w:tr>
        <w:trPr>
          <w:trHeight w:val="192"/>
        </w:trPr>
        <w:tc>
          <w:tcPr>
            <w:tcW w:w="2100" w:type="dxa"/>
            <w:vAlign w:val="bottom"/>
            <w:gridSpan w:val="2"/>
          </w:tcPr>
          <w:p>
            <w:pPr>
              <w:ind w:left="880"/>
              <w:spacing w:after="0"/>
              <w:rPr>
                <w:sz w:val="20"/>
                <w:szCs w:val="20"/>
                <w:color w:val="auto"/>
              </w:rPr>
            </w:pPr>
            <w:r>
              <w:rPr>
                <w:rFonts w:ascii="Arial" w:cs="Arial" w:eastAsia="Arial" w:hAnsi="Arial"/>
                <w:sz w:val="14"/>
                <w:szCs w:val="14"/>
                <w:b w:val="1"/>
                <w:bCs w:val="1"/>
                <w:color w:val="auto"/>
              </w:rPr>
              <w:t>For</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Against</w:t>
            </w:r>
          </w:p>
        </w:tc>
        <w:tc>
          <w:tcPr>
            <w:tcW w:w="1640" w:type="dxa"/>
            <w:vAlign w:val="bottom"/>
          </w:tcPr>
          <w:p>
            <w:pPr>
              <w:jc w:val="right"/>
              <w:ind w:right="499"/>
              <w:spacing w:after="0"/>
              <w:rPr>
                <w:sz w:val="20"/>
                <w:szCs w:val="20"/>
                <w:color w:val="auto"/>
              </w:rPr>
            </w:pPr>
            <w:r>
              <w:rPr>
                <w:rFonts w:ascii="Arial" w:cs="Arial" w:eastAsia="Arial" w:hAnsi="Arial"/>
                <w:sz w:val="14"/>
                <w:szCs w:val="14"/>
                <w:b w:val="1"/>
                <w:bCs w:val="1"/>
                <w:color w:val="auto"/>
              </w:rPr>
              <w:t>Abstain</w:t>
            </w:r>
          </w:p>
        </w:tc>
      </w:tr>
      <w:tr>
        <w:trPr>
          <w:trHeight w:val="243"/>
        </w:trPr>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7,907,399</w:t>
            </w:r>
          </w:p>
        </w:tc>
        <w:tc>
          <w:tcPr>
            <w:tcW w:w="10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17,475</w:t>
            </w:r>
          </w:p>
        </w:tc>
        <w:tc>
          <w:tcPr>
            <w:tcW w:w="12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19,346</w:t>
            </w:r>
          </w:p>
        </w:tc>
      </w:tr>
      <w:tr>
        <w:trPr>
          <w:trHeight w:val="27"/>
        </w:trPr>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ectPr>
          <w:pgSz w:w="11900" w:h="16838" w:orient="portrait"/>
          <w:cols w:equalWidth="0" w:num="1">
            <w:col w:w="11196"/>
          </w:cols>
          <w:pgMar w:left="464" w:top="638" w:right="239" w:bottom="1440" w:gutter="0" w:footer="0" w:header="0"/>
        </w:sectPr>
      </w:pPr>
    </w:p>
    <w:bookmarkStart w:id="3" w:name="page4"/>
    <w:bookmarkEnd w:id="3"/>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WESTWOOD HOLDINGS GROUP, INC.</w:t>
      </w:r>
    </w:p>
    <w:p>
      <w:pPr>
        <w:spacing w:after="0" w:line="387" w:lineRule="exact"/>
        <w:rPr>
          <w:sz w:val="20"/>
          <w:szCs w:val="20"/>
          <w:color w:val="auto"/>
        </w:rPr>
      </w:pPr>
    </w:p>
    <w:p>
      <w:pPr>
        <w:ind w:left="40"/>
        <w:spacing w:after="0"/>
        <w:tabs>
          <w:tab w:leader="none" w:pos="6800" w:val="left"/>
        </w:tabs>
        <w:rPr>
          <w:sz w:val="20"/>
          <w:szCs w:val="20"/>
          <w:color w:val="auto"/>
        </w:rPr>
      </w:pPr>
      <w:r>
        <w:rPr>
          <w:rFonts w:ascii="Arial" w:cs="Arial" w:eastAsia="Arial" w:hAnsi="Arial"/>
          <w:sz w:val="18"/>
          <w:szCs w:val="18"/>
          <w:color w:val="auto"/>
        </w:rPr>
        <w:t>Date: May 1, 2017</w:t>
      </w:r>
      <w:r>
        <w:rPr>
          <w:sz w:val="20"/>
          <w:szCs w:val="20"/>
          <w:color w:val="auto"/>
        </w:rPr>
        <w:tab/>
      </w: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31750</wp:posOffset>
            </wp:positionV>
            <wp:extent cx="26327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0720"/>
      </w:cols>
      <w:pgMar w:left="240" w:top="58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5"/>
    </w:lvl>
  </w:abstractNum>
  <w:abstractNum w:abstractNumId="7">
    <w:nsid w:val="7545E14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2019-12-06T17:55:17Z</dcterms:created>
  <dcterms:modified xsi:type="dcterms:W3CDTF">2019-12-06T17:55:17Z</dcterms:modified>
</cp:coreProperties>
</file>