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3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Date of Report (Date of earliest event reported): April 26, 2023</w:t>
      </w:r>
    </w:p>
    <w:p>
      <w:pPr>
        <w:spacing w:after="0" w:line="2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pacing w:after="0" w:line="21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WESTWOOD HOLDINGS GROUP, INC.</w:t>
      </w:r>
    </w:p>
    <w:p>
      <w:pPr>
        <w:spacing w:after="0" w:line="5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ectPr>
          <w:pgSz w:w="11900" w:h="16838" w:orient="portrait"/>
          <w:cols w:equalWidth="0" w:num="1">
            <w:col w:w="11040"/>
          </w:cols>
          <w:pgMar w:left="320" w:top="970" w:right="539" w:bottom="1440" w:gutter="0" w:footer="0" w:header="0"/>
        </w:sectPr>
      </w:pPr>
    </w:p>
    <w:p>
      <w:pPr>
        <w:spacing w:after="0" w:line="27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001-31234</w:t>
      </w:r>
    </w:p>
    <w:p>
      <w:pPr>
        <w:spacing w:after="0" w:line="2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75-2969997</w:t>
      </w:r>
    </w:p>
    <w:p>
      <w:pPr>
        <w:spacing w:after="0" w:line="2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4" w:lineRule="exact"/>
        <w:rPr>
          <w:sz w:val="24"/>
          <w:szCs w:val="24"/>
          <w:color w:val="auto"/>
        </w:rPr>
      </w:pPr>
    </w:p>
    <w:p>
      <w:pPr>
        <w:sectPr>
          <w:pgSz w:w="11900" w:h="16838" w:orient="portrait"/>
          <w:cols w:equalWidth="0" w:num="3">
            <w:col w:w="3880" w:space="720"/>
            <w:col w:w="2820" w:space="720"/>
            <w:col w:w="2900"/>
          </w:cols>
          <w:pgMar w:left="320" w:top="970" w:right="5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34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200 Crescent Court, Suite 1200</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(214) 756-6900</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040"/>
          </w:cols>
          <w:pgMar w:left="320" w:top="970" w:right="539" w:bottom="1440" w:gutter="0" w:footer="0" w:header="0"/>
          <w:type w:val="continuous"/>
        </w:sectPr>
      </w:pPr>
    </w:p>
    <w:p>
      <w:pPr>
        <w:spacing w:after="0" w:line="259" w:lineRule="exact"/>
        <w:rPr>
          <w:sz w:val="24"/>
          <w:szCs w:val="24"/>
          <w:color w:val="auto"/>
        </w:rPr>
      </w:pPr>
    </w:p>
    <w:p>
      <w:pPr>
        <w:ind w:right="300" w:firstLine="180"/>
        <w:spacing w:after="0" w:line="29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90" w:lineRule="exact"/>
        <w:rPr>
          <w:sz w:val="24"/>
          <w:szCs w:val="24"/>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65"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65"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86" w:lineRule="exact"/>
        <w:rPr>
          <w:sz w:val="24"/>
          <w:szCs w:val="24"/>
          <w:color w:val="auto"/>
        </w:rPr>
      </w:pPr>
    </w:p>
    <w:tbl>
      <w:tblPr>
        <w:tblLayout w:type="fixed"/>
        <w:tblInd w:w="560" w:type="dxa"/>
        <w:tblCellMar>
          <w:top w:w="0" w:type="dxa"/>
          <w:left w:w="0" w:type="dxa"/>
          <w:bottom w:w="0" w:type="dxa"/>
          <w:right w:w="0" w:type="dxa"/>
        </w:tblCellMar>
      </w:tblPr>
      <w:tr>
        <w:trPr>
          <w:trHeight w:val="210"/>
        </w:trPr>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180" w:type="dxa"/>
            <w:vAlign w:val="bottom"/>
            <w:gridSpan w:val="5"/>
          </w:tcPr>
          <w:p>
            <w:pPr>
              <w:jc w:val="center"/>
              <w:ind w:right="315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209"/>
        </w:trPr>
        <w:tc>
          <w:tcPr>
            <w:tcW w:w="8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6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60" w:type="dxa"/>
            <w:vAlign w:val="bottom"/>
          </w:tcPr>
          <w:p>
            <w:pPr>
              <w:spacing w:after="0"/>
              <w:rPr>
                <w:sz w:val="21"/>
                <w:szCs w:val="21"/>
                <w:color w:val="auto"/>
              </w:rPr>
            </w:pPr>
          </w:p>
        </w:tc>
        <w:tc>
          <w:tcPr>
            <w:tcW w:w="19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WHG</w:t>
            </w:r>
          </w:p>
        </w:tc>
        <w:tc>
          <w:tcPr>
            <w:tcW w:w="6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33" w:lineRule="exact"/>
        <w:rPr>
          <w:sz w:val="24"/>
          <w:szCs w:val="24"/>
          <w:color w:val="auto"/>
        </w:rPr>
      </w:pPr>
    </w:p>
    <w:p>
      <w:pPr>
        <w:ind w:right="360"/>
        <w:spacing w:after="0" w:line="297" w:lineRule="auto"/>
        <w:rPr>
          <w:sz w:val="20"/>
          <w:szCs w:val="20"/>
          <w:color w:val="auto"/>
        </w:rPr>
      </w:pPr>
      <w:r>
        <w:rPr>
          <w:rFonts w:ascii="Times New Roman" w:cs="Times New Roman" w:eastAsia="Times New Roman" w:hAnsi="Times New Roman"/>
          <w:sz w:val="18"/>
          <w:szCs w:val="18"/>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70" w:right="539" w:bottom="1440" w:gutter="0" w:footer="0" w:header="0"/>
          <w:type w:val="continuous"/>
        </w:sectPr>
      </w:pPr>
    </w:p>
    <w:bookmarkStart w:id="1" w:name="page2"/>
    <w:bookmarkEnd w:id="1"/>
    <w:p>
      <w:pPr>
        <w:ind w:left="900" w:right="180" w:hanging="1295"/>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0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previously announced and as further described under Item 5.07, on May 1, 2024, Westwood Holdings Group, Inc. (the “Company”) virtually held its annual meeting of stockholders (the “Annual Meeting”).</w:t>
      </w:r>
    </w:p>
    <w:p>
      <w:pPr>
        <w:spacing w:after="0" w:line="108"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Company’s stockholders approved the Tenth Amended and Restated Westwood Holdings Group, Inc. Stock Incentive Plan (the “Incentive Plan”). The material revisions included:</w:t>
      </w:r>
    </w:p>
    <w:p>
      <w:pPr>
        <w:spacing w:after="0" w:line="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total number of shares currently authorized under the Incentive Plan by 500,000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Incentive Plan was included as Appendix A to the Definitive Proxy Statement filed with the SEC on March 26, 2024.</w:t>
      </w:r>
    </w:p>
    <w:p>
      <w:pPr>
        <w:spacing w:after="0" w:line="21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5.07</w:t>
      </w:r>
      <w:r>
        <w:rPr>
          <w:sz w:val="20"/>
          <w:szCs w:val="20"/>
          <w:color w:val="auto"/>
        </w:rPr>
        <w:tab/>
      </w:r>
      <w:r>
        <w:rPr>
          <w:rFonts w:ascii="Times New Roman" w:cs="Times New Roman" w:eastAsia="Times New Roman" w:hAnsi="Times New Roman"/>
          <w:sz w:val="19"/>
          <w:szCs w:val="19"/>
          <w:b w:val="1"/>
          <w:bCs w:val="1"/>
          <w:color w:val="auto"/>
        </w:rPr>
        <w:t>Submission of Matters to a Vote of Security Holders.</w:t>
      </w:r>
    </w:p>
    <w:p>
      <w:pPr>
        <w:spacing w:after="0" w:line="1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At the Annual Meeting, the following Proposals 1, 2, 3, 4 and 5 were approved by the Company’s stockholders. No other business was brought before the Annual Meeting. The Proposals are described in detail in the Company’s definitive proxy statement filed with the SEC on March 26, 2024. The voting results for the Annual Meeting are set forth below.</w:t>
      </w:r>
    </w:p>
    <w:p>
      <w:pPr>
        <w:spacing w:after="0" w:line="135" w:lineRule="exact"/>
        <w:rPr>
          <w:sz w:val="20"/>
          <w:szCs w:val="20"/>
          <w:color w:val="auto"/>
        </w:rPr>
      </w:pPr>
    </w:p>
    <w:p>
      <w:pPr>
        <w:ind w:left="580" w:right="380" w:hanging="329"/>
        <w:spacing w:after="0" w:line="270" w:lineRule="auto"/>
        <w:tabs>
          <w:tab w:leader="none" w:pos="57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Proposal 1</w:t>
      </w:r>
      <w:r>
        <w:rPr>
          <w:rFonts w:ascii="Times New Roman" w:cs="Times New Roman" w:eastAsia="Times New Roman" w:hAnsi="Times New Roman"/>
          <w:sz w:val="18"/>
          <w:szCs w:val="18"/>
          <w:color w:val="auto"/>
        </w:rPr>
        <w:t>: The stockholders elected the directors listed below to hold office until the next annual meeting and until their respective successors shall have been duly elected and qualified. The voting results for this Proposal 1 were as follows:</w:t>
      </w:r>
    </w:p>
    <w:tbl>
      <w:tblPr>
        <w:tblLayout w:type="fixed"/>
        <w:tblInd w:w="0" w:type="dxa"/>
        <w:tblCellMar>
          <w:top w:w="0" w:type="dxa"/>
          <w:left w:w="0" w:type="dxa"/>
          <w:bottom w:w="0" w:type="dxa"/>
          <w:right w:w="0" w:type="dxa"/>
        </w:tblCellMar>
      </w:tblPr>
      <w:tr>
        <w:trPr>
          <w:trHeight w:val="19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168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For</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5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Broker Non-Vote</w:t>
            </w:r>
          </w:p>
        </w:tc>
      </w:tr>
      <w:tr>
        <w:trPr>
          <w:trHeight w:val="23"/>
        </w:trPr>
        <w:tc>
          <w:tcPr>
            <w:tcW w:w="46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Brian O. Casey</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6,617,603</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288,813</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685,014</w:t>
            </w: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M. Frank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6,463,721</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442,696</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685,014</w:t>
            </w: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Ellen H. Masterson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6,535,541</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288,973</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103,204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685,014</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Geoffrey R. Norman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6,473,527</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432,890</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685,014</w:t>
            </w: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Randy A. Bowman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6,431,818</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463,982</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685,014</w:t>
            </w:r>
          </w:p>
        </w:tc>
      </w:tr>
    </w:tbl>
    <w:p>
      <w:pPr>
        <w:spacing w:after="0" w:line="279" w:lineRule="exact"/>
        <w:rPr>
          <w:sz w:val="20"/>
          <w:szCs w:val="20"/>
          <w:color w:val="auto"/>
        </w:rPr>
      </w:pPr>
    </w:p>
    <w:p>
      <w:pPr>
        <w:ind w:left="580" w:right="180" w:hanging="329"/>
        <w:spacing w:after="0" w:line="282" w:lineRule="auto"/>
        <w:tabs>
          <w:tab w:leader="none" w:pos="5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Proposal 2</w:t>
      </w:r>
      <w:r>
        <w:rPr>
          <w:rFonts w:ascii="Times New Roman" w:cs="Times New Roman" w:eastAsia="Times New Roman" w:hAnsi="Times New Roman"/>
          <w:sz w:val="18"/>
          <w:szCs w:val="18"/>
          <w:color w:val="auto"/>
        </w:rPr>
        <w:t>: The stockholders ratified BDO USA, P.C. as the Company’s independent auditors for the year ending December 31, 2024. The voting results for this Proposal 2 were as follows: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3780" w:type="dxa"/>
            <w:vAlign w:val="bottom"/>
            <w:gridSpan w:val="2"/>
          </w:tcPr>
          <w:p>
            <w:pPr>
              <w:ind w:left="16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366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3"/>
        </w:trPr>
        <w:tc>
          <w:tcPr>
            <w:tcW w:w="3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23"/>
        </w:trPr>
        <w:tc>
          <w:tcPr>
            <w:tcW w:w="3640" w:type="dxa"/>
            <w:vAlign w:val="bottom"/>
            <w:shd w:val="clear" w:color="auto" w:fill="CCEEFF"/>
          </w:tcPr>
          <w:p>
            <w:pPr>
              <w:jc w:val="right"/>
              <w:ind w:right="1379"/>
              <w:spacing w:after="0"/>
              <w:rPr>
                <w:sz w:val="20"/>
                <w:szCs w:val="20"/>
                <w:color w:val="auto"/>
              </w:rPr>
            </w:pPr>
            <w:r>
              <w:rPr>
                <w:rFonts w:ascii="Times New Roman" w:cs="Times New Roman" w:eastAsia="Times New Roman" w:hAnsi="Times New Roman"/>
                <w:sz w:val="18"/>
                <w:szCs w:val="18"/>
                <w:color w:val="auto"/>
              </w:rPr>
              <w:t>7,515,705</w:t>
            </w:r>
          </w:p>
        </w:tc>
        <w:tc>
          <w:tcPr>
            <w:tcW w:w="100" w:type="dxa"/>
            <w:vAlign w:val="bottom"/>
            <w:shd w:val="clear" w:color="auto" w:fill="CCEEFF"/>
          </w:tcPr>
          <w:p>
            <w:pPr>
              <w:spacing w:after="0"/>
              <w:rPr>
                <w:sz w:val="19"/>
                <w:szCs w:val="19"/>
                <w:color w:val="auto"/>
              </w:rPr>
            </w:pPr>
          </w:p>
        </w:tc>
        <w:tc>
          <w:tcPr>
            <w:tcW w:w="366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66,097</w:t>
            </w:r>
          </w:p>
        </w:tc>
        <w:tc>
          <w:tcPr>
            <w:tcW w:w="120" w:type="dxa"/>
            <w:vAlign w:val="bottom"/>
            <w:shd w:val="clear" w:color="auto" w:fill="CCEEFF"/>
          </w:tcPr>
          <w:p>
            <w:pPr>
              <w:spacing w:after="0"/>
              <w:rPr>
                <w:sz w:val="19"/>
                <w:szCs w:val="19"/>
                <w:color w:val="auto"/>
              </w:rPr>
            </w:pPr>
          </w:p>
        </w:tc>
        <w:tc>
          <w:tcPr>
            <w:tcW w:w="366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30,930</w:t>
            </w:r>
          </w:p>
        </w:tc>
      </w:tr>
    </w:tbl>
    <w:p>
      <w:pPr>
        <w:spacing w:after="0" w:line="306" w:lineRule="exact"/>
        <w:rPr>
          <w:sz w:val="20"/>
          <w:szCs w:val="20"/>
          <w:color w:val="auto"/>
        </w:rPr>
      </w:pPr>
    </w:p>
    <w:p>
      <w:pPr>
        <w:ind w:left="580" w:right="140" w:hanging="329"/>
        <w:spacing w:after="0" w:line="282" w:lineRule="auto"/>
        <w:tabs>
          <w:tab w:leader="none" w:pos="57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Proposal 3</w:t>
      </w:r>
      <w:r>
        <w:rPr>
          <w:rFonts w:ascii="Times New Roman" w:cs="Times New Roman" w:eastAsia="Times New Roman" w:hAnsi="Times New Roman"/>
          <w:sz w:val="18"/>
          <w:szCs w:val="18"/>
          <w:color w:val="auto"/>
        </w:rPr>
        <w:t>: The stockholders approved the Tenth Amended and Restated Westwood Holdings Group, Inc. Stock Incentive Plan. The voting results for this Proposal 3 were as follows:</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w:t>
            </w:r>
          </w:p>
        </w:tc>
      </w:tr>
      <w:tr>
        <w:trPr>
          <w:trHeight w:val="23"/>
        </w:trPr>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23"/>
        </w:trPr>
        <w:tc>
          <w:tcPr>
            <w:tcW w:w="27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3,985,609</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2,789,351</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152,758</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685,014</w:t>
            </w:r>
          </w:p>
        </w:tc>
      </w:tr>
    </w:tbl>
    <w:p>
      <w:pPr>
        <w:spacing w:after="0" w:line="130" w:lineRule="exact"/>
        <w:rPr>
          <w:sz w:val="20"/>
          <w:szCs w:val="20"/>
          <w:color w:val="auto"/>
        </w:rPr>
      </w:pPr>
    </w:p>
    <w:p>
      <w:pPr>
        <w:ind w:left="580" w:right="600" w:hanging="329"/>
        <w:spacing w:after="0" w:line="282" w:lineRule="auto"/>
        <w:tabs>
          <w:tab w:leader="none" w:pos="51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Proposal 4</w:t>
      </w:r>
      <w:r>
        <w:rPr>
          <w:rFonts w:ascii="Times New Roman" w:cs="Times New Roman" w:eastAsia="Times New Roman" w:hAnsi="Times New Roman"/>
          <w:sz w:val="18"/>
          <w:szCs w:val="18"/>
          <w:color w:val="auto"/>
        </w:rPr>
        <w:t>: The stockholders approved, on a non-binding, advisory basis, the Company's executive compensation. The voting results for this Proposal 4 were as follows:</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840" w:type="dxa"/>
            <w:vAlign w:val="bottom"/>
            <w:gridSpan w:val="2"/>
          </w:tcPr>
          <w:p>
            <w:pPr>
              <w:ind w:left="112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w:t>
            </w:r>
          </w:p>
        </w:tc>
      </w:tr>
      <w:tr>
        <w:trPr>
          <w:trHeight w:val="23"/>
        </w:trPr>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23"/>
        </w:trPr>
        <w:tc>
          <w:tcPr>
            <w:tcW w:w="27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6,516,953</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318,228</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92,537</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685,014</w:t>
            </w:r>
          </w:p>
        </w:tc>
      </w:tr>
    </w:tbl>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Proposal 5</w:t>
      </w:r>
      <w:r>
        <w:rPr>
          <w:rFonts w:ascii="Times New Roman" w:cs="Times New Roman" w:eastAsia="Times New Roman" w:hAnsi="Times New Roman"/>
          <w:sz w:val="18"/>
          <w:szCs w:val="18"/>
          <w:color w:val="auto"/>
        </w:rPr>
        <w:t>: The stockholders approved amendments to the Company's Certificate of Incorporation to extend exculpation protection to officers of the</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Company pursuant to Section 102(b)(7) of the Delaware General Corporation Law. The voting results for this Proposal 5 were as follows: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w:t>
            </w:r>
          </w:p>
        </w:tc>
      </w:tr>
      <w:tr>
        <w:trPr>
          <w:trHeight w:val="23"/>
        </w:trPr>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23"/>
        </w:trPr>
        <w:tc>
          <w:tcPr>
            <w:tcW w:w="27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6,117,447</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709,247</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101,024</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685,014</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2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19"/>
                <w:szCs w:val="19"/>
                <w:color w:val="auto"/>
              </w:rPr>
            </w:pPr>
          </w:p>
        </w:tc>
        <w:tc>
          <w:tcPr>
            <w:tcW w:w="8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28"/>
        </w:trPr>
        <w:tc>
          <w:tcPr>
            <w:tcW w:w="2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WESTWOOD HOLDINGS GROUP, INC.</w:t>
            </w:r>
          </w:p>
        </w:tc>
      </w:tr>
      <w:tr>
        <w:trPr>
          <w:trHeight w:val="49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O. Casey</w:t>
            </w:r>
          </w:p>
        </w:tc>
      </w:tr>
      <w:tr>
        <w:trPr>
          <w:trHeight w:val="218"/>
        </w:trPr>
        <w:tc>
          <w:tcPr>
            <w:tcW w:w="668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O. Casey</w:t>
            </w:r>
          </w:p>
        </w:tc>
      </w:tr>
      <w:tr>
        <w:trPr>
          <w:trHeight w:val="234"/>
        </w:trPr>
        <w:tc>
          <w:tcPr>
            <w:tcW w:w="668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0760"/>
      </w:cols>
      <w:pgMar w:left="320" w:top="887"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2024-05-06T15:37:26Z</dcterms:created>
  <dcterms:modified xsi:type="dcterms:W3CDTF">2024-05-06T15:37:26Z</dcterms:modified>
</cp:coreProperties>
</file>