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79"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JCP Investment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80" w:type="dxa"/>
            <w:vAlign w:val="bottom"/>
            <w:tcBorders>
              <w:bottom w:val="single" w:sz="8" w:color="0000EE"/>
            </w:tcBorders>
          </w:tcPr>
          <w:p>
            <w:pPr>
              <w:spacing w:after="0" w:line="187" w:lineRule="exact"/>
              <w:rPr>
                <w:rFonts w:ascii="Arial" w:cs="Arial" w:eastAsia="Arial" w:hAnsi="Arial"/>
                <w:sz w:val="21"/>
                <w:szCs w:val="21"/>
                <w:color w:val="0000EE"/>
                <w:w w:val="96"/>
              </w:rPr>
            </w:pPr>
            <w:hyperlink r:id="rId13">
              <w:r>
                <w:rPr>
                  <w:rFonts w:ascii="Arial" w:cs="Arial" w:eastAsia="Arial" w:hAnsi="Arial"/>
                  <w:sz w:val="21"/>
                  <w:szCs w:val="21"/>
                  <w:color w:val="0000EE"/>
                  <w:w w:val="96"/>
                </w:rPr>
                <w:t>WESTWOOD HOLDINGS GROUP INC</w:t>
              </w:r>
            </w:hyperlink>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2"/>
            <w:vMerge w:val="restart"/>
          </w:tcPr>
          <w:p>
            <w:pPr>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color w:val="0000FF"/>
              </w:rPr>
              <w:t>WHG</w:t>
            </w:r>
            <w:r>
              <w:rPr>
                <w:rFonts w:ascii="Arial" w:cs="Arial" w:eastAsia="Arial" w:hAnsi="Arial"/>
                <w:sz w:val="21"/>
                <w:szCs w:val="21"/>
                <w:color w:val="auto"/>
              </w:rPr>
              <w:t xml:space="preserve"> ]</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358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39"/>
        </w:trPr>
        <w:tc>
          <w:tcPr>
            <w:tcW w:w="2880" w:type="dxa"/>
            <w:vAlign w:val="bottom"/>
            <w:vMerge w:val="restart"/>
          </w:tcPr>
          <w:p>
            <w:pPr>
              <w:spacing w:after="0"/>
              <w:rPr>
                <w:sz w:val="20"/>
                <w:szCs w:val="20"/>
                <w:color w:val="auto"/>
              </w:rPr>
            </w:pPr>
            <w:r>
              <w:rPr>
                <w:rFonts w:ascii="Arial" w:cs="Arial" w:eastAsia="Arial" w:hAnsi="Arial"/>
                <w:sz w:val="17"/>
                <w:szCs w:val="17"/>
                <w:color w:val="0000FF"/>
              </w:rPr>
              <w:t>1177 WEST LOOP SOUTH</w:t>
            </w:r>
          </w:p>
        </w:tc>
        <w:tc>
          <w:tcPr>
            <w:tcW w:w="3780" w:type="dxa"/>
            <w:vAlign w:val="bottom"/>
          </w:tcPr>
          <w:p>
            <w:pPr>
              <w:ind w:left="920"/>
              <w:spacing w:after="0" w:line="139" w:lineRule="exact"/>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40"/>
        </w:trPr>
        <w:tc>
          <w:tcPr>
            <w:tcW w:w="2880" w:type="dxa"/>
            <w:vAlign w:val="bottom"/>
            <w:vMerge w:val="continue"/>
          </w:tcPr>
          <w:p>
            <w:pPr>
              <w:spacing w:after="0"/>
              <w:rPr>
                <w:sz w:val="12"/>
                <w:szCs w:val="12"/>
                <w:color w:val="auto"/>
              </w:rPr>
            </w:pPr>
          </w:p>
        </w:tc>
        <w:tc>
          <w:tcPr>
            <w:tcW w:w="3780" w:type="dxa"/>
            <w:vAlign w:val="bottom"/>
            <w:vMerge w:val="restart"/>
          </w:tcPr>
          <w:p>
            <w:pPr>
              <w:ind w:left="920"/>
              <w:spacing w:after="0"/>
              <w:rPr>
                <w:sz w:val="20"/>
                <w:szCs w:val="20"/>
                <w:color w:val="auto"/>
              </w:rPr>
            </w:pPr>
            <w:r>
              <w:rPr>
                <w:rFonts w:ascii="Arial" w:cs="Arial" w:eastAsia="Arial" w:hAnsi="Arial"/>
                <w:sz w:val="17"/>
                <w:szCs w:val="17"/>
                <w:color w:val="0000FF"/>
              </w:rPr>
              <w:t>04/29/2021</w:t>
            </w:r>
          </w:p>
        </w:tc>
        <w:tc>
          <w:tcPr>
            <w:tcW w:w="0" w:type="dxa"/>
            <w:vAlign w:val="bottom"/>
          </w:tcPr>
          <w:p>
            <w:pPr>
              <w:spacing w:after="0"/>
              <w:rPr>
                <w:sz w:val="1"/>
                <w:szCs w:val="1"/>
                <w:color w:val="auto"/>
              </w:rPr>
            </w:pPr>
          </w:p>
        </w:tc>
      </w:tr>
      <w:tr>
        <w:trPr>
          <w:trHeight w:val="80"/>
        </w:trPr>
        <w:tc>
          <w:tcPr>
            <w:tcW w:w="2880" w:type="dxa"/>
            <w:vAlign w:val="bottom"/>
            <w:vMerge w:val="restart"/>
          </w:tcPr>
          <w:p>
            <w:pPr>
              <w:spacing w:after="0"/>
              <w:rPr>
                <w:sz w:val="20"/>
                <w:szCs w:val="20"/>
                <w:color w:val="auto"/>
              </w:rPr>
            </w:pPr>
            <w:r>
              <w:rPr>
                <w:rFonts w:ascii="Arial" w:cs="Arial" w:eastAsia="Arial" w:hAnsi="Arial"/>
                <w:sz w:val="17"/>
                <w:szCs w:val="17"/>
                <w:color w:val="0000FF"/>
              </w:rPr>
              <w:t>SUITE 1320</w:t>
            </w:r>
          </w:p>
        </w:tc>
        <w:tc>
          <w:tcPr>
            <w:tcW w:w="3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880" w:type="dxa"/>
            <w:vAlign w:val="bottom"/>
            <w:vMerge w:val="continue"/>
          </w:tcPr>
          <w:p>
            <w:pPr>
              <w:spacing w:after="0"/>
              <w:rPr>
                <w:sz w:val="16"/>
                <w:szCs w:val="16"/>
                <w:color w:val="auto"/>
              </w:rPr>
            </w:pP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60" w:lineRule="exact"/>
        <w:rPr>
          <w:sz w:val="20"/>
          <w:szCs w:val="20"/>
          <w:color w:val="auto"/>
        </w:rPr>
      </w:pPr>
    </w:p>
    <w:p>
      <w:pPr>
        <w:sectPr>
          <w:pgSz w:w="11900" w:h="16879" w:orient="portrait"/>
          <w:cols w:equalWidth="0" w:num="2">
            <w:col w:w="7660" w:space="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12"/>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500" w:type="dxa"/>
            <w:vAlign w:val="bottom"/>
            <w:gridSpan w:val="12"/>
            <w:vMerge w:val="continue"/>
          </w:tcPr>
          <w:p>
            <w:pPr>
              <w:spacing w:after="0"/>
              <w:rPr>
                <w:sz w:val="2"/>
                <w:szCs w:val="2"/>
                <w:color w:val="auto"/>
              </w:rPr>
            </w:pPr>
          </w:p>
        </w:tc>
        <w:tc>
          <w:tcPr>
            <w:tcW w:w="3760" w:type="dxa"/>
            <w:vAlign w:val="bottom"/>
            <w:gridSpan w:val="11"/>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20" w:type="dxa"/>
            <w:vAlign w:val="bottom"/>
            <w:gridSpan w:val="2"/>
            <w:vMerge w:val="restart"/>
          </w:tcPr>
          <w:p>
            <w:pPr>
              <w:ind w:left="40"/>
              <w:spacing w:after="0"/>
              <w:rPr>
                <w:sz w:val="20"/>
                <w:szCs w:val="20"/>
                <w:color w:val="auto"/>
              </w:rPr>
            </w:pPr>
            <w:r>
              <w:rPr>
                <w:rFonts w:ascii="Arial" w:cs="Arial" w:eastAsia="Arial" w:hAnsi="Arial"/>
                <w:sz w:val="17"/>
                <w:szCs w:val="17"/>
                <w:color w:val="0000FF"/>
              </w:rPr>
              <w:t>TX</w:t>
            </w:r>
          </w:p>
        </w:tc>
        <w:tc>
          <w:tcPr>
            <w:tcW w:w="620" w:type="dxa"/>
            <w:vAlign w:val="bottom"/>
            <w:gridSpan w:val="2"/>
            <w:vMerge w:val="restart"/>
          </w:tcPr>
          <w:p>
            <w:pPr>
              <w:ind w:left="40"/>
              <w:spacing w:after="0"/>
              <w:rPr>
                <w:sz w:val="20"/>
                <w:szCs w:val="20"/>
                <w:color w:val="auto"/>
              </w:rPr>
            </w:pPr>
            <w:r>
              <w:rPr>
                <w:rFonts w:ascii="Arial" w:cs="Arial" w:eastAsia="Arial" w:hAnsi="Arial"/>
                <w:sz w:val="17"/>
                <w:szCs w:val="17"/>
                <w:color w:val="0000FF"/>
              </w:rPr>
              <w:t>77027</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3000" w:type="dxa"/>
            <w:vAlign w:val="bottom"/>
            <w:gridSpan w:val="8"/>
            <w:vMerge w:val="restart"/>
          </w:tcPr>
          <w:p>
            <w:pPr>
              <w:jc w:val="center"/>
              <w:ind w:righ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300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24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(Zip)</w:t>
            </w:r>
          </w:p>
        </w:tc>
        <w:tc>
          <w:tcPr>
            <w:tcW w:w="60" w:type="dxa"/>
            <w:vAlign w:val="bottom"/>
            <w:gridSpan w:val="2"/>
            <w:vMerge w:val="restart"/>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1240" w:type="dxa"/>
            <w:vAlign w:val="bottom"/>
            <w:gridSpan w:val="3"/>
            <w:vMerge w:val="continue"/>
          </w:tcPr>
          <w:p>
            <w:pPr>
              <w:spacing w:after="0"/>
              <w:rPr>
                <w:sz w:val="22"/>
                <w:szCs w:val="22"/>
                <w:color w:val="auto"/>
              </w:rPr>
            </w:pPr>
          </w:p>
        </w:tc>
        <w:tc>
          <w:tcPr>
            <w:tcW w:w="60" w:type="dxa"/>
            <w:vAlign w:val="bottom"/>
            <w:gridSpan w:val="2"/>
            <w:vMerge w:val="continue"/>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gridSpan w:val="2"/>
          </w:tcPr>
          <w:p>
            <w:pPr>
              <w:spacing w:after="0"/>
              <w:rPr>
                <w:sz w:val="11"/>
                <w:szCs w:val="11"/>
                <w:color w:val="auto"/>
              </w:rPr>
            </w:pPr>
          </w:p>
        </w:tc>
        <w:tc>
          <w:tcPr>
            <w:tcW w:w="2860" w:type="dxa"/>
            <w:vAlign w:val="bottom"/>
            <w:tcBorders>
              <w:bottom w:val="single" w:sz="8" w:color="2C2C2C"/>
            </w:tcBorders>
            <w:gridSpan w:val="9"/>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86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5"/>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00" w:type="dxa"/>
            <w:vAlign w:val="bottom"/>
            <w:gridSpan w:val="5"/>
          </w:tcPr>
          <w:p>
            <w:pPr>
              <w:ind w:left="3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0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3"/>
          </w:tcPr>
          <w:p>
            <w:pPr>
              <w:ind w:left="38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5"/>
          </w:tcPr>
          <w:p>
            <w:pPr>
              <w:ind w:left="32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3"/>
          </w:tcPr>
          <w:p>
            <w:pPr>
              <w:ind w:left="380"/>
              <w:spacing w:after="0" w:line="131" w:lineRule="exact"/>
              <w:rPr>
                <w:sz w:val="20"/>
                <w:szCs w:val="20"/>
                <w:color w:val="auto"/>
              </w:rPr>
            </w:pPr>
            <w:r>
              <w:rPr>
                <w:rFonts w:ascii="Arial" w:cs="Arial" w:eastAsia="Arial" w:hAnsi="Arial"/>
                <w:sz w:val="12"/>
                <w:szCs w:val="12"/>
                <w:b w:val="1"/>
                <w:bCs w:val="1"/>
                <w:color w:val="auto"/>
              </w:rPr>
              <w:t>Form: Direct</w:t>
            </w:r>
          </w:p>
        </w:tc>
        <w:tc>
          <w:tcPr>
            <w:tcW w:w="52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Indirect</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5"/>
          </w:tcPr>
          <w:p>
            <w:pPr>
              <w:ind w:left="3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w w:val="99"/>
              </w:rPr>
              <w:t>(D) 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9"/>
              </w:rPr>
              <w:t>Indirect (I)</w:t>
            </w:r>
          </w:p>
        </w:tc>
        <w:tc>
          <w:tcPr>
            <w:tcW w:w="240" w:type="dxa"/>
            <w:vAlign w:val="bottom"/>
          </w:tcPr>
          <w:p>
            <w:pPr>
              <w:spacing w:after="0"/>
              <w:rPr>
                <w:sz w:val="11"/>
                <w:szCs w:val="11"/>
                <w:color w:val="auto"/>
              </w:rPr>
            </w:pP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gridSpan w:val="2"/>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0"/>
                <w:szCs w:val="10"/>
                <w:color w:val="auto"/>
              </w:rPr>
            </w:pPr>
          </w:p>
        </w:tc>
        <w:tc>
          <w:tcPr>
            <w:tcW w:w="1500" w:type="dxa"/>
            <w:vAlign w:val="bottom"/>
            <w:gridSpan w:val="3"/>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360" w:type="dxa"/>
            <w:vAlign w:val="bottom"/>
            <w:vMerge w:val="restart"/>
          </w:tcPr>
          <w:p>
            <w:pPr>
              <w:jc w:val="right"/>
              <w:ind w:right="44"/>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4"/>
          </w:tcPr>
          <w:p>
            <w:pPr>
              <w:ind w:left="80"/>
              <w:spacing w:after="0"/>
              <w:rPr>
                <w:sz w:val="20"/>
                <w:szCs w:val="20"/>
                <w:color w:val="auto"/>
              </w:rPr>
            </w:pPr>
            <w:r>
              <w:rPr>
                <w:rFonts w:ascii="Arial" w:cs="Arial" w:eastAsia="Arial" w:hAnsi="Arial"/>
                <w:sz w:val="17"/>
                <w:szCs w:val="17"/>
                <w:color w:val="0000FF"/>
              </w:rPr>
              <w:t>By: JCP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w w:val="92"/>
              </w:rPr>
              <w:t>Common Stock, $0.01 par value</w:t>
            </w:r>
            <w:r>
              <w:rPr>
                <w:rFonts w:ascii="Arial" w:cs="Arial" w:eastAsia="Arial" w:hAnsi="Arial"/>
                <w:sz w:val="22"/>
                <w:szCs w:val="22"/>
                <w:color w:val="008000"/>
                <w:w w:val="92"/>
                <w:vertAlign w:val="superscript"/>
              </w:rPr>
              <w:t>(1)</w:t>
            </w:r>
          </w:p>
        </w:tc>
        <w:tc>
          <w:tcPr>
            <w:tcW w:w="1240" w:type="dxa"/>
            <w:vAlign w:val="bottom"/>
            <w:gridSpan w:val="3"/>
            <w:vMerge w:val="restart"/>
          </w:tcPr>
          <w:p>
            <w:pPr>
              <w:ind w:left="420"/>
              <w:spacing w:after="0"/>
              <w:rPr>
                <w:sz w:val="20"/>
                <w:szCs w:val="20"/>
                <w:color w:val="auto"/>
              </w:rPr>
            </w:pPr>
            <w:r>
              <w:rPr>
                <w:rFonts w:ascii="Arial" w:cs="Arial" w:eastAsia="Arial" w:hAnsi="Arial"/>
                <w:sz w:val="17"/>
                <w:szCs w:val="17"/>
                <w:color w:val="0000FF"/>
                <w:w w:val="93"/>
              </w:rPr>
              <w:t>04/29/2021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0000FF"/>
              </w:rPr>
              <w:t>P</w:t>
            </w:r>
          </w:p>
        </w:tc>
        <w:tc>
          <w:tcPr>
            <w:tcW w:w="420" w:type="dxa"/>
            <w:vAlign w:val="bottom"/>
          </w:tcPr>
          <w:p>
            <w:pPr>
              <w:spacing w:after="0"/>
              <w:rPr>
                <w:sz w:val="18"/>
                <w:szCs w:val="18"/>
                <w:color w:val="auto"/>
              </w:rPr>
            </w:pP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11,995</w:t>
            </w:r>
          </w:p>
        </w:tc>
        <w:tc>
          <w:tcPr>
            <w:tcW w:w="360" w:type="dxa"/>
            <w:vAlign w:val="bottom"/>
            <w:vMerge w:val="restart"/>
          </w:tcPr>
          <w:p>
            <w:pPr>
              <w:jc w:val="center"/>
              <w:ind w:left="64"/>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18"/>
                <w:szCs w:val="18"/>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17.8927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vMerge w:val="restart"/>
          </w:tcPr>
          <w:p>
            <w:pPr>
              <w:jc w:val="center"/>
              <w:ind w:right="580"/>
              <w:spacing w:after="0"/>
              <w:rPr>
                <w:sz w:val="20"/>
                <w:szCs w:val="20"/>
                <w:color w:val="auto"/>
              </w:rPr>
            </w:pPr>
            <w:r>
              <w:rPr>
                <w:rFonts w:ascii="Arial" w:cs="Arial" w:eastAsia="Arial" w:hAnsi="Arial"/>
                <w:sz w:val="17"/>
                <w:szCs w:val="17"/>
                <w:color w:val="0000FF"/>
                <w:w w:val="91"/>
              </w:rPr>
              <w:t>412,925</w:t>
            </w:r>
          </w:p>
        </w:tc>
        <w:tc>
          <w:tcPr>
            <w:tcW w:w="260" w:type="dxa"/>
            <w:vAlign w:val="bottom"/>
            <w:vMerge w:val="restart"/>
          </w:tcPr>
          <w:p>
            <w:pPr>
              <w:jc w:val="center"/>
              <w:ind w:right="73"/>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18"/>
                <w:szCs w:val="18"/>
                <w:color w:val="auto"/>
              </w:rPr>
            </w:pPr>
          </w:p>
        </w:tc>
        <w:tc>
          <w:tcPr>
            <w:tcW w:w="1220" w:type="dxa"/>
            <w:vAlign w:val="bottom"/>
            <w:gridSpan w:val="4"/>
          </w:tcPr>
          <w:p>
            <w:pPr>
              <w:ind w:left="8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1"/>
                <w:szCs w:val="11"/>
                <w:color w:val="008000"/>
              </w:rPr>
              <w:t>(2)</w:t>
            </w: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4"/>
          </w:tcPr>
          <w:p>
            <w:pPr>
              <w:ind w:left="80"/>
              <w:spacing w:after="0"/>
              <w:rPr>
                <w:sz w:val="20"/>
                <w:szCs w:val="20"/>
                <w:color w:val="auto"/>
              </w:rPr>
            </w:pPr>
            <w:r>
              <w:rPr>
                <w:rFonts w:ascii="Arial" w:cs="Arial" w:eastAsia="Arial" w:hAnsi="Arial"/>
                <w:sz w:val="17"/>
                <w:szCs w:val="17"/>
                <w:color w:val="0000FF"/>
              </w:rPr>
              <w:t>By: JCP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w w:val="92"/>
              </w:rPr>
              <w:t>Common Stock, $0.01 par value</w:t>
            </w:r>
            <w:r>
              <w:rPr>
                <w:rFonts w:ascii="Arial" w:cs="Arial" w:eastAsia="Arial" w:hAnsi="Arial"/>
                <w:sz w:val="22"/>
                <w:szCs w:val="22"/>
                <w:color w:val="008000"/>
                <w:w w:val="92"/>
                <w:vertAlign w:val="superscript"/>
              </w:rPr>
              <w:t>(1)</w:t>
            </w:r>
          </w:p>
        </w:tc>
        <w:tc>
          <w:tcPr>
            <w:tcW w:w="1240" w:type="dxa"/>
            <w:vAlign w:val="bottom"/>
            <w:gridSpan w:val="3"/>
            <w:vMerge w:val="restart"/>
          </w:tcPr>
          <w:p>
            <w:pPr>
              <w:ind w:left="420"/>
              <w:spacing w:after="0"/>
              <w:rPr>
                <w:sz w:val="20"/>
                <w:szCs w:val="20"/>
                <w:color w:val="auto"/>
              </w:rPr>
            </w:pPr>
            <w:r>
              <w:rPr>
                <w:rFonts w:ascii="Arial" w:cs="Arial" w:eastAsia="Arial" w:hAnsi="Arial"/>
                <w:sz w:val="17"/>
                <w:szCs w:val="17"/>
                <w:color w:val="0000FF"/>
                <w:w w:val="93"/>
              </w:rPr>
              <w:t>04/29/2021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0000FF"/>
              </w:rPr>
              <w:t>P</w:t>
            </w:r>
          </w:p>
        </w:tc>
        <w:tc>
          <w:tcPr>
            <w:tcW w:w="420" w:type="dxa"/>
            <w:vAlign w:val="bottom"/>
          </w:tcPr>
          <w:p>
            <w:pPr>
              <w:spacing w:after="0"/>
              <w:rPr>
                <w:sz w:val="18"/>
                <w:szCs w:val="18"/>
                <w:color w:val="auto"/>
              </w:rPr>
            </w:pP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12,500</w:t>
            </w:r>
          </w:p>
        </w:tc>
        <w:tc>
          <w:tcPr>
            <w:tcW w:w="360" w:type="dxa"/>
            <w:vAlign w:val="bottom"/>
            <w:vMerge w:val="restart"/>
          </w:tcPr>
          <w:p>
            <w:pPr>
              <w:jc w:val="center"/>
              <w:ind w:left="64"/>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18"/>
                <w:szCs w:val="18"/>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17.8927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vMerge w:val="restart"/>
          </w:tcPr>
          <w:p>
            <w:pPr>
              <w:jc w:val="center"/>
              <w:ind w:right="580"/>
              <w:spacing w:after="0"/>
              <w:rPr>
                <w:sz w:val="20"/>
                <w:szCs w:val="20"/>
                <w:color w:val="auto"/>
              </w:rPr>
            </w:pPr>
            <w:r>
              <w:rPr>
                <w:rFonts w:ascii="Arial" w:cs="Arial" w:eastAsia="Arial" w:hAnsi="Arial"/>
                <w:sz w:val="17"/>
                <w:szCs w:val="17"/>
                <w:color w:val="0000FF"/>
                <w:w w:val="91"/>
              </w:rPr>
              <w:t>430,214</w:t>
            </w:r>
          </w:p>
        </w:tc>
        <w:tc>
          <w:tcPr>
            <w:tcW w:w="260" w:type="dxa"/>
            <w:vAlign w:val="bottom"/>
            <w:vMerge w:val="restart"/>
          </w:tcPr>
          <w:p>
            <w:pPr>
              <w:jc w:val="center"/>
              <w:ind w:right="73"/>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Arial" w:cs="Arial" w:eastAsia="Arial" w:hAnsi="Arial"/>
                <w:sz w:val="17"/>
                <w:szCs w:val="17"/>
                <w:color w:val="0000FF"/>
                <w:w w:val="98"/>
              </w:rPr>
              <w:t>Asset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VI, LP</w:t>
            </w:r>
            <w:r>
              <w:rPr>
                <w:rFonts w:ascii="Arial" w:cs="Arial" w:eastAsia="Arial" w:hAnsi="Arial"/>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4"/>
          </w:tcPr>
          <w:p>
            <w:pPr>
              <w:ind w:left="80"/>
              <w:spacing w:after="0"/>
              <w:rPr>
                <w:sz w:val="20"/>
                <w:szCs w:val="20"/>
                <w:color w:val="auto"/>
              </w:rPr>
            </w:pPr>
            <w:r>
              <w:rPr>
                <w:rFonts w:ascii="Arial" w:cs="Arial" w:eastAsia="Arial" w:hAnsi="Arial"/>
                <w:sz w:val="17"/>
                <w:szCs w:val="17"/>
                <w:color w:val="0000FF"/>
              </w:rPr>
              <w:t>By: Managed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ind w:left="80"/>
              <w:spacing w:after="0"/>
              <w:rPr>
                <w:sz w:val="20"/>
                <w:szCs w:val="20"/>
                <w:color w:val="auto"/>
              </w:rPr>
            </w:pPr>
            <w:r>
              <w:rPr>
                <w:rFonts w:ascii="Arial" w:cs="Arial" w:eastAsia="Arial" w:hAnsi="Arial"/>
                <w:sz w:val="17"/>
                <w:szCs w:val="17"/>
                <w:color w:val="0000FF"/>
              </w:rPr>
              <w:t>Account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w w:val="92"/>
              </w:rPr>
              <w:t>Common Stock, $0.01 par value</w:t>
            </w:r>
            <w:r>
              <w:rPr>
                <w:rFonts w:ascii="Arial" w:cs="Arial" w:eastAsia="Arial" w:hAnsi="Arial"/>
                <w:sz w:val="22"/>
                <w:szCs w:val="22"/>
                <w:color w:val="008000"/>
                <w:w w:val="92"/>
                <w:vertAlign w:val="superscript"/>
              </w:rPr>
              <w:t>(1)</w:t>
            </w:r>
          </w:p>
        </w:tc>
        <w:tc>
          <w:tcPr>
            <w:tcW w:w="1240" w:type="dxa"/>
            <w:vAlign w:val="bottom"/>
            <w:gridSpan w:val="3"/>
            <w:vMerge w:val="restart"/>
          </w:tcPr>
          <w:p>
            <w:pPr>
              <w:ind w:left="420"/>
              <w:spacing w:after="0"/>
              <w:rPr>
                <w:sz w:val="20"/>
                <w:szCs w:val="20"/>
                <w:color w:val="auto"/>
              </w:rPr>
            </w:pPr>
            <w:r>
              <w:rPr>
                <w:rFonts w:ascii="Arial" w:cs="Arial" w:eastAsia="Arial" w:hAnsi="Arial"/>
                <w:sz w:val="17"/>
                <w:szCs w:val="17"/>
                <w:color w:val="0000FF"/>
                <w:w w:val="93"/>
              </w:rPr>
              <w:t>04/29/2021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0000FF"/>
              </w:rPr>
              <w:t>P</w:t>
            </w:r>
          </w:p>
        </w:tc>
        <w:tc>
          <w:tcPr>
            <w:tcW w:w="420" w:type="dxa"/>
            <w:vAlign w:val="bottom"/>
          </w:tcPr>
          <w:p>
            <w:pPr>
              <w:spacing w:after="0"/>
              <w:rPr>
                <w:sz w:val="18"/>
                <w:szCs w:val="18"/>
                <w:color w:val="auto"/>
              </w:rPr>
            </w:pP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1"/>
              </w:rPr>
              <w:t>505</w:t>
            </w:r>
          </w:p>
        </w:tc>
        <w:tc>
          <w:tcPr>
            <w:tcW w:w="360" w:type="dxa"/>
            <w:vAlign w:val="bottom"/>
            <w:vMerge w:val="restart"/>
          </w:tcPr>
          <w:p>
            <w:pPr>
              <w:jc w:val="center"/>
              <w:ind w:left="64"/>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18"/>
                <w:szCs w:val="18"/>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17.8927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vMerge w:val="restart"/>
          </w:tcPr>
          <w:p>
            <w:pPr>
              <w:jc w:val="center"/>
              <w:ind w:left="3"/>
              <w:spacing w:after="0"/>
              <w:rPr>
                <w:sz w:val="20"/>
                <w:szCs w:val="20"/>
                <w:color w:val="auto"/>
              </w:rPr>
            </w:pPr>
            <w:r>
              <w:rPr>
                <w:rFonts w:ascii="Arial" w:cs="Arial" w:eastAsia="Arial" w:hAnsi="Arial"/>
                <w:sz w:val="17"/>
                <w:szCs w:val="17"/>
                <w:color w:val="0000FF"/>
                <w:w w:val="92"/>
              </w:rPr>
              <w:t>17,277</w:t>
            </w:r>
          </w:p>
        </w:tc>
        <w:tc>
          <w:tcPr>
            <w:tcW w:w="720" w:type="dxa"/>
            <w:vAlign w:val="bottom"/>
          </w:tcPr>
          <w:p>
            <w:pPr>
              <w:spacing w:after="0"/>
              <w:rPr>
                <w:sz w:val="18"/>
                <w:szCs w:val="18"/>
                <w:color w:val="auto"/>
              </w:rPr>
            </w:pPr>
          </w:p>
        </w:tc>
        <w:tc>
          <w:tcPr>
            <w:tcW w:w="260" w:type="dxa"/>
            <w:vAlign w:val="bottom"/>
            <w:vMerge w:val="restart"/>
          </w:tcPr>
          <w:p>
            <w:pPr>
              <w:jc w:val="center"/>
              <w:ind w:right="73"/>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Arial" w:cs="Arial" w:eastAsia="Arial" w:hAnsi="Arial"/>
                <w:sz w:val="17"/>
                <w:szCs w:val="17"/>
                <w:color w:val="0000FF"/>
              </w:rPr>
              <w:t>JCP</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ind w:left="80"/>
              <w:spacing w:after="0"/>
              <w:rPr>
                <w:sz w:val="20"/>
                <w:szCs w:val="20"/>
                <w:color w:val="auto"/>
              </w:rPr>
            </w:pPr>
            <w:r>
              <w:rPr>
                <w:rFonts w:ascii="Arial" w:cs="Arial" w:eastAsia="Arial" w:hAnsi="Arial"/>
                <w:sz w:val="17"/>
                <w:szCs w:val="17"/>
                <w:color w:val="0000FF"/>
              </w:rPr>
              <w:t>Management,</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60" w:type="dxa"/>
            <w:vAlign w:val="bottom"/>
            <w:gridSpan w:val="23"/>
          </w:tcPr>
          <w:p>
            <w:pPr>
              <w:jc w:val="center"/>
              <w:ind w:left="14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40" w:type="dxa"/>
            <w:vAlign w:val="bottom"/>
            <w:gridSpan w:val="18"/>
          </w:tcPr>
          <w:p>
            <w:pPr>
              <w:jc w:val="center"/>
              <w:ind w:right="5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gridSpan w:val="5"/>
          </w:tcPr>
          <w:p>
            <w:pPr>
              <w:ind w:left="20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520" w:type="dxa"/>
            <w:vAlign w:val="bottom"/>
          </w:tcPr>
          <w:p>
            <w:pPr>
              <w:spacing w:after="0"/>
              <w:rPr>
                <w:sz w:val="14"/>
                <w:szCs w:val="14"/>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9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9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2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jc w:val="right"/>
              <w:ind w:right="44"/>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5"/>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00" w:type="dxa"/>
            <w:vAlign w:val="bottom"/>
            <w:tcBorders>
              <w:top w:val="single" w:sz="8" w:color="2C2C2C"/>
            </w:tcBorders>
            <w:gridSpan w:val="10"/>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9"/>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JCP Investment Management,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40" w:type="dxa"/>
            <w:vAlign w:val="bottom"/>
          </w:tcPr>
          <w:p>
            <w:pPr>
              <w:spacing w:after="0"/>
              <w:rPr>
                <w:sz w:val="24"/>
                <w:szCs w:val="24"/>
                <w:color w:val="auto"/>
              </w:rPr>
            </w:pPr>
          </w:p>
        </w:tc>
        <w:tc>
          <w:tcPr>
            <w:tcW w:w="960" w:type="dxa"/>
            <w:vAlign w:val="bottom"/>
            <w:gridSpan w:val="4"/>
          </w:tcPr>
          <w:p>
            <w:pPr>
              <w:ind w:left="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Arial" w:cs="Arial" w:eastAsia="Arial" w:hAnsi="Arial"/>
                <w:sz w:val="17"/>
                <w:szCs w:val="17"/>
                <w:color w:val="0000FF"/>
              </w:rPr>
              <w:t>1177 WEST LOOP SOUTH</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1320</w:t>
            </w: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20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TX</w:t>
            </w:r>
          </w:p>
        </w:tc>
        <w:tc>
          <w:tcPr>
            <w:tcW w:w="1240" w:type="dxa"/>
            <w:vAlign w:val="bottom"/>
            <w:gridSpan w:val="3"/>
          </w:tcPr>
          <w:p>
            <w:pPr>
              <w:ind w:left="400"/>
              <w:spacing w:after="0"/>
              <w:rPr>
                <w:sz w:val="20"/>
                <w:szCs w:val="20"/>
                <w:color w:val="auto"/>
              </w:rPr>
            </w:pPr>
            <w:r>
              <w:rPr>
                <w:rFonts w:ascii="Arial" w:cs="Arial" w:eastAsia="Arial" w:hAnsi="Arial"/>
                <w:sz w:val="17"/>
                <w:szCs w:val="17"/>
                <w:color w:val="0000FF"/>
              </w:rPr>
              <w:t>77027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gridSpan w:val="3"/>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40" w:type="dxa"/>
            <w:vAlign w:val="bottom"/>
          </w:tcPr>
          <w:p>
            <w:pPr>
              <w:spacing w:after="0"/>
              <w:rPr>
                <w:sz w:val="24"/>
                <w:szCs w:val="24"/>
                <w:color w:val="auto"/>
              </w:rPr>
            </w:pPr>
          </w:p>
        </w:tc>
        <w:tc>
          <w:tcPr>
            <w:tcW w:w="960" w:type="dxa"/>
            <w:vAlign w:val="bottom"/>
            <w:gridSpan w:val="4"/>
          </w:tcPr>
          <w:p>
            <w:pPr>
              <w:ind w:left="6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5"/>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3"/>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9"/>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JCP Investment Partnership,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40" w:type="dxa"/>
            <w:vAlign w:val="bottom"/>
          </w:tcPr>
          <w:p>
            <w:pPr>
              <w:spacing w:after="0"/>
              <w:rPr>
                <w:sz w:val="24"/>
                <w:szCs w:val="24"/>
                <w:color w:val="auto"/>
              </w:rPr>
            </w:pPr>
          </w:p>
        </w:tc>
        <w:tc>
          <w:tcPr>
            <w:tcW w:w="960" w:type="dxa"/>
            <w:vAlign w:val="bottom"/>
            <w:gridSpan w:val="4"/>
          </w:tcPr>
          <w:p>
            <w:pPr>
              <w:ind w:left="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-4234180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79"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1177 WEST LOOP SOUTH</w:t>
      </w:r>
    </w:p>
    <w:p>
      <w:pPr>
        <w:sectPr>
          <w:pgSz w:w="11900" w:h="16879" w:orient="portrait"/>
          <w:cols w:equalWidth="0" w:num="1">
            <w:col w:w="11080"/>
          </w:cols>
          <w:pgMar w:left="460" w:top="225" w:right="359" w:bottom="0" w:gutter="0" w:footer="0" w:header="0"/>
          <w:type w:val="continuous"/>
        </w:sectPr>
      </w:pPr>
    </w:p>
    <w:bookmarkStart w:id="1" w:name="page2"/>
    <w:bookmarkEnd w:id="1"/>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127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812736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SUITE 1320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360" w:type="dxa"/>
            <w:vAlign w:val="bottom"/>
            <w:gridSpan w:val="4"/>
          </w:tcPr>
          <w:p>
            <w:pPr>
              <w:spacing w:after="0"/>
              <w:rPr>
                <w:sz w:val="20"/>
                <w:szCs w:val="20"/>
                <w:color w:val="auto"/>
              </w:rPr>
            </w:pPr>
            <w:r>
              <w:rPr>
                <w:rFonts w:ascii="Arial" w:cs="Arial" w:eastAsia="Arial" w:hAnsi="Arial"/>
                <w:sz w:val="17"/>
                <w:szCs w:val="17"/>
                <w:color w:val="0000FF"/>
              </w:rPr>
              <w:t>TX</w:t>
            </w:r>
          </w:p>
        </w:tc>
        <w:tc>
          <w:tcPr>
            <w:tcW w:w="1400" w:type="dxa"/>
            <w:vAlign w:val="bottom"/>
          </w:tcPr>
          <w:p>
            <w:pPr>
              <w:ind w:left="40"/>
              <w:spacing w:after="0"/>
              <w:rPr>
                <w:sz w:val="20"/>
                <w:szCs w:val="20"/>
                <w:color w:val="auto"/>
              </w:rPr>
            </w:pPr>
            <w:r>
              <w:rPr>
                <w:rFonts w:ascii="Arial" w:cs="Arial" w:eastAsia="Arial" w:hAnsi="Arial"/>
                <w:sz w:val="17"/>
                <w:szCs w:val="17"/>
                <w:color w:val="0000FF"/>
              </w:rPr>
              <w:t>77027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gridSpan w:val="4"/>
          </w:tcPr>
          <w:p>
            <w:pPr>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60" w:type="dxa"/>
            <w:vAlign w:val="bottom"/>
            <w:gridSpan w:val="6"/>
          </w:tcPr>
          <w:p>
            <w:pPr>
              <w:spacing w:after="0" w:line="221" w:lineRule="exact"/>
              <w:rPr>
                <w:rFonts w:ascii="Arial" w:cs="Arial" w:eastAsia="Arial" w:hAnsi="Arial"/>
                <w:sz w:val="21"/>
                <w:szCs w:val="21"/>
                <w:color w:val="0000EE"/>
                <w:w w:val="99"/>
              </w:rPr>
            </w:pPr>
            <w:hyperlink r:id="rId17">
              <w:r>
                <w:rPr>
                  <w:rFonts w:ascii="Arial" w:cs="Arial" w:eastAsia="Arial" w:hAnsi="Arial"/>
                  <w:sz w:val="21"/>
                  <w:szCs w:val="21"/>
                  <w:color w:val="0000EE"/>
                  <w:w w:val="99"/>
                </w:rPr>
                <w:t>JCP Asset Partnership VI,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gridSpan w:val="4"/>
          </w:tcPr>
          <w:p>
            <w:pPr>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Arial" w:cs="Arial" w:eastAsia="Arial" w:hAnsi="Arial"/>
                <w:sz w:val="17"/>
                <w:szCs w:val="17"/>
                <w:color w:val="0000FF"/>
              </w:rPr>
              <w:t>1177 WEST LOOP SOUTH</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SUITE 1320</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360" w:type="dxa"/>
            <w:vAlign w:val="bottom"/>
            <w:gridSpan w:val="4"/>
          </w:tcPr>
          <w:p>
            <w:pPr>
              <w:spacing w:after="0"/>
              <w:rPr>
                <w:sz w:val="20"/>
                <w:szCs w:val="20"/>
                <w:color w:val="auto"/>
              </w:rPr>
            </w:pPr>
            <w:r>
              <w:rPr>
                <w:rFonts w:ascii="Arial" w:cs="Arial" w:eastAsia="Arial" w:hAnsi="Arial"/>
                <w:sz w:val="17"/>
                <w:szCs w:val="17"/>
                <w:color w:val="0000FF"/>
              </w:rPr>
              <w:t>TX</w:t>
            </w:r>
          </w:p>
        </w:tc>
        <w:tc>
          <w:tcPr>
            <w:tcW w:w="1400" w:type="dxa"/>
            <w:vAlign w:val="bottom"/>
          </w:tcPr>
          <w:p>
            <w:pPr>
              <w:ind w:left="40"/>
              <w:spacing w:after="0"/>
              <w:rPr>
                <w:sz w:val="20"/>
                <w:szCs w:val="20"/>
                <w:color w:val="auto"/>
              </w:rPr>
            </w:pPr>
            <w:r>
              <w:rPr>
                <w:rFonts w:ascii="Arial" w:cs="Arial" w:eastAsia="Arial" w:hAnsi="Arial"/>
                <w:sz w:val="17"/>
                <w:szCs w:val="17"/>
                <w:color w:val="0000FF"/>
              </w:rPr>
              <w:t>77027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gridSpan w:val="4"/>
          </w:tcPr>
          <w:p>
            <w:pPr>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60" w:type="dxa"/>
            <w:vAlign w:val="bottom"/>
            <w:gridSpan w:val="6"/>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JCP Investment Partners,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gridSpan w:val="4"/>
          </w:tcPr>
          <w:p>
            <w:pPr>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Arial" w:cs="Arial" w:eastAsia="Arial" w:hAnsi="Arial"/>
                <w:sz w:val="17"/>
                <w:szCs w:val="17"/>
                <w:color w:val="0000FF"/>
              </w:rPr>
              <w:t>1177 WEST LOOP SOUTH</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SUITE 1320</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360" w:type="dxa"/>
            <w:vAlign w:val="bottom"/>
            <w:gridSpan w:val="4"/>
          </w:tcPr>
          <w:p>
            <w:pPr>
              <w:spacing w:after="0"/>
              <w:rPr>
                <w:sz w:val="20"/>
                <w:szCs w:val="20"/>
                <w:color w:val="auto"/>
              </w:rPr>
            </w:pPr>
            <w:r>
              <w:rPr>
                <w:rFonts w:ascii="Arial" w:cs="Arial" w:eastAsia="Arial" w:hAnsi="Arial"/>
                <w:sz w:val="17"/>
                <w:szCs w:val="17"/>
                <w:color w:val="0000FF"/>
              </w:rPr>
              <w:t>TX</w:t>
            </w:r>
          </w:p>
        </w:tc>
        <w:tc>
          <w:tcPr>
            <w:tcW w:w="1400" w:type="dxa"/>
            <w:vAlign w:val="bottom"/>
          </w:tcPr>
          <w:p>
            <w:pPr>
              <w:ind w:left="40"/>
              <w:spacing w:after="0"/>
              <w:rPr>
                <w:sz w:val="20"/>
                <w:szCs w:val="20"/>
                <w:color w:val="auto"/>
              </w:rPr>
            </w:pPr>
            <w:r>
              <w:rPr>
                <w:rFonts w:ascii="Arial" w:cs="Arial" w:eastAsia="Arial" w:hAnsi="Arial"/>
                <w:sz w:val="17"/>
                <w:szCs w:val="17"/>
                <w:color w:val="0000FF"/>
              </w:rPr>
              <w:t>77027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gridSpan w:val="4"/>
          </w:tcPr>
          <w:p>
            <w:pPr>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60" w:type="dxa"/>
            <w:vAlign w:val="bottom"/>
            <w:gridSpan w:val="6"/>
          </w:tcPr>
          <w:p>
            <w:pPr>
              <w:spacing w:after="0" w:line="221" w:lineRule="exact"/>
              <w:rPr>
                <w:rFonts w:ascii="Arial" w:cs="Arial" w:eastAsia="Arial" w:hAnsi="Arial"/>
                <w:sz w:val="21"/>
                <w:szCs w:val="21"/>
                <w:color w:val="0000EE"/>
                <w:w w:val="95"/>
              </w:rPr>
            </w:pPr>
            <w:hyperlink r:id="rId19">
              <w:r>
                <w:rPr>
                  <w:rFonts w:ascii="Arial" w:cs="Arial" w:eastAsia="Arial" w:hAnsi="Arial"/>
                  <w:sz w:val="21"/>
                  <w:szCs w:val="21"/>
                  <w:color w:val="0000EE"/>
                  <w:w w:val="95"/>
                </w:rPr>
                <w:t>JCP Investment Holdings,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gridSpan w:val="4"/>
          </w:tcPr>
          <w:p>
            <w:pPr>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Arial" w:cs="Arial" w:eastAsia="Arial" w:hAnsi="Arial"/>
                <w:sz w:val="17"/>
                <w:szCs w:val="17"/>
                <w:color w:val="0000FF"/>
              </w:rPr>
              <w:t>1177 WEST LOOP SOUTH</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SUITE 1320</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360" w:type="dxa"/>
            <w:vAlign w:val="bottom"/>
            <w:gridSpan w:val="4"/>
          </w:tcPr>
          <w:p>
            <w:pPr>
              <w:spacing w:after="0"/>
              <w:rPr>
                <w:sz w:val="20"/>
                <w:szCs w:val="20"/>
                <w:color w:val="auto"/>
              </w:rPr>
            </w:pPr>
            <w:r>
              <w:rPr>
                <w:rFonts w:ascii="Arial" w:cs="Arial" w:eastAsia="Arial" w:hAnsi="Arial"/>
                <w:sz w:val="17"/>
                <w:szCs w:val="17"/>
                <w:color w:val="0000FF"/>
              </w:rPr>
              <w:t>TX</w:t>
            </w:r>
          </w:p>
        </w:tc>
        <w:tc>
          <w:tcPr>
            <w:tcW w:w="1400" w:type="dxa"/>
            <w:vAlign w:val="bottom"/>
          </w:tcPr>
          <w:p>
            <w:pPr>
              <w:ind w:left="40"/>
              <w:spacing w:after="0"/>
              <w:rPr>
                <w:sz w:val="20"/>
                <w:szCs w:val="20"/>
                <w:color w:val="auto"/>
              </w:rPr>
            </w:pPr>
            <w:r>
              <w:rPr>
                <w:rFonts w:ascii="Arial" w:cs="Arial" w:eastAsia="Arial" w:hAnsi="Arial"/>
                <w:sz w:val="17"/>
                <w:szCs w:val="17"/>
                <w:color w:val="0000FF"/>
              </w:rPr>
              <w:t>77027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gridSpan w:val="4"/>
          </w:tcPr>
          <w:p>
            <w:pPr>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400" w:type="dxa"/>
            <w:vAlign w:val="bottom"/>
            <w:gridSpan w:val="2"/>
          </w:tcPr>
          <w:p>
            <w:pPr>
              <w:spacing w:after="0" w:line="221" w:lineRule="exact"/>
              <w:rPr>
                <w:rFonts w:ascii="Arial" w:cs="Arial" w:eastAsia="Arial" w:hAnsi="Arial"/>
                <w:sz w:val="21"/>
                <w:szCs w:val="21"/>
                <w:color w:val="0000EE"/>
                <w:w w:val="86"/>
              </w:rPr>
            </w:pPr>
            <w:hyperlink r:id="rId20">
              <w:r>
                <w:rPr>
                  <w:rFonts w:ascii="Arial" w:cs="Arial" w:eastAsia="Arial" w:hAnsi="Arial"/>
                  <w:sz w:val="21"/>
                  <w:szCs w:val="21"/>
                  <w:color w:val="0000EE"/>
                  <w:w w:val="86"/>
                </w:rPr>
                <w:t>Pappas James C</w:t>
              </w:r>
            </w:hyperlink>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gridSpan w:val="4"/>
          </w:tcPr>
          <w:p>
            <w:pPr>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Arial" w:cs="Arial" w:eastAsia="Arial" w:hAnsi="Arial"/>
                <w:sz w:val="17"/>
                <w:szCs w:val="17"/>
                <w:color w:val="0000FF"/>
              </w:rPr>
              <w:t>1177 WEST LOOP SOUTH</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SUITE 1320</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360" w:type="dxa"/>
            <w:vAlign w:val="bottom"/>
            <w:gridSpan w:val="4"/>
          </w:tcPr>
          <w:p>
            <w:pPr>
              <w:spacing w:after="0"/>
              <w:rPr>
                <w:sz w:val="20"/>
                <w:szCs w:val="20"/>
                <w:color w:val="auto"/>
              </w:rPr>
            </w:pPr>
            <w:r>
              <w:rPr>
                <w:rFonts w:ascii="Arial" w:cs="Arial" w:eastAsia="Arial" w:hAnsi="Arial"/>
                <w:sz w:val="17"/>
                <w:szCs w:val="17"/>
                <w:color w:val="0000FF"/>
              </w:rPr>
              <w:t>TX</w:t>
            </w:r>
          </w:p>
        </w:tc>
        <w:tc>
          <w:tcPr>
            <w:tcW w:w="1400" w:type="dxa"/>
            <w:vAlign w:val="bottom"/>
          </w:tcPr>
          <w:p>
            <w:pPr>
              <w:ind w:left="40"/>
              <w:spacing w:after="0"/>
              <w:rPr>
                <w:sz w:val="20"/>
                <w:szCs w:val="20"/>
                <w:color w:val="auto"/>
              </w:rPr>
            </w:pPr>
            <w:r>
              <w:rPr>
                <w:rFonts w:ascii="Arial" w:cs="Arial" w:eastAsia="Arial" w:hAnsi="Arial"/>
                <w:sz w:val="17"/>
                <w:szCs w:val="17"/>
                <w:color w:val="0000FF"/>
              </w:rPr>
              <w:t>77027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gridSpan w:val="4"/>
          </w:tcPr>
          <w:p>
            <w:pPr>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Form 4 is filed jointly by JCP Investment Partnership, LP ("JCP Partnership"), JCP Asset Partnership VI, LP ("JCP Partnership VI"), JCP Investment Partners, LP ("JCP Partners"), JCP Investment Holdings, LLC ("JCP Holdings"), JCP Investment Management, LLC ("JCP Management") and James C. Pappas (collectively, the "Reporting Persons"). Each of the Reporting Persons may be deemed to be a member of a Section 13(d) group that collectively beneficially owns more than 10% of the Issuer's outstanding shares of Common Stock. Each of the Reporting Persons disclaims beneficial ownership of the shares of Common Stock reported herein except to the extent of his or its pecuniary interest therein.</w:t>
      </w:r>
    </w:p>
    <w:p>
      <w:pPr>
        <w:spacing w:after="0" w:line="29" w:lineRule="exact"/>
        <w:rPr>
          <w:rFonts w:ascii="Arial" w:cs="Arial" w:eastAsia="Arial" w:hAnsi="Arial"/>
          <w:sz w:val="13"/>
          <w:szCs w:val="13"/>
          <w:color w:val="008000"/>
        </w:rPr>
      </w:pPr>
    </w:p>
    <w:p>
      <w:pPr>
        <w:ind w:left="20" w:right="20" w:firstLine="7"/>
        <w:spacing w:after="0" w:line="272"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of Common Stock owned directly by JCP Partnership. JCP Partners, as the general partner of JCP Partnership, may be deemed to beneficially own the shares of Common Stock owned directly by JCP Partnership. JCP Holdings, as the general partner of JCP Partners, may be deemed to beneficially own the shares of Common Stock owned directly by JCP Partnership. JCP Management, as the investment manager of JCP Partnership, may be deemed to beneficially own the shares of Common Stock owned directly by JCP Partnership. Mr. Pappas, as the managing member of JCP Management and the sole member of JCP Holdings, may be deemed to beneficially own the shares of Common Stock owned directly by JCP Partnership.</w:t>
      </w:r>
    </w:p>
    <w:p>
      <w:pPr>
        <w:spacing w:after="0" w:line="14" w:lineRule="exact"/>
        <w:rPr>
          <w:rFonts w:ascii="Arial" w:cs="Arial" w:eastAsia="Arial" w:hAnsi="Arial"/>
          <w:sz w:val="12"/>
          <w:szCs w:val="12"/>
          <w:color w:val="008000"/>
        </w:rPr>
      </w:pPr>
    </w:p>
    <w:p>
      <w:pPr>
        <w:ind w:left="20" w:right="20" w:firstLine="7"/>
        <w:spacing w:after="0" w:line="272"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of Common Stock owned directly by JCP Partnership VI. JCP Partners, as the general partner of JCP Partnership VI, may be deemed to beneficially own the shares of Common Stock owned directly by JCP Partnership VI. JCP Holdings, as the general partner of JCP Partners, may be deemed to beneficially own the shares of Common Stock owned directly by JCP Partnership VI. JCP Management, as the investment manager of JCP Partnership VI, may be deemed to beneficially own the shares of Common Stock owned directly by JCP Partnership VI. Mr. Pappas, as the managing member of JCP Management and the sole member of JCP Holdings, may be deemed to beneficially own the shares of Common Stock owned directly by JCP Partnership VI.</w:t>
      </w:r>
    </w:p>
    <w:p>
      <w:pPr>
        <w:spacing w:after="0" w:line="14" w:lineRule="exact"/>
        <w:rPr>
          <w:rFonts w:ascii="Arial" w:cs="Arial" w:eastAsia="Arial" w:hAnsi="Arial"/>
          <w:sz w:val="12"/>
          <w:szCs w:val="12"/>
          <w:color w:val="008000"/>
        </w:rPr>
      </w:pPr>
    </w:p>
    <w:p>
      <w:pPr>
        <w:jc w:val="both"/>
        <w:ind w:left="20" w:right="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held in a certain account managed by JCP Management (the "JCP Account"). JCP Management, as the investment manager of the JCP Account, may be deemed to beneficially own the shares of Common Stock held in the JCP Account. Mr. Pappas, as the managing member of JCP Management, may be deemed to beneficially own the shares of Common Stock held in the JCP Account.</w:t>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JCP Investment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LLC, By: /s/ James C. Pappas, 05/03/2021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4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7"/>
          <w:szCs w:val="17"/>
          <w:color w:val="0000FF"/>
        </w:rPr>
        <w:t>JCP Investment Partnership,</w:t>
      </w:r>
      <w:r>
        <w:rPr>
          <w:sz w:val="20"/>
          <w:szCs w:val="20"/>
          <w:color w:val="auto"/>
        </w:rPr>
        <w:tab/>
      </w:r>
      <w:r>
        <w:rPr>
          <w:rFonts w:ascii="Arial" w:cs="Arial" w:eastAsia="Arial" w:hAnsi="Arial"/>
          <w:sz w:val="15"/>
          <w:szCs w:val="15"/>
          <w:color w:val="0000FF"/>
        </w:rPr>
        <w:t>05/03/2021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JCP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09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sectPr>
          <w:pgSz w:w="11900" w:h="16898" w:orient="portrait"/>
          <w:cols w:equalWidth="0" w:num="1">
            <w:col w:w="10900"/>
          </w:cols>
          <w:pgMar w:left="480" w:top="184" w:right="519" w:bottom="0" w:gutter="0" w:footer="0" w:header="0"/>
        </w:sectPr>
      </w:pPr>
    </w:p>
    <w:bookmarkStart w:id="2" w:name="page3"/>
    <w:bookmarkEnd w:id="2"/>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8642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8642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Investment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77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477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James C. Pappas,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69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JCP Asset Partnership VI,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3201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JCP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801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8801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642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8642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77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477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James C. Pappas,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69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JCP Investment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0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JCP Investment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66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James C. Pappas,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67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JCP Investment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LLC, By: /s/ James C.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42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956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59563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C.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8674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867410" cy="825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0000FF"/>
        </w:rPr>
        <w:t>05/03/2021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05/03/2021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05/03/2021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0000FF"/>
        </w:rPr>
        <w:t>05/03/2021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12" Type="http://schemas.openxmlformats.org/officeDocument/2006/relationships/hyperlink" Target="http://www.sec.gov/cgi-bin/browse-edgar?action=getcompany&amp;CIK=0001461945" TargetMode="External"/><Relationship Id="rId13" Type="http://schemas.openxmlformats.org/officeDocument/2006/relationships/hyperlink" Target="http://www.sec.gov/cgi-bin/browse-edgar?action=getcompany&amp;CIK=0001165002" TargetMode="External"/><Relationship Id="rId14" Type="http://schemas.openxmlformats.org/officeDocument/2006/relationships/hyperlink" Target="http://www.sec.gov/cgi-bin/browse-edgar?action=getcompany&amp;CIK=0001461946" TargetMode="External"/><Relationship Id="rId17" Type="http://schemas.openxmlformats.org/officeDocument/2006/relationships/hyperlink" Target="http://www.sec.gov/cgi-bin/browse-edgar?action=getcompany&amp;CIK=0001845388" TargetMode="External"/><Relationship Id="rId18" Type="http://schemas.openxmlformats.org/officeDocument/2006/relationships/hyperlink" Target="http://www.sec.gov/cgi-bin/browse-edgar?action=getcompany&amp;CIK=0001461947" TargetMode="External"/><Relationship Id="rId19" Type="http://schemas.openxmlformats.org/officeDocument/2006/relationships/hyperlink" Target="http://www.sec.gov/cgi-bin/browse-edgar?action=getcompany&amp;CIK=0001461948" TargetMode="External"/><Relationship Id="rId20" Type="http://schemas.openxmlformats.org/officeDocument/2006/relationships/hyperlink" Target="http://www.sec.gov/cgi-bin/browse-edgar?action=getcompany&amp;CIK=0001462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2021-05-03T15:47:39Z</dcterms:created>
  <dcterms:modified xsi:type="dcterms:W3CDTF">2021-05-03T15:47:39Z</dcterms:modified>
</cp:coreProperties>
</file>