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13D</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(Rule 13d-101)</w:t>
      </w:r>
    </w:p>
    <w:p>
      <w:pPr>
        <w:spacing w:after="0" w:line="188" w:lineRule="exact"/>
        <w:rPr>
          <w:sz w:val="24"/>
          <w:szCs w:val="24"/>
          <w:color w:val="auto"/>
        </w:rPr>
      </w:pPr>
    </w:p>
    <w:p>
      <w:pPr>
        <w:ind w:left="2180"/>
        <w:spacing w:after="0"/>
        <w:rPr>
          <w:sz w:val="20"/>
          <w:szCs w:val="20"/>
          <w:color w:val="auto"/>
        </w:rPr>
      </w:pPr>
      <w:r>
        <w:rPr>
          <w:rFonts w:ascii="Arial" w:cs="Arial" w:eastAsia="Arial" w:hAnsi="Arial"/>
          <w:sz w:val="22"/>
          <w:szCs w:val="22"/>
          <w:color w:val="auto"/>
        </w:rPr>
        <w:t>INFORMATION TO BE INCLUDED IN STATEMENTS FILED PURSUANT</w:t>
      </w:r>
    </w:p>
    <w:p>
      <w:pPr>
        <w:ind w:left="2160"/>
        <w:spacing w:after="0" w:line="238" w:lineRule="auto"/>
        <w:rPr>
          <w:sz w:val="20"/>
          <w:szCs w:val="20"/>
          <w:color w:val="auto"/>
        </w:rPr>
      </w:pPr>
      <w:r>
        <w:rPr>
          <w:rFonts w:ascii="Arial" w:cs="Arial" w:eastAsia="Arial" w:hAnsi="Arial"/>
          <w:sz w:val="22"/>
          <w:szCs w:val="22"/>
          <w:color w:val="auto"/>
        </w:rPr>
        <w:t>TO § 240.13d-1(a) AND AMENDMENTS THERETO FILED PURSUANT TO</w:t>
      </w:r>
    </w:p>
    <w:p>
      <w:pPr>
        <w:ind w:left="4720" w:right="4700" w:firstLine="262"/>
        <w:spacing w:after="0" w:line="498" w:lineRule="auto"/>
        <w:tabs>
          <w:tab w:leader="none" w:pos="5143" w:val="left"/>
        </w:tabs>
        <w:numPr>
          <w:ilvl w:val="0"/>
          <w:numId w:val="1"/>
        </w:numPr>
        <w:rPr>
          <w:rFonts w:ascii="Arial" w:cs="Arial" w:eastAsia="Arial" w:hAnsi="Arial"/>
          <w:sz w:val="19"/>
          <w:szCs w:val="19"/>
          <w:color w:val="auto"/>
        </w:rPr>
      </w:pPr>
      <w:r>
        <w:rPr>
          <w:rFonts w:ascii="Arial" w:cs="Arial" w:eastAsia="Arial" w:hAnsi="Arial"/>
          <w:sz w:val="19"/>
          <w:szCs w:val="19"/>
          <w:color w:val="auto"/>
        </w:rPr>
        <w:t>240.13d-2(a) (Amendment No. 1)</w:t>
      </w:r>
      <w:r>
        <w:rPr>
          <w:rFonts w:ascii="Arial" w:cs="Arial" w:eastAsia="Arial" w:hAnsi="Arial"/>
          <w:sz w:val="10"/>
          <w:szCs w:val="10"/>
          <w:color w:val="auto"/>
        </w:rPr>
        <w:t>1</w:t>
      </w:r>
    </w:p>
    <w:p>
      <w:pPr>
        <w:jc w:val="center"/>
        <w:ind w:right="-19"/>
        <w:spacing w:after="0"/>
        <w:rPr>
          <w:sz w:val="20"/>
          <w:szCs w:val="20"/>
          <w:color w:val="auto"/>
        </w:rPr>
      </w:pPr>
      <w:r>
        <w:rPr>
          <w:rFonts w:ascii="Arial" w:cs="Arial" w:eastAsia="Arial" w:hAnsi="Arial"/>
          <w:sz w:val="18"/>
          <w:szCs w:val="18"/>
          <w:u w:val="single" w:color="auto"/>
          <w:color w:val="auto"/>
        </w:rPr>
        <w:t>Westwood Holdings Group, Inc.</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Common Stock, $0.01 par value per share</w:t>
      </w:r>
    </w:p>
    <w:p>
      <w:pPr>
        <w:spacing w:after="0" w:line="20"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(Title of Class of Securities)</w:t>
      </w:r>
    </w:p>
    <w:p>
      <w:pPr>
        <w:spacing w:after="0" w:line="188" w:lineRule="exact"/>
        <w:rPr>
          <w:sz w:val="24"/>
          <w:szCs w:val="24"/>
          <w:color w:val="auto"/>
        </w:rPr>
      </w:pPr>
    </w:p>
    <w:p>
      <w:pPr>
        <w:ind w:left="5140"/>
        <w:spacing w:after="0"/>
        <w:rPr>
          <w:sz w:val="20"/>
          <w:szCs w:val="20"/>
          <w:color w:val="auto"/>
        </w:rPr>
      </w:pPr>
      <w:r>
        <w:rPr>
          <w:rFonts w:ascii="Arial" w:cs="Arial" w:eastAsia="Arial" w:hAnsi="Arial"/>
          <w:sz w:val="22"/>
          <w:szCs w:val="22"/>
          <w:u w:val="single" w:color="auto"/>
          <w:color w:val="auto"/>
        </w:rPr>
        <w:t>961765104</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JAMES C. PAPPAS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JCP INVESTMENT MANAGEMENT,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1177 West Loop South, Suite 1320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Houston, TX 77027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(713) 333-5540</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STEVE WOLOSKY</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RYAN NEBEL</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(212) 451-2300</w:t>
      </w:r>
    </w:p>
    <w:p>
      <w:pPr>
        <w:jc w:val="center"/>
        <w:ind w:right="-19"/>
        <w:spacing w:after="0" w:line="235" w:lineRule="auto"/>
        <w:rPr>
          <w:sz w:val="20"/>
          <w:szCs w:val="20"/>
          <w:color w:val="auto"/>
        </w:rPr>
      </w:pPr>
      <w:r>
        <w:rPr>
          <w:rFonts w:ascii="Arial" w:cs="Arial" w:eastAsia="Arial" w:hAnsi="Arial"/>
          <w:sz w:val="22"/>
          <w:szCs w:val="22"/>
          <w:color w:val="auto"/>
        </w:rPr>
        <w:t>(Name, Address and Telephone Number of Person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Authorized to Receive Notices and Communications)</w:t>
      </w: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April 27, 2021</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22" w:lineRule="exact"/>
        <w:rPr>
          <w:sz w:val="24"/>
          <w:szCs w:val="24"/>
          <w:color w:val="auto"/>
        </w:rPr>
      </w:pPr>
    </w:p>
    <w:p>
      <w:pPr>
        <w:ind w:right="40" w:firstLine="648"/>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42" w:lineRule="exact"/>
        <w:rPr>
          <w:sz w:val="24"/>
          <w:szCs w:val="24"/>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w:t>
      </w:r>
      <w:r>
        <w:rPr>
          <w:rFonts w:ascii="Arial" w:cs="Arial" w:eastAsia="Arial" w:hAnsi="Arial"/>
          <w:sz w:val="18"/>
          <w:szCs w:val="18"/>
          <w:i w:val="1"/>
          <w:iCs w:val="1"/>
          <w:color w:val="auto"/>
        </w:rPr>
        <w:t xml:space="preserve"> </w:t>
      </w:r>
      <w:r>
        <w:rPr>
          <w:rFonts w:ascii="Arial" w:cs="Arial" w:eastAsia="Arial" w:hAnsi="Arial"/>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ind w:firstLine="8"/>
        <w:spacing w:after="0"/>
        <w:tabs>
          <w:tab w:leader="none" w:pos="815" w:val="left"/>
        </w:tabs>
        <w:numPr>
          <w:ilvl w:val="0"/>
          <w:numId w:val="2"/>
        </w:numPr>
        <w:rPr>
          <w:rFonts w:ascii="Arial" w:cs="Arial" w:eastAsia="Arial" w:hAnsi="Arial"/>
          <w:sz w:val="13"/>
          <w:szCs w:val="13"/>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53" w:lineRule="exact"/>
        <w:rPr>
          <w:sz w:val="24"/>
          <w:szCs w:val="24"/>
          <w:color w:val="auto"/>
        </w:rPr>
      </w:pPr>
    </w:p>
    <w:p>
      <w:pPr>
        <w:ind w:right="380" w:firstLine="648"/>
        <w:spacing w:after="0" w:line="263" w:lineRule="auto"/>
        <w:rPr>
          <w:sz w:val="20"/>
          <w:szCs w:val="20"/>
          <w:color w:val="auto"/>
        </w:rPr>
      </w:pPr>
      <w:r>
        <w:rPr>
          <w:rFonts w:ascii="Arial" w:cs="Arial" w:eastAsia="Arial" w:hAnsi="Arial"/>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20" w:right="35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CUSIP No. 961765104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Partnership,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0"/>
        </w:trPr>
        <w:tc>
          <w:tcPr>
            <w:tcW w:w="40" w:type="dxa"/>
            <w:vAlign w:val="bottom"/>
            <w:tcBorders>
              <w:bottom w:val="single" w:sz="8" w:color="auto"/>
              <w:right w:val="single" w:sz="8" w:color="auto"/>
            </w:tcBorders>
            <w:shd w:val="clear" w:color="auto" w:fill="000000"/>
          </w:tcPr>
          <w:p>
            <w:pPr>
              <w:spacing w:after="0"/>
              <w:rPr>
                <w:sz w:val="16"/>
                <w:szCs w:val="16"/>
                <w:color w:val="auto"/>
              </w:rPr>
            </w:pPr>
          </w:p>
        </w:tc>
        <w:tc>
          <w:tcPr>
            <w:tcW w:w="1680" w:type="dxa"/>
            <w:vAlign w:val="bottom"/>
            <w:tcBorders>
              <w:bottom w:val="single" w:sz="8" w:color="auto"/>
              <w:right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580" w:type="dxa"/>
            <w:vAlign w:val="bottom"/>
            <w:tcBorders>
              <w:bottom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9"/>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412,925</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412,925</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412,925</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5.0%</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144145</wp:posOffset>
            </wp:positionV>
            <wp:extent cx="35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color w:val="auto"/>
              </w:rPr>
              <w:t>JCP Asset Partnership VI, LP</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63"/>
        </w:trPr>
        <w:tc>
          <w:tcPr>
            <w:tcW w:w="1700" w:type="dxa"/>
            <w:vAlign w:val="bottom"/>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60" w:type="dxa"/>
            <w:vAlign w:val="bottom"/>
            <w:gridSpan w:val="3"/>
          </w:tcPr>
          <w:p>
            <w:pPr>
              <w:ind w:left="14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200" w:type="dxa"/>
            <w:vAlign w:val="bottom"/>
            <w:gridSpan w:val="2"/>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7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60" w:type="dxa"/>
            <w:vAlign w:val="bottom"/>
            <w:gridSpan w:val="3"/>
          </w:tcPr>
          <w:p>
            <w:pPr>
              <w:ind w:left="14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20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430,214</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430,214</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430,214</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6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8360" w:type="dxa"/>
            <w:vAlign w:val="bottom"/>
            <w:gridSpan w:val="3"/>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-5332095</wp:posOffset>
            </wp:positionV>
            <wp:extent cx="351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16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Partners, LP</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843,139</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843,139</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843,139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PN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Arial" w:cs="Arial" w:eastAsia="Arial" w:hAnsi="Arial"/>
                <w:sz w:val="18"/>
                <w:szCs w:val="18"/>
                <w:color w:val="auto"/>
              </w:rPr>
              <w:t>JCP Investment Holdings, LLC</w:t>
            </w: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58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w w:val="93"/>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TEXAS</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843,139</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6"/>
                <w:szCs w:val="16"/>
                <w:color w:val="auto"/>
              </w:rPr>
            </w:pPr>
          </w:p>
        </w:tc>
        <w:tc>
          <w:tcPr>
            <w:tcW w:w="6580" w:type="dxa"/>
            <w:vAlign w:val="bottom"/>
          </w:tcPr>
          <w:p>
            <w:pPr>
              <w:ind w:left="4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843,139</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843,139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10.2%</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OO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CUSIP No. 961765104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229870</wp:posOffset>
            </wp:positionV>
            <wp:extent cx="351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1</w:t>
            </w:r>
          </w:p>
        </w:tc>
        <w:tc>
          <w:tcPr>
            <w:tcW w:w="8700" w:type="dxa"/>
            <w:vAlign w:val="bottom"/>
          </w:tcPr>
          <w:p>
            <w:pPr>
              <w:ind w:left="480"/>
              <w:spacing w:after="0"/>
              <w:rPr>
                <w:sz w:val="20"/>
                <w:szCs w:val="20"/>
                <w:color w:val="auto"/>
              </w:rPr>
            </w:pPr>
            <w:r>
              <w:rPr>
                <w:rFonts w:ascii="Arial" w:cs="Arial" w:eastAsia="Arial" w:hAnsi="Arial"/>
                <w:sz w:val="18"/>
                <w:szCs w:val="18"/>
                <w:color w:val="auto"/>
              </w:rPr>
              <w:t>NAME OF REPORTING PERSON</w:t>
            </w:r>
          </w:p>
        </w:tc>
        <w:tc>
          <w:tcPr>
            <w:tcW w:w="118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JCP Investment Management, LLC</w:t>
            </w:r>
          </w:p>
        </w:tc>
        <w:tc>
          <w:tcPr>
            <w:tcW w:w="1180" w:type="dxa"/>
            <w:vAlign w:val="bottom"/>
            <w:tcBorders>
              <w:bottom w:val="single" w:sz="8" w:color="auto"/>
            </w:tcBorders>
          </w:tcPr>
          <w:p>
            <w:pPr>
              <w:spacing w:after="0"/>
              <w:rPr>
                <w:sz w:val="24"/>
                <w:szCs w:val="24"/>
                <w:color w:val="auto"/>
              </w:rPr>
            </w:pPr>
          </w:p>
        </w:tc>
      </w:tr>
      <w:tr>
        <w:trPr>
          <w:trHeight w:val="163"/>
        </w:trPr>
        <w:tc>
          <w:tcPr>
            <w:tcW w:w="1360" w:type="dxa"/>
            <w:vAlign w:val="bottom"/>
          </w:tcPr>
          <w:p>
            <w:pPr>
              <w:jc w:val="right"/>
              <w:ind w:right="370"/>
              <w:spacing w:after="0" w:line="163" w:lineRule="exact"/>
              <w:rPr>
                <w:sz w:val="20"/>
                <w:szCs w:val="20"/>
                <w:color w:val="auto"/>
              </w:rPr>
            </w:pPr>
            <w:r>
              <w:rPr>
                <w:rFonts w:ascii="Arial" w:cs="Arial" w:eastAsia="Arial" w:hAnsi="Arial"/>
                <w:sz w:val="18"/>
                <w:szCs w:val="18"/>
                <w:color w:val="auto"/>
              </w:rPr>
              <w:t>2</w:t>
            </w:r>
          </w:p>
        </w:tc>
        <w:tc>
          <w:tcPr>
            <w:tcW w:w="8700" w:type="dxa"/>
            <w:vAlign w:val="bottom"/>
          </w:tcPr>
          <w:p>
            <w:pPr>
              <w:ind w:left="48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136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1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1360" w:type="dxa"/>
            <w:vAlign w:val="bottom"/>
            <w:tcBorders>
              <w:bottom w:val="single" w:sz="8" w:color="auto"/>
            </w:tcBorders>
          </w:tcPr>
          <w:p>
            <w:pPr>
              <w:spacing w:after="0"/>
              <w:rPr>
                <w:sz w:val="17"/>
                <w:szCs w:val="17"/>
                <w:color w:val="auto"/>
              </w:rPr>
            </w:pPr>
          </w:p>
        </w:tc>
        <w:tc>
          <w:tcPr>
            <w:tcW w:w="87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3</w:t>
            </w:r>
          </w:p>
        </w:tc>
        <w:tc>
          <w:tcPr>
            <w:tcW w:w="8700" w:type="dxa"/>
            <w:vAlign w:val="bottom"/>
          </w:tcPr>
          <w:p>
            <w:pPr>
              <w:ind w:left="480"/>
              <w:spacing w:after="0"/>
              <w:rPr>
                <w:sz w:val="20"/>
                <w:szCs w:val="20"/>
                <w:color w:val="auto"/>
              </w:rPr>
            </w:pPr>
            <w:r>
              <w:rPr>
                <w:rFonts w:ascii="Arial" w:cs="Arial" w:eastAsia="Arial" w:hAnsi="Arial"/>
                <w:sz w:val="18"/>
                <w:szCs w:val="18"/>
                <w:color w:val="auto"/>
              </w:rPr>
              <w:t>SEC USE ONLY</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r>
      <w:tr>
        <w:trPr>
          <w:trHeight w:val="224"/>
        </w:trPr>
        <w:tc>
          <w:tcPr>
            <w:tcW w:w="1360" w:type="dxa"/>
            <w:vAlign w:val="bottom"/>
          </w:tcPr>
          <w:p>
            <w:pPr>
              <w:jc w:val="right"/>
              <w:ind w:right="370"/>
              <w:spacing w:after="0"/>
              <w:rPr>
                <w:sz w:val="20"/>
                <w:szCs w:val="20"/>
                <w:color w:val="auto"/>
              </w:rPr>
            </w:pPr>
            <w:r>
              <w:rPr>
                <w:rFonts w:ascii="Arial" w:cs="Arial" w:eastAsia="Arial" w:hAnsi="Arial"/>
                <w:sz w:val="18"/>
                <w:szCs w:val="18"/>
                <w:color w:val="auto"/>
              </w:rPr>
              <w:t>4</w:t>
            </w:r>
          </w:p>
        </w:tc>
        <w:tc>
          <w:tcPr>
            <w:tcW w:w="8700" w:type="dxa"/>
            <w:vAlign w:val="bottom"/>
          </w:tcPr>
          <w:p>
            <w:pPr>
              <w:ind w:left="480"/>
              <w:spacing w:after="0"/>
              <w:rPr>
                <w:sz w:val="20"/>
                <w:szCs w:val="20"/>
                <w:color w:val="auto"/>
              </w:rPr>
            </w:pPr>
            <w:r>
              <w:rPr>
                <w:rFonts w:ascii="Arial" w:cs="Arial" w:eastAsia="Arial" w:hAnsi="Arial"/>
                <w:sz w:val="18"/>
                <w:szCs w:val="18"/>
                <w:color w:val="auto"/>
              </w:rPr>
              <w:t>SOURCE OF FUNDS</w:t>
            </w:r>
          </w:p>
        </w:tc>
        <w:tc>
          <w:tcPr>
            <w:tcW w:w="1180" w:type="dxa"/>
            <w:vAlign w:val="bottom"/>
          </w:tcPr>
          <w:p>
            <w:pPr>
              <w:spacing w:after="0"/>
              <w:rPr>
                <w:sz w:val="19"/>
                <w:szCs w:val="19"/>
                <w:color w:val="auto"/>
              </w:rPr>
            </w:pPr>
          </w:p>
        </w:tc>
      </w:tr>
      <w:tr>
        <w:trPr>
          <w:trHeight w:val="418"/>
        </w:trPr>
        <w:tc>
          <w:tcPr>
            <w:tcW w:w="1360" w:type="dxa"/>
            <w:vAlign w:val="bottom"/>
            <w:tcBorders>
              <w:bottom w:val="single" w:sz="8" w:color="auto"/>
            </w:tcBorders>
          </w:tcPr>
          <w:p>
            <w:pPr>
              <w:spacing w:after="0"/>
              <w:rPr>
                <w:sz w:val="24"/>
                <w:szCs w:val="24"/>
                <w:color w:val="auto"/>
              </w:rPr>
            </w:pPr>
          </w:p>
        </w:tc>
        <w:tc>
          <w:tcPr>
            <w:tcW w:w="870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AF, OO</w:t>
            </w:r>
          </w:p>
        </w:tc>
        <w:tc>
          <w:tcPr>
            <w:tcW w:w="1180" w:type="dxa"/>
            <w:vAlign w:val="bottom"/>
            <w:tcBorders>
              <w:bottom w:val="single" w:sz="8" w:color="auto"/>
            </w:tcBorders>
          </w:tcPr>
          <w:p>
            <w:pPr>
              <w:spacing w:after="0"/>
              <w:rPr>
                <w:sz w:val="24"/>
                <w:szCs w:val="24"/>
                <w:color w:val="auto"/>
              </w:rPr>
            </w:pPr>
          </w:p>
        </w:tc>
      </w:tr>
      <w:tr>
        <w:trPr>
          <w:trHeight w:val="195"/>
        </w:trPr>
        <w:tc>
          <w:tcPr>
            <w:tcW w:w="1360" w:type="dxa"/>
            <w:vAlign w:val="bottom"/>
          </w:tcPr>
          <w:p>
            <w:pPr>
              <w:jc w:val="right"/>
              <w:ind w:right="370"/>
              <w:spacing w:after="0" w:line="195" w:lineRule="exact"/>
              <w:rPr>
                <w:sz w:val="20"/>
                <w:szCs w:val="20"/>
                <w:color w:val="auto"/>
              </w:rPr>
            </w:pPr>
            <w:r>
              <w:rPr>
                <w:rFonts w:ascii="Arial" w:cs="Arial" w:eastAsia="Arial" w:hAnsi="Arial"/>
                <w:sz w:val="18"/>
                <w:szCs w:val="18"/>
                <w:color w:val="auto"/>
              </w:rPr>
              <w:t>5</w:t>
            </w:r>
          </w:p>
        </w:tc>
        <w:tc>
          <w:tcPr>
            <w:tcW w:w="8700" w:type="dxa"/>
            <w:vAlign w:val="bottom"/>
          </w:tcPr>
          <w:p>
            <w:pPr>
              <w:ind w:left="48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1360" w:type="dxa"/>
            <w:vAlign w:val="bottom"/>
          </w:tcPr>
          <w:p>
            <w:pPr>
              <w:spacing w:after="0"/>
              <w:rPr>
                <w:sz w:val="20"/>
                <w:szCs w:val="20"/>
                <w:color w:val="auto"/>
              </w:rPr>
            </w:pPr>
          </w:p>
        </w:tc>
        <w:tc>
          <w:tcPr>
            <w:tcW w:w="8700" w:type="dxa"/>
            <w:vAlign w:val="bottom"/>
          </w:tcPr>
          <w:p>
            <w:pPr>
              <w:ind w:left="480"/>
              <w:spacing w:after="0"/>
              <w:rPr>
                <w:sz w:val="20"/>
                <w:szCs w:val="20"/>
                <w:color w:val="auto"/>
              </w:rPr>
            </w:pPr>
            <w:r>
              <w:rPr>
                <w:rFonts w:ascii="Arial" w:cs="Arial" w:eastAsia="Arial" w:hAnsi="Arial"/>
                <w:sz w:val="18"/>
                <w:szCs w:val="18"/>
                <w:color w:val="auto"/>
              </w:rPr>
              <w:t>2(e)</w:t>
            </w:r>
          </w:p>
        </w:tc>
        <w:tc>
          <w:tcPr>
            <w:tcW w:w="1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-1962785</wp:posOffset>
            </wp:positionV>
            <wp:extent cx="3511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840" w:hanging="1026"/>
        <w:spacing w:after="0"/>
        <w:tabs>
          <w:tab w:leader="none" w:pos="1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-130175</wp:posOffset>
            </wp:positionV>
            <wp:extent cx="351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TEXAS</w:t>
            </w:r>
          </w:p>
        </w:tc>
        <w:tc>
          <w:tcPr>
            <w:tcW w:w="6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860,416</w:t>
            </w:r>
          </w:p>
        </w:tc>
        <w:tc>
          <w:tcPr>
            <w:tcW w:w="1600" w:type="dxa"/>
            <w:vAlign w:val="bottom"/>
            <w:tcBorders>
              <w:bottom w:val="single" w:sz="8" w:color="auto"/>
            </w:tcBorders>
          </w:tcPr>
          <w:p>
            <w:pPr>
              <w:spacing w:after="0"/>
              <w:rPr>
                <w:sz w:val="20"/>
                <w:szCs w:val="20"/>
                <w:color w:val="auto"/>
              </w:rPr>
            </w:pPr>
          </w:p>
        </w:tc>
      </w:tr>
      <w:tr>
        <w:trPr>
          <w:trHeight w:val="195"/>
        </w:trPr>
        <w:tc>
          <w:tcPr>
            <w:tcW w:w="1700" w:type="dxa"/>
            <w:vAlign w:val="bottom"/>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6220" w:type="dxa"/>
            <w:vAlign w:val="bottom"/>
          </w:tcPr>
          <w:p>
            <w:pPr>
              <w:ind w:left="100"/>
              <w:spacing w:after="0" w:line="195" w:lineRule="exact"/>
              <w:rPr>
                <w:sz w:val="20"/>
                <w:szCs w:val="20"/>
                <w:color w:val="auto"/>
              </w:rPr>
            </w:pPr>
            <w:r>
              <w:rPr>
                <w:rFonts w:ascii="Arial" w:cs="Arial" w:eastAsia="Arial" w:hAnsi="Arial"/>
                <w:sz w:val="18"/>
                <w:szCs w:val="18"/>
                <w:color w:val="auto"/>
              </w:rPr>
              <w:t>SHARED VOTING POWER</w:t>
            </w:r>
          </w:p>
        </w:tc>
        <w:tc>
          <w:tcPr>
            <w:tcW w:w="160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1720" w:type="dxa"/>
            <w:vAlign w:val="bottom"/>
            <w:tcBorders>
              <w:right w:val="single" w:sz="8" w:color="auto"/>
            </w:tcBorders>
          </w:tcPr>
          <w:p>
            <w:pPr>
              <w:spacing w:after="0"/>
              <w:rPr>
                <w:sz w:val="18"/>
                <w:szCs w:val="18"/>
                <w:color w:val="auto"/>
              </w:rPr>
            </w:pPr>
          </w:p>
        </w:tc>
        <w:tc>
          <w:tcPr>
            <w:tcW w:w="622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30"/>
        </w:trPr>
        <w:tc>
          <w:tcPr>
            <w:tcW w:w="170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0"/>
                <w:szCs w:val="20"/>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622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600" w:type="dxa"/>
            <w:vAlign w:val="bottom"/>
          </w:tcPr>
          <w:p>
            <w:pPr>
              <w:spacing w:after="0"/>
              <w:rPr>
                <w:sz w:val="19"/>
                <w:szCs w:val="19"/>
                <w:color w:val="auto"/>
              </w:rPr>
            </w:pPr>
          </w:p>
        </w:tc>
      </w:tr>
      <w:tr>
        <w:trPr>
          <w:trHeight w:val="418"/>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860,416</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22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- 0 -</w:t>
            </w: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79"/>
              </w:rPr>
              <w:t>11</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AGGREGATE AMOUNT BENEFICIALLY OWNED BY EACH REPORTING PERSON</w:t>
            </w:r>
          </w:p>
        </w:tc>
        <w:tc>
          <w:tcPr>
            <w:tcW w:w="1600" w:type="dxa"/>
            <w:vAlign w:val="bottom"/>
          </w:tcPr>
          <w:p>
            <w:pPr>
              <w:spacing w:after="0"/>
              <w:rPr>
                <w:sz w:val="19"/>
                <w:szCs w:val="19"/>
                <w:color w:val="auto"/>
              </w:rPr>
            </w:pPr>
          </w:p>
        </w:tc>
      </w:tr>
      <w:tr>
        <w:trPr>
          <w:trHeight w:val="418"/>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860,416</w:t>
            </w:r>
          </w:p>
        </w:tc>
        <w:tc>
          <w:tcPr>
            <w:tcW w:w="6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76"/>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12</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60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170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gridSpan w:val="2"/>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r>
      <w:tr>
        <w:trPr>
          <w:trHeight w:val="224"/>
        </w:trPr>
        <w:tc>
          <w:tcPr>
            <w:tcW w:w="170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7940" w:type="dxa"/>
            <w:vAlign w:val="bottom"/>
            <w:gridSpan w:val="2"/>
          </w:tcPr>
          <w:p>
            <w:pPr>
              <w:ind w:left="140"/>
              <w:spacing w:after="0"/>
              <w:rPr>
                <w:sz w:val="20"/>
                <w:szCs w:val="20"/>
                <w:color w:val="auto"/>
              </w:rPr>
            </w:pPr>
            <w:r>
              <w:rPr>
                <w:rFonts w:ascii="Arial" w:cs="Arial" w:eastAsia="Arial" w:hAnsi="Arial"/>
                <w:sz w:val="18"/>
                <w:szCs w:val="18"/>
                <w:color w:val="auto"/>
              </w:rPr>
              <w:t>PERCENT OF CLASS REPRESENTED BY AMOUNT IN ROW (11)</w:t>
            </w:r>
          </w:p>
        </w:tc>
        <w:tc>
          <w:tcPr>
            <w:tcW w:w="1600" w:type="dxa"/>
            <w:vAlign w:val="bottom"/>
          </w:tcPr>
          <w:p>
            <w:pPr>
              <w:spacing w:after="0"/>
              <w:rPr>
                <w:sz w:val="19"/>
                <w:szCs w:val="19"/>
                <w:color w:val="auto"/>
              </w:rPr>
            </w:pPr>
          </w:p>
        </w:tc>
      </w:tr>
    </w:tbl>
    <w:p>
      <w:pPr>
        <w:spacing w:after="0" w:line="187"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14605</wp:posOffset>
            </wp:positionV>
            <wp:extent cx="3511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3" w:lineRule="exact"/>
        <w:rPr>
          <w:sz w:val="20"/>
          <w:szCs w:val="20"/>
          <w:color w:val="auto"/>
        </w:rPr>
      </w:pPr>
    </w:p>
    <w:p>
      <w:pPr>
        <w:ind w:left="2280" w:right="6900" w:hanging="1512"/>
        <w:spacing w:after="0" w:line="527" w:lineRule="auto"/>
        <w:tabs>
          <w:tab w:leader="none" w:pos="1839"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CUSIP No. 961765104</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56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w w:val="84"/>
              </w:rPr>
              <w:t>James C. Pappas</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63"/>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color w:val="auto"/>
                <w:w w:val="79"/>
              </w:rPr>
              <w:t>2</w:t>
            </w:r>
          </w:p>
        </w:tc>
        <w:tc>
          <w:tcPr>
            <w:tcW w:w="8340" w:type="dxa"/>
            <w:vAlign w:val="bottom"/>
            <w:gridSpan w:val="3"/>
          </w:tcPr>
          <w:p>
            <w:pPr>
              <w:ind w:left="12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180" w:type="dxa"/>
            <w:vAlign w:val="bottom"/>
            <w:tcBorders>
              <w:right w:val="single" w:sz="8" w:color="auto"/>
            </w:tcBorders>
          </w:tcPr>
          <w:p>
            <w:pPr>
              <w:ind w:left="80"/>
              <w:spacing w:after="0" w:line="163"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196"/>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68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560" w:type="dxa"/>
            <w:vAlign w:val="bottom"/>
            <w:tcBorders>
              <w:bottom w:val="single" w:sz="8" w:color="auto"/>
            </w:tcBorders>
          </w:tcPr>
          <w:p>
            <w:pPr>
              <w:spacing w:after="0"/>
              <w:rPr>
                <w:sz w:val="17"/>
                <w:szCs w:val="17"/>
                <w:color w:val="auto"/>
              </w:rPr>
            </w:pPr>
          </w:p>
        </w:tc>
        <w:tc>
          <w:tcPr>
            <w:tcW w:w="11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SEC USE ONLY</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w w:val="94"/>
              </w:rPr>
              <w:t>SOURCE OF FUNDS</w:t>
            </w:r>
          </w:p>
        </w:tc>
        <w:tc>
          <w:tcPr>
            <w:tcW w:w="656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AF</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5</w:t>
            </w:r>
          </w:p>
        </w:tc>
        <w:tc>
          <w:tcPr>
            <w:tcW w:w="8340" w:type="dxa"/>
            <w:vAlign w:val="bottom"/>
            <w:gridSpan w:val="3"/>
          </w:tcPr>
          <w:p>
            <w:pPr>
              <w:ind w:left="120"/>
              <w:spacing w:after="0" w:line="195" w:lineRule="exact"/>
              <w:rPr>
                <w:sz w:val="20"/>
                <w:szCs w:val="20"/>
                <w:color w:val="auto"/>
              </w:rPr>
            </w:pPr>
            <w:r>
              <w:rPr>
                <w:rFonts w:ascii="Arial" w:cs="Arial" w:eastAsia="Arial" w:hAnsi="Arial"/>
                <w:sz w:val="18"/>
                <w:szCs w:val="18"/>
                <w:color w:val="auto"/>
                <w:w w:val="96"/>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2(e)</w:t>
            </w:r>
          </w:p>
        </w:tc>
        <w:tc>
          <w:tcPr>
            <w:tcW w:w="656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USA</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6"/>
                <w:szCs w:val="16"/>
                <w:color w:val="auto"/>
              </w:rPr>
            </w:pPr>
          </w:p>
        </w:tc>
        <w:tc>
          <w:tcPr>
            <w:tcW w:w="6560" w:type="dxa"/>
            <w:vAlign w:val="bottom"/>
          </w:tcPr>
          <w:p>
            <w:pPr>
              <w:ind w:left="20"/>
              <w:spacing w:after="0" w:line="195" w:lineRule="exact"/>
              <w:rPr>
                <w:sz w:val="20"/>
                <w:szCs w:val="20"/>
                <w:color w:val="auto"/>
              </w:rPr>
            </w:pPr>
            <w:r>
              <w:rPr>
                <w:rFonts w:ascii="Arial" w:cs="Arial" w:eastAsia="Arial" w:hAnsi="Arial"/>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860,416</w:t>
            </w:r>
          </w:p>
        </w:tc>
        <w:tc>
          <w:tcPr>
            <w:tcW w:w="1180" w:type="dxa"/>
            <w:vAlign w:val="bottom"/>
            <w:tcBorders>
              <w:bottom w:val="single" w:sz="8" w:color="auto"/>
              <w:right w:val="single" w:sz="8" w:color="auto"/>
            </w:tcBorders>
          </w:tcPr>
          <w:p>
            <w:pPr>
              <w:spacing w:after="0"/>
              <w:rPr>
                <w:sz w:val="20"/>
                <w:szCs w:val="20"/>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OWNED BY</w:t>
            </w: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6"/>
                <w:szCs w:val="16"/>
                <w:color w:val="auto"/>
              </w:rPr>
            </w:pPr>
          </w:p>
        </w:tc>
        <w:tc>
          <w:tcPr>
            <w:tcW w:w="6560" w:type="dxa"/>
            <w:vAlign w:val="bottom"/>
          </w:tcPr>
          <w:p>
            <w:pPr>
              <w:ind w:left="20"/>
              <w:spacing w:after="0" w:line="195" w:lineRule="exact"/>
              <w:rPr>
                <w:sz w:val="20"/>
                <w:szCs w:val="20"/>
                <w:color w:val="auto"/>
              </w:rPr>
            </w:pPr>
            <w:r>
              <w:rPr>
                <w:rFonts w:ascii="Arial" w:cs="Arial" w:eastAsia="Arial" w:hAnsi="Arial"/>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17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9</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860,416</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80" w:type="dxa"/>
            <w:vAlign w:val="bottom"/>
          </w:tcPr>
          <w:p>
            <w:pPr>
              <w:spacing w:after="0"/>
              <w:rPr>
                <w:sz w:val="19"/>
                <w:szCs w:val="19"/>
                <w:color w:val="auto"/>
              </w:rPr>
            </w:pPr>
          </w:p>
        </w:tc>
        <w:tc>
          <w:tcPr>
            <w:tcW w:w="656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860,416</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7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10.4%</w:t>
            </w: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40" w:type="dxa"/>
            <w:vAlign w:val="bottom"/>
            <w:gridSpan w:val="3"/>
          </w:tcPr>
          <w:p>
            <w:pPr>
              <w:ind w:left="120"/>
              <w:spacing w:after="0"/>
              <w:rPr>
                <w:sz w:val="20"/>
                <w:szCs w:val="20"/>
                <w:color w:val="auto"/>
              </w:rPr>
            </w:pPr>
            <w:r>
              <w:rPr>
                <w:rFonts w:ascii="Arial" w:cs="Arial" w:eastAsia="Arial" w:hAnsi="Arial"/>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color w:val="auto"/>
              </w:rPr>
              <w:t>IN</w:t>
            </w:r>
          </w:p>
        </w:tc>
        <w:tc>
          <w:tcPr>
            <w:tcW w:w="656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ind w:left="2080"/>
              <w:spacing w:after="0"/>
              <w:rPr>
                <w:sz w:val="20"/>
                <w:szCs w:val="20"/>
                <w:color w:val="auto"/>
              </w:rPr>
            </w:pPr>
            <w:r>
              <w:rPr>
                <w:rFonts w:ascii="Arial" w:cs="Arial" w:eastAsia="Arial" w:hAnsi="Arial"/>
                <w:sz w:val="18"/>
                <w:szCs w:val="18"/>
                <w:color w:val="auto"/>
              </w:rPr>
              <w:t>7</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constitutes Amendment No. 1 to the Schedule 13D filed by the undersigned (“Amendment No. 1”). This Amendment No.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 amends the Schedule 13D as specifically set forth herein.</w:t>
      </w:r>
    </w:p>
    <w:p>
      <w:pPr>
        <w:spacing w:after="0" w:line="21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3 is hereby amended and restated to read as follows:</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Shares purchased by JCP Partnership and JCP Asset VI and held in the JCP Account were purchased with working capital (which may, at any given time, include margin loans made by brokerage firms in the ordinary course of business). The aggregate purchase price of the 412,925 Shares owned directly by JCP Partnership is approximately $6,847,361, including brokerage commissions. The aggregate purchase price of the 430,214 Shares owned directly by JCP Asset VI is approximately $7,134,064, including brokerage commissions. The aggregate purchase price of the 17,277 Shares held in the JCP Account is approximately $286,506, including brokerage commissions.</w:t>
      </w:r>
    </w:p>
    <w:p>
      <w:pPr>
        <w:spacing w:after="0" w:line="17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 4 is hereby amended and restated to read as follows:</w:t>
      </w:r>
    </w:p>
    <w:p>
      <w:pPr>
        <w:spacing w:after="0" w:line="225"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 The Reporting Persons intend to engage in communications with the Issuer’s Board of Directors (the “Board”) and management team regarding opportunities to enhance stockholder value.</w:t>
      </w:r>
    </w:p>
    <w:p>
      <w:pPr>
        <w:spacing w:after="0" w:line="164"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Reporting Persons intend to communicate with the Issuer’s management, Board and other interested parties, including potential acquirers, service providers and financing sources, about a broad range of operational and strategic matters, and discuss with such persons a potential sale of the Issuer or certain of its businesses or assets, in which the Reporting Persons may participate, as a means of enhancing stockholder value. The Reporting Persons intend to consider, explore and/or develop plans and/or make proposals (whether preliminary or final) with respect to, among other things, the Issuer's operations, management, Board structure (including Board composition), capital or corporate structure, capital allocation policies, strategy and plans, and a potential strategic review or sale process involving the Issuer or certain of the Issuer's businesses or assets, including transactions in which the Reporting Persons may seek to participate and potentially engage in, whether independently or together with third parties.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No Reporting Person has any present plan or proposal which would relate to or result in any of the matters set forth in subparagraphs (a) -</w:t>
      </w:r>
    </w:p>
    <w:p>
      <w:pPr>
        <w:spacing w:after="0" w:line="46" w:lineRule="exact"/>
        <w:rPr>
          <w:sz w:val="20"/>
          <w:szCs w:val="20"/>
          <w:color w:val="auto"/>
        </w:rPr>
      </w:pPr>
    </w:p>
    <w:p>
      <w:pPr>
        <w:jc w:val="both"/>
        <w:ind w:firstLine="8"/>
        <w:spacing w:after="0" w:line="268" w:lineRule="auto"/>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of Item 4 of Schedule 13D except as set forth herein or such as would occur upon or in connection with completion of, or following, any of the actions discussed herein. The Reporting Persons intend to review their investment in the Issuer on a continuing basis and depending upon various factors, including, without limitation, the Issuer’s financial position and strategic direction, overall market conditions, the outcome of any discussions referenced above, other investment opportunities available to the Reporting Persons, and the availability of securities of the Issuer at prices that would make the purchase or sale of such securities desirable, the Reporting Persons may endeavor to purchase additional Shares, sell some or all of their Shares, or engage in short selling of or any hedging or similar transaction with respect to the Shares. In addition, the Reporting Persons may, at any time and from time to time, (i) review or reconsider their position and/or change their purpose and/or formulate plans or proposals with respect thereto and (ii) propose or consider one or more of the actions described in subparagraphs (a) - (j) of Item 4 of Schedule 13D.</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Items 5(a) – (c) are hereby amended and restated to read as follows:</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aggregate percentage of Shares reported owned by each person named herein is based upon 8,296,956 Shares outstanding as of April 23, 2021, which is the total number of Shares outstanding as reported in the Issuer’s quarterly report on Form 10-Q filed with the Securities and Exchange Commission on April 28, 2021.</w:t>
      </w:r>
    </w:p>
    <w:p>
      <w:pPr>
        <w:spacing w:after="0" w:line="184"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JCP Partnership</w:t>
      </w:r>
    </w:p>
    <w:p>
      <w:pPr>
        <w:spacing w:after="0" w:line="225" w:lineRule="exact"/>
        <w:rPr>
          <w:rFonts w:ascii="Arial" w:cs="Arial" w:eastAsia="Arial" w:hAnsi="Arial"/>
          <w:sz w:val="18"/>
          <w:szCs w:val="18"/>
          <w:color w:val="auto"/>
        </w:rPr>
      </w:pPr>
    </w:p>
    <w:p>
      <w:pPr>
        <w:ind w:left="1300" w:right="4560" w:hanging="644"/>
        <w:spacing w:after="0" w:line="50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of the date hereof, JCP Partnership beneficially owned 412,925 Shares. Percentage: Approximately 5.0%</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412,925</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412,925</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JCP Asset VI</w:t>
      </w:r>
    </w:p>
    <w:p>
      <w:pPr>
        <w:spacing w:after="0" w:line="225" w:lineRule="exact"/>
        <w:rPr>
          <w:rFonts w:ascii="Arial" w:cs="Arial" w:eastAsia="Arial" w:hAnsi="Arial"/>
          <w:sz w:val="18"/>
          <w:szCs w:val="18"/>
          <w:color w:val="auto"/>
        </w:rPr>
      </w:pPr>
    </w:p>
    <w:p>
      <w:pPr>
        <w:ind w:left="1300" w:right="4740" w:hanging="644"/>
        <w:spacing w:after="0" w:line="500"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of the date hereof, JCP Asset VI beneficially owned 430,214 Shares. Percentage: Approximately 5.2%</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430,214</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430,214</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JCP Partners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JCP Partners, as the general partner of JCP Partnership and JCP Asset VI, may be deemed the beneficial owner of the (i) 412,925 Shares owned by JCP Partnership and (ii) 430,214 Shares owned by JCP Asset VI.</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10.2%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1. Sole power to vote or direct vote: 843,139</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Sole power to dispose or direct the disposition: 843,139</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7"/>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JCP Holdings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JCP Holdings, as the general partner of JCP Partners, may be deemed the beneficial owner of the (i) 412,925 Shares owned by JCP Partnership and (ii) 430,214 Shares owned by JCP Asset VI.</w:t>
      </w:r>
    </w:p>
    <w:p>
      <w:pPr>
        <w:spacing w:after="0" w:line="170"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10.2%</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1. Sole power to vote or direct vote: 843,139</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2. Shared power to vote or direct vote: 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s3. Sole power to dispose or direct the disposition: 843,139</w:t>
      </w:r>
    </w:p>
    <w:p>
      <w:pPr>
        <w:spacing w:after="0" w:line="9" w:lineRule="exact"/>
        <w:rPr>
          <w:sz w:val="20"/>
          <w:szCs w:val="20"/>
          <w:color w:val="auto"/>
        </w:rPr>
      </w:pPr>
    </w:p>
    <w:p>
      <w:pPr>
        <w:ind w:left="1480" w:hanging="176"/>
        <w:spacing w:after="0"/>
        <w:tabs>
          <w:tab w:leader="none" w:pos="1480"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JCP Management</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As of the date hereof, 17,277 Shares were held in the JCP Account. JCP Management, as the investment manager of JCP Partnership, JCP Asset VI and the JCP Account, may be deemed the beneficial owner of the (i) 412,925 Shares owned by JCP Partnership, (ii) 430,214 Shares owned by JCP Asset VI and (iii) 17,277 Shares held in the JCP Account.</w:t>
      </w:r>
    </w:p>
    <w:p>
      <w:pPr>
        <w:spacing w:after="0" w:line="18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Percentage: Approximately 10.4%</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860,416</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860,416</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0" w:lineRule="exact"/>
        <w:rPr>
          <w:rFonts w:ascii="Arial" w:cs="Arial" w:eastAsia="Arial" w:hAnsi="Arial"/>
          <w:sz w:val="18"/>
          <w:szCs w:val="18"/>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Pappas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Mr. Pappas, as the managing member of JCP Management and sole member of JCP Holdings, may be deemed the beneficial owner of the</w:t>
      </w:r>
    </w:p>
    <w:p>
      <w:pPr>
        <w:spacing w:after="0" w:line="46" w:lineRule="exact"/>
        <w:rPr>
          <w:rFonts w:ascii="Arial" w:cs="Arial" w:eastAsia="Arial" w:hAnsi="Arial"/>
          <w:sz w:val="16"/>
          <w:szCs w:val="16"/>
          <w:color w:val="auto"/>
        </w:rPr>
      </w:pPr>
    </w:p>
    <w:p>
      <w:pPr>
        <w:ind w:left="1300"/>
        <w:spacing w:after="0" w:line="260" w:lineRule="auto"/>
        <w:rPr>
          <w:rFonts w:ascii="Arial" w:cs="Arial" w:eastAsia="Arial" w:hAnsi="Arial"/>
          <w:sz w:val="16"/>
          <w:szCs w:val="16"/>
          <w:color w:val="auto"/>
        </w:rPr>
      </w:pPr>
      <w:r>
        <w:rPr>
          <w:rFonts w:ascii="Arial" w:cs="Arial" w:eastAsia="Arial" w:hAnsi="Arial"/>
          <w:sz w:val="18"/>
          <w:szCs w:val="18"/>
          <w:color w:val="auto"/>
        </w:rPr>
        <w:t>(i) 412,925 Shares owned by JCP Partnership, (ii) 430,214 Shares owned by JCP Asset VI and (iii) 17,277 Shares held in the JCP Account.</w:t>
      </w:r>
    </w:p>
    <w:p>
      <w:pPr>
        <w:spacing w:after="0" w:line="185"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Percentage: Approximately 10.4%</w:t>
      </w:r>
    </w:p>
    <w:p>
      <w:pPr>
        <w:spacing w:after="0" w:line="225" w:lineRule="exact"/>
        <w:rPr>
          <w:rFonts w:ascii="Arial" w:cs="Arial" w:eastAsia="Arial" w:hAnsi="Arial"/>
          <w:sz w:val="16"/>
          <w:szCs w:val="16"/>
          <w:color w:val="auto"/>
        </w:rPr>
      </w:pPr>
    </w:p>
    <w:p>
      <w:pPr>
        <w:ind w:left="1300" w:hanging="644"/>
        <w:spacing w:after="0"/>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 Sole power to vote or direct vote: 860,416</w:t>
      </w:r>
    </w:p>
    <w:p>
      <w:pPr>
        <w:spacing w:after="0" w:line="23"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vote or direct vote: 0</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Sole power to dispose or direct the disposition: 860,416</w:t>
      </w:r>
    </w:p>
    <w:p>
      <w:pPr>
        <w:spacing w:after="0" w:line="9" w:lineRule="exact"/>
        <w:rPr>
          <w:rFonts w:ascii="Arial" w:cs="Arial" w:eastAsia="Arial" w:hAnsi="Arial"/>
          <w:sz w:val="18"/>
          <w:szCs w:val="18"/>
          <w:color w:val="auto"/>
        </w:rPr>
      </w:pPr>
    </w:p>
    <w:p>
      <w:pPr>
        <w:ind w:left="1480" w:hanging="176"/>
        <w:spacing w:after="0"/>
        <w:tabs>
          <w:tab w:leader="none" w:pos="14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0</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pacing w:after="0" w:line="184" w:lineRule="exact"/>
        <w:rPr>
          <w:sz w:val="20"/>
          <w:szCs w:val="20"/>
          <w:color w:val="auto"/>
        </w:rPr>
      </w:pPr>
    </w:p>
    <w:p>
      <w:pPr>
        <w:ind w:left="1300" w:hanging="644"/>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transactions in the Shares by the Reporting Persons since the filing of the Schedule 13D are set forth in Schedule A and are incorporated herein by reference. All of such transactions were effected in the open market unless otherwise noted therein.</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29, 2021</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JCP Investment Partnership, LP</w:t>
      </w:r>
    </w:p>
    <w:p>
      <w:pPr>
        <w:spacing w:after="0" w:line="225" w:lineRule="exact"/>
        <w:rPr>
          <w:sz w:val="20"/>
          <w:szCs w:val="20"/>
          <w:color w:val="auto"/>
        </w:rPr>
      </w:pPr>
    </w:p>
    <w:tbl>
      <w:tblPr>
        <w:tblLayout w:type="fixed"/>
        <w:tblInd w:w="584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48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Investment Manager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JCP Asset Partnership VI, 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JCP Investment Management, LLC</w:t>
            </w:r>
          </w:p>
        </w:tc>
      </w:tr>
      <w:tr>
        <w:trPr>
          <w:trHeight w:val="230"/>
        </w:trPr>
        <w:tc>
          <w:tcPr>
            <w:tcW w:w="48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Investment Manager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Managing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JCP Investment Partners, LP</w:t>
            </w:r>
          </w:p>
        </w:tc>
      </w:tr>
      <w:tr>
        <w:trPr>
          <w:trHeight w:val="418"/>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JCP Investment Holdings, LLC</w:t>
            </w:r>
          </w:p>
        </w:tc>
      </w:tr>
      <w:tr>
        <w:trPr>
          <w:trHeight w:val="230"/>
        </w:trPr>
        <w:tc>
          <w:tcPr>
            <w:tcW w:w="480" w:type="dxa"/>
            <w:vAlign w:val="bottom"/>
          </w:tcPr>
          <w:p>
            <w:pPr>
              <w:spacing w:after="0"/>
              <w:rPr>
                <w:sz w:val="20"/>
                <w:szCs w:val="20"/>
                <w:color w:val="auto"/>
              </w:rPr>
            </w:pPr>
          </w:p>
        </w:tc>
        <w:tc>
          <w:tcPr>
            <w:tcW w:w="4920" w:type="dxa"/>
            <w:vAlign w:val="bottom"/>
            <w:gridSpan w:val="2"/>
          </w:tcPr>
          <w:p>
            <w:pPr>
              <w:ind w:left="100"/>
              <w:spacing w:after="0"/>
              <w:rPr>
                <w:sz w:val="20"/>
                <w:szCs w:val="20"/>
                <w:color w:val="auto"/>
              </w:rPr>
            </w:pPr>
            <w:r>
              <w:rPr>
                <w:rFonts w:ascii="Arial" w:cs="Arial" w:eastAsia="Arial" w:hAnsi="Arial"/>
                <w:sz w:val="18"/>
                <w:szCs w:val="18"/>
                <w:color w:val="auto"/>
              </w:rPr>
              <w:t>General Partner</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Sole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JCP Investment Holdings, LLC</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Sole Member</w:t>
            </w:r>
          </w:p>
        </w:tc>
      </w:tr>
      <w:tr>
        <w:trPr>
          <w:trHeight w:val="648"/>
        </w:trPr>
        <w:tc>
          <w:tcPr>
            <w:tcW w:w="5400" w:type="dxa"/>
            <w:vAlign w:val="bottom"/>
            <w:gridSpan w:val="3"/>
          </w:tcPr>
          <w:p>
            <w:pPr>
              <w:spacing w:after="0"/>
              <w:rPr>
                <w:sz w:val="20"/>
                <w:szCs w:val="20"/>
                <w:color w:val="auto"/>
              </w:rPr>
            </w:pPr>
            <w:r>
              <w:rPr>
                <w:rFonts w:ascii="Arial" w:cs="Arial" w:eastAsia="Arial" w:hAnsi="Arial"/>
                <w:sz w:val="18"/>
                <w:szCs w:val="18"/>
                <w:color w:val="auto"/>
              </w:rPr>
              <w:t>JCP Investment Management, LLC</w:t>
            </w:r>
          </w:p>
        </w:tc>
      </w:tr>
      <w:tr>
        <w:trPr>
          <w:trHeight w:val="432"/>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James C. Pappas</w:t>
            </w:r>
          </w:p>
        </w:tc>
      </w:tr>
      <w:tr>
        <w:trPr>
          <w:trHeight w:val="195"/>
        </w:trPr>
        <w:tc>
          <w:tcPr>
            <w:tcW w:w="480" w:type="dxa"/>
            <w:vAlign w:val="bottom"/>
          </w:tcPr>
          <w:p>
            <w:pPr>
              <w:spacing w:after="0"/>
              <w:rPr>
                <w:sz w:val="16"/>
                <w:szCs w:val="16"/>
                <w:color w:val="auto"/>
              </w:rPr>
            </w:pPr>
          </w:p>
        </w:tc>
        <w:tc>
          <w:tcPr>
            <w:tcW w:w="840" w:type="dxa"/>
            <w:vAlign w:val="bottom"/>
          </w:tcPr>
          <w:p>
            <w:pPr>
              <w:ind w:left="100"/>
              <w:spacing w:after="0" w:line="195" w:lineRule="exact"/>
              <w:rPr>
                <w:sz w:val="20"/>
                <w:szCs w:val="20"/>
                <w:color w:val="auto"/>
              </w:rPr>
            </w:pPr>
            <w:r>
              <w:rPr>
                <w:rFonts w:ascii="Arial" w:cs="Arial" w:eastAsia="Arial" w:hAnsi="Arial"/>
                <w:sz w:val="18"/>
                <w:szCs w:val="18"/>
                <w:color w:val="auto"/>
              </w:rPr>
              <w:t>Name:</w:t>
            </w:r>
          </w:p>
        </w:tc>
        <w:tc>
          <w:tcPr>
            <w:tcW w:w="4080" w:type="dxa"/>
            <w:vAlign w:val="bottom"/>
          </w:tcPr>
          <w:p>
            <w:pPr>
              <w:ind w:left="260"/>
              <w:spacing w:after="0" w:line="195" w:lineRule="exact"/>
              <w:rPr>
                <w:sz w:val="20"/>
                <w:szCs w:val="20"/>
                <w:color w:val="auto"/>
              </w:rPr>
            </w:pPr>
            <w:r>
              <w:rPr>
                <w:rFonts w:ascii="Arial" w:cs="Arial" w:eastAsia="Arial" w:hAnsi="Arial"/>
                <w:sz w:val="18"/>
                <w:szCs w:val="18"/>
                <w:color w:val="auto"/>
              </w:rPr>
              <w:t>James C. Pappas</w:t>
            </w:r>
          </w:p>
        </w:tc>
      </w:tr>
      <w:tr>
        <w:trPr>
          <w:trHeight w:val="230"/>
        </w:trPr>
        <w:tc>
          <w:tcPr>
            <w:tcW w:w="480" w:type="dxa"/>
            <w:vAlign w:val="bottom"/>
          </w:tcPr>
          <w:p>
            <w:pPr>
              <w:spacing w:after="0"/>
              <w:rPr>
                <w:sz w:val="20"/>
                <w:szCs w:val="20"/>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Title:</w:t>
            </w:r>
          </w:p>
        </w:tc>
        <w:tc>
          <w:tcPr>
            <w:tcW w:w="4080" w:type="dxa"/>
            <w:vAlign w:val="bottom"/>
          </w:tcPr>
          <w:p>
            <w:pPr>
              <w:ind w:left="2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CUSIP No. 961765104</w:t>
      </w:r>
    </w:p>
    <w:p>
      <w:pPr>
        <w:spacing w:after="0" w:line="105" w:lineRule="exact"/>
        <w:rPr>
          <w:sz w:val="20"/>
          <w:szCs w:val="20"/>
          <w:color w:val="auto"/>
        </w:rPr>
      </w:pPr>
    </w:p>
    <w:p>
      <w:pPr>
        <w:ind w:left="5840"/>
        <w:spacing w:after="0"/>
        <w:rPr>
          <w:sz w:val="20"/>
          <w:szCs w:val="20"/>
          <w:color w:val="auto"/>
        </w:rPr>
      </w:pPr>
      <w:r>
        <w:rPr>
          <w:rFonts w:ascii="Arial" w:cs="Arial" w:eastAsia="Arial" w:hAnsi="Arial"/>
          <w:sz w:val="15"/>
          <w:szCs w:val="15"/>
          <w:color w:val="auto"/>
        </w:rPr>
        <w:t>/s/ James C. Pappas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36830</wp:posOffset>
            </wp:positionV>
            <wp:extent cx="34886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8" w:lineRule="exact"/>
        <w:rPr>
          <w:sz w:val="20"/>
          <w:szCs w:val="20"/>
          <w:color w:val="auto"/>
        </w:rPr>
      </w:pPr>
    </w:p>
    <w:p>
      <w:pPr>
        <w:ind w:left="5840"/>
        <w:spacing w:after="0"/>
        <w:rPr>
          <w:sz w:val="20"/>
          <w:szCs w:val="20"/>
          <w:color w:val="auto"/>
        </w:rPr>
      </w:pPr>
      <w:r>
        <w:rPr>
          <w:rFonts w:ascii="Arial" w:cs="Arial" w:eastAsia="Arial" w:hAnsi="Arial"/>
          <w:sz w:val="17"/>
          <w:szCs w:val="17"/>
          <w:color w:val="auto"/>
        </w:rPr>
        <w:t>James C. Pappas</w:t>
      </w:r>
    </w:p>
    <w:p>
      <w:pPr>
        <w:spacing w:after="0" w:line="3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6" w:right="1440"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CUSIP No. 961765104</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780" w:type="dxa"/>
            <w:vAlign w:val="bottom"/>
            <w:gridSpan w:val="9"/>
          </w:tcPr>
          <w:p>
            <w:pPr>
              <w:jc w:val="center"/>
              <w:ind w:right="2620"/>
              <w:spacing w:after="0"/>
              <w:rPr>
                <w:sz w:val="20"/>
                <w:szCs w:val="20"/>
                <w:color w:val="auto"/>
              </w:rPr>
            </w:pPr>
            <w:r>
              <w:rPr>
                <w:rFonts w:ascii="Arial" w:cs="Arial" w:eastAsia="Arial" w:hAnsi="Arial"/>
                <w:sz w:val="18"/>
                <w:szCs w:val="18"/>
                <w:b w:val="1"/>
                <w:bCs w:val="1"/>
                <w:color w:val="auto"/>
                <w:w w:val="99"/>
              </w:rPr>
              <w:t>SCHEDULE A</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80" w:type="dxa"/>
            <w:vAlign w:val="bottom"/>
            <w:gridSpan w:val="14"/>
          </w:tcPr>
          <w:p>
            <w:pPr>
              <w:jc w:val="center"/>
              <w:ind w:right="120"/>
              <w:spacing w:after="0"/>
              <w:rPr>
                <w:sz w:val="20"/>
                <w:szCs w:val="20"/>
                <w:color w:val="auto"/>
              </w:rPr>
            </w:pPr>
            <w:r>
              <w:rPr>
                <w:rFonts w:ascii="Arial" w:cs="Arial" w:eastAsia="Arial" w:hAnsi="Arial"/>
                <w:sz w:val="18"/>
                <w:szCs w:val="18"/>
                <w:color w:val="auto"/>
                <w:w w:val="90"/>
              </w:rPr>
              <w:t>Transactions in the Shares Since the Filing of Amendment No. 1 to the Schedule 13D</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52"/>
        </w:trPr>
        <w:tc>
          <w:tcPr>
            <w:tcW w:w="3900" w:type="dxa"/>
            <w:vAlign w:val="bottom"/>
            <w:gridSpan w:val="4"/>
          </w:tcPr>
          <w:p>
            <w:pPr>
              <w:jc w:val="center"/>
              <w:ind w:right="90"/>
              <w:spacing w:after="0"/>
              <w:rPr>
                <w:sz w:val="20"/>
                <w:szCs w:val="20"/>
                <w:color w:val="auto"/>
              </w:rPr>
            </w:pPr>
            <w:r>
              <w:rPr>
                <w:rFonts w:ascii="Arial" w:cs="Arial" w:eastAsia="Arial" w:hAnsi="Arial"/>
                <w:sz w:val="18"/>
                <w:szCs w:val="18"/>
                <w:color w:val="auto"/>
                <w:w w:val="90"/>
              </w:rPr>
              <w:t>Shares of Common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780" w:type="dxa"/>
            <w:vAlign w:val="bottom"/>
            <w:gridSpan w:val="9"/>
          </w:tcPr>
          <w:p>
            <w:pPr>
              <w:jc w:val="center"/>
              <w:ind w:right="2620"/>
              <w:spacing w:after="0"/>
              <w:rPr>
                <w:sz w:val="20"/>
                <w:szCs w:val="20"/>
                <w:color w:val="auto"/>
              </w:rPr>
            </w:pPr>
            <w:r>
              <w:rPr>
                <w:rFonts w:ascii="Arial" w:cs="Arial" w:eastAsia="Arial" w:hAnsi="Arial"/>
                <w:sz w:val="18"/>
                <w:szCs w:val="18"/>
                <w:color w:val="auto"/>
                <w:w w:val="86"/>
              </w:rPr>
              <w:t>Price Per</w:t>
            </w:r>
          </w:p>
        </w:tc>
        <w:tc>
          <w:tcPr>
            <w:tcW w:w="220" w:type="dxa"/>
            <w:vAlign w:val="bottom"/>
          </w:tcPr>
          <w:p>
            <w:pPr>
              <w:spacing w:after="0"/>
              <w:rPr>
                <w:sz w:val="24"/>
                <w:szCs w:val="24"/>
                <w:color w:val="auto"/>
              </w:rPr>
            </w:pPr>
          </w:p>
        </w:tc>
        <w:tc>
          <w:tcPr>
            <w:tcW w:w="2200" w:type="dxa"/>
            <w:vAlign w:val="bottom"/>
            <w:gridSpan w:val="2"/>
          </w:tcPr>
          <w:p>
            <w:pPr>
              <w:jc w:val="center"/>
              <w:ind w:right="1540"/>
              <w:spacing w:after="0"/>
              <w:rPr>
                <w:sz w:val="20"/>
                <w:szCs w:val="20"/>
                <w:color w:val="auto"/>
              </w:rPr>
            </w:pPr>
            <w:r>
              <w:rPr>
                <w:rFonts w:ascii="Arial" w:cs="Arial" w:eastAsia="Arial" w:hAnsi="Arial"/>
                <w:sz w:val="18"/>
                <w:szCs w:val="18"/>
                <w:color w:val="auto"/>
                <w:w w:val="92"/>
              </w:rPr>
              <w:t>Date of</w:t>
            </w:r>
          </w:p>
        </w:tc>
      </w:tr>
      <w:tr>
        <w:trPr>
          <w:trHeight w:val="190"/>
        </w:trPr>
        <w:tc>
          <w:tcPr>
            <w:tcW w:w="1280" w:type="dxa"/>
            <w:vAlign w:val="bottom"/>
          </w:tcPr>
          <w:p>
            <w:pPr>
              <w:spacing w:after="0"/>
              <w:rPr>
                <w:sz w:val="16"/>
                <w:szCs w:val="16"/>
                <w:color w:val="auto"/>
              </w:rPr>
            </w:pPr>
          </w:p>
        </w:tc>
        <w:tc>
          <w:tcPr>
            <w:tcW w:w="1200" w:type="dxa"/>
            <w:vAlign w:val="bottom"/>
          </w:tcPr>
          <w:p>
            <w:pPr>
              <w:jc w:val="center"/>
              <w:spacing w:after="0" w:line="190" w:lineRule="exact"/>
              <w:rPr>
                <w:sz w:val="20"/>
                <w:szCs w:val="20"/>
                <w:color w:val="auto"/>
              </w:rPr>
            </w:pPr>
            <w:r>
              <w:rPr>
                <w:rFonts w:ascii="Arial" w:cs="Arial" w:eastAsia="Arial" w:hAnsi="Arial"/>
                <w:sz w:val="18"/>
                <w:szCs w:val="18"/>
                <w:color w:val="auto"/>
                <w:w w:val="88"/>
              </w:rPr>
              <w:t>Stock Purchased</w:t>
            </w:r>
          </w:p>
        </w:tc>
        <w:tc>
          <w:tcPr>
            <w:tcW w:w="14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8"/>
          </w:tcPr>
          <w:p>
            <w:pPr>
              <w:jc w:val="center"/>
              <w:ind w:right="2900"/>
              <w:spacing w:after="0" w:line="190" w:lineRule="exact"/>
              <w:rPr>
                <w:sz w:val="20"/>
                <w:szCs w:val="20"/>
                <w:color w:val="auto"/>
              </w:rPr>
            </w:pPr>
            <w:r>
              <w:rPr>
                <w:rFonts w:ascii="Arial" w:cs="Arial" w:eastAsia="Arial" w:hAnsi="Arial"/>
                <w:sz w:val="18"/>
                <w:szCs w:val="18"/>
                <w:u w:val="single" w:color="auto"/>
                <w:color w:val="auto"/>
                <w:w w:val="88"/>
              </w:rPr>
              <w:t>Share($</w:t>
            </w:r>
            <w:r>
              <w:rPr>
                <w:rFonts w:ascii="Arial" w:cs="Arial" w:eastAsia="Arial" w:hAnsi="Arial"/>
                <w:sz w:val="18"/>
                <w:szCs w:val="18"/>
                <w:color w:val="auto"/>
                <w:w w:val="88"/>
              </w:rPr>
              <w:t>)</w:t>
            </w:r>
          </w:p>
        </w:tc>
        <w:tc>
          <w:tcPr>
            <w:tcW w:w="2420" w:type="dxa"/>
            <w:vAlign w:val="bottom"/>
            <w:gridSpan w:val="3"/>
          </w:tcPr>
          <w:p>
            <w:pPr>
              <w:jc w:val="center"/>
              <w:ind w:right="1340"/>
              <w:spacing w:after="0" w:line="190" w:lineRule="exact"/>
              <w:rPr>
                <w:sz w:val="20"/>
                <w:szCs w:val="20"/>
                <w:color w:val="auto"/>
              </w:rPr>
            </w:pPr>
            <w:r>
              <w:rPr>
                <w:rFonts w:ascii="Arial" w:cs="Arial" w:eastAsia="Arial" w:hAnsi="Arial"/>
                <w:sz w:val="18"/>
                <w:szCs w:val="18"/>
                <w:color w:val="auto"/>
                <w:w w:val="84"/>
              </w:rPr>
              <w:t>Purchase</w:t>
            </w:r>
          </w:p>
        </w:tc>
      </w:tr>
      <w:tr>
        <w:trPr>
          <w:trHeight w:val="20"/>
        </w:trPr>
        <w:tc>
          <w:tcPr>
            <w:tcW w:w="12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12"/>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12"/>
          </w:tcPr>
          <w:p>
            <w:pPr>
              <w:jc w:val="center"/>
              <w:ind w:right="1600"/>
              <w:spacing w:after="0"/>
              <w:rPr>
                <w:sz w:val="20"/>
                <w:szCs w:val="20"/>
                <w:color w:val="auto"/>
              </w:rPr>
            </w:pPr>
            <w:r>
              <w:rPr>
                <w:rFonts w:ascii="Arial" w:cs="Arial" w:eastAsia="Arial" w:hAnsi="Arial"/>
                <w:sz w:val="18"/>
                <w:szCs w:val="18"/>
                <w:b w:val="1"/>
                <w:bCs w:val="1"/>
                <w:color w:val="auto"/>
                <w:w w:val="99"/>
              </w:rPr>
              <w:t>JCP INVESTMENT PARTNERSHIP, LP</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7,580</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16.5474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04/16/2021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1,130</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16.6666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04/19/2021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11,497</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16.4769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04/20/2021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3,005</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16.8790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04/21/2021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6,793</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16.4482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04/22/2021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4,125</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16.4423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04/23/2021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2,437</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16.6323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04/26/2021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7"/>
              </w:rPr>
              <w:t>10,144</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16.8268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04/27/2021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12,155</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16.9104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04/28/2021</w:t>
            </w:r>
          </w:p>
        </w:tc>
      </w:tr>
      <w:tr>
        <w:trPr>
          <w:trHeight w:val="230"/>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7"/>
              </w:rPr>
              <w:t>11,995</w:t>
            </w: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17.8927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04/29/2021</w:t>
            </w:r>
          </w:p>
        </w:tc>
      </w:tr>
      <w:tr>
        <w:trPr>
          <w:trHeight w:val="377"/>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gridSpan w:val="12"/>
          </w:tcPr>
          <w:p>
            <w:pPr>
              <w:jc w:val="center"/>
              <w:ind w:right="1600"/>
              <w:spacing w:after="0"/>
              <w:rPr>
                <w:sz w:val="20"/>
                <w:szCs w:val="20"/>
                <w:color w:val="auto"/>
              </w:rPr>
            </w:pPr>
            <w:r>
              <w:rPr>
                <w:rFonts w:ascii="Arial" w:cs="Arial" w:eastAsia="Arial" w:hAnsi="Arial"/>
                <w:sz w:val="18"/>
                <w:szCs w:val="18"/>
                <w:b w:val="1"/>
                <w:bCs w:val="1"/>
                <w:color w:val="auto"/>
                <w:w w:val="96"/>
              </w:rPr>
              <w:t>JCP ASSET PARTNERSHIP VI, LP</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6"/>
        </w:trPr>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7,900</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16.5474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04/16/2021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1,178</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16.6666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04/19/2021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11,983</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16.4769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04/20/2021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3,132</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16.8790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04/21/2021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7,081</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16.4482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04/22/2021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8"/>
              </w:rPr>
              <w:t>4,298</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16.4423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04/23/2021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8"/>
              </w:rPr>
              <w:t>2,541</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16.6323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04/26/2021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7"/>
              </w:rPr>
              <w:t>10,570</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16.8268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04/27/2021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87"/>
              </w:rPr>
              <w:t>12,667</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16.9104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04/28/2021</w:t>
            </w:r>
          </w:p>
        </w:tc>
      </w:tr>
      <w:tr>
        <w:trPr>
          <w:trHeight w:val="230"/>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87"/>
              </w:rPr>
              <w:t>12,500</w:t>
            </w: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17.8927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04/29/2021</w:t>
            </w:r>
          </w:p>
        </w:tc>
      </w:tr>
      <w:tr>
        <w:trPr>
          <w:trHeight w:val="377"/>
        </w:trPr>
        <w:tc>
          <w:tcPr>
            <w:tcW w:w="1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40" w:type="dxa"/>
            <w:vAlign w:val="bottom"/>
            <w:tcBorders>
              <w:bottom w:val="single" w:sz="8" w:color="auto"/>
            </w:tcBorders>
            <w:gridSpan w:val="11"/>
          </w:tcPr>
          <w:p>
            <w:pPr>
              <w:jc w:val="center"/>
              <w:spacing w:after="0"/>
              <w:rPr>
                <w:sz w:val="20"/>
                <w:szCs w:val="20"/>
                <w:color w:val="auto"/>
              </w:rPr>
            </w:pPr>
            <w:r>
              <w:rPr>
                <w:rFonts w:ascii="Arial" w:cs="Arial" w:eastAsia="Arial" w:hAnsi="Arial"/>
                <w:sz w:val="18"/>
                <w:szCs w:val="18"/>
                <w:b w:val="1"/>
                <w:bCs w:val="1"/>
                <w:color w:val="auto"/>
              </w:rPr>
              <w:t>JCP INVESTMENT MANAGEMENT, LLC</w:t>
            </w:r>
          </w:p>
        </w:tc>
        <w:tc>
          <w:tcPr>
            <w:tcW w:w="1480" w:type="dxa"/>
            <w:vAlign w:val="bottom"/>
            <w:gridSpan w:val="2"/>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0" w:type="dxa"/>
            <w:vAlign w:val="bottom"/>
            <w:gridSpan w:val="11"/>
          </w:tcPr>
          <w:p>
            <w:pPr>
              <w:jc w:val="center"/>
              <w:ind w:right="1780"/>
              <w:spacing w:after="0" w:line="196" w:lineRule="exact"/>
              <w:rPr>
                <w:sz w:val="20"/>
                <w:szCs w:val="20"/>
                <w:color w:val="auto"/>
              </w:rPr>
            </w:pPr>
            <w:r>
              <w:rPr>
                <w:rFonts w:ascii="Arial" w:cs="Arial" w:eastAsia="Arial" w:hAnsi="Arial"/>
                <w:sz w:val="18"/>
                <w:szCs w:val="18"/>
                <w:b w:val="1"/>
                <w:bCs w:val="1"/>
                <w:color w:val="auto"/>
                <w:w w:val="91"/>
              </w:rPr>
              <w:t>(Through the JCP Account)</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93"/>
              </w:rPr>
              <w:t>320</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16.5474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04/16/2021</w:t>
            </w:r>
          </w:p>
        </w:tc>
      </w:tr>
      <w:tr>
        <w:trPr>
          <w:trHeight w:val="216"/>
        </w:trPr>
        <w:tc>
          <w:tcPr>
            <w:tcW w:w="2480" w:type="dxa"/>
            <w:vAlign w:val="bottom"/>
            <w:gridSpan w:val="2"/>
          </w:tcPr>
          <w:p>
            <w:pPr>
              <w:jc w:val="center"/>
              <w:ind w:left="1170"/>
              <w:spacing w:after="0"/>
              <w:rPr>
                <w:sz w:val="20"/>
                <w:szCs w:val="20"/>
                <w:color w:val="auto"/>
              </w:rPr>
            </w:pPr>
            <w:r>
              <w:rPr>
                <w:rFonts w:ascii="Arial" w:cs="Arial" w:eastAsia="Arial" w:hAnsi="Arial"/>
                <w:sz w:val="18"/>
                <w:szCs w:val="18"/>
                <w:color w:val="auto"/>
                <w:w w:val="89"/>
              </w:rPr>
              <w:t>48</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16.6666</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04/19/2021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93"/>
              </w:rPr>
              <w:t>486</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16.4769</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04/20/2021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93"/>
              </w:rPr>
              <w:t>127</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16.8790</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04/21/2021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93"/>
              </w:rPr>
              <w:t>287</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16.4482</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04/22/2021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93"/>
              </w:rPr>
              <w:t>173</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16.4423</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04/23/2021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93"/>
              </w:rPr>
              <w:t>103</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16.6323</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04/26/2021</w:t>
            </w:r>
          </w:p>
        </w:tc>
      </w:tr>
      <w:tr>
        <w:trPr>
          <w:trHeight w:val="216"/>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93"/>
              </w:rPr>
              <w:t>426</w:t>
            </w: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16.8268</w:t>
            </w: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04/27/2021</w:t>
            </w:r>
          </w:p>
        </w:tc>
      </w:tr>
      <w:tr>
        <w:trPr>
          <w:trHeight w:val="216"/>
        </w:trPr>
        <w:tc>
          <w:tcPr>
            <w:tcW w:w="2480" w:type="dxa"/>
            <w:vAlign w:val="bottom"/>
            <w:gridSpan w:val="2"/>
            <w:shd w:val="clear" w:color="auto" w:fill="CCEEFF"/>
          </w:tcPr>
          <w:p>
            <w:pPr>
              <w:jc w:val="center"/>
              <w:ind w:left="1190"/>
              <w:spacing w:after="0"/>
              <w:rPr>
                <w:sz w:val="20"/>
                <w:szCs w:val="20"/>
                <w:color w:val="auto"/>
              </w:rPr>
            </w:pPr>
            <w:r>
              <w:rPr>
                <w:rFonts w:ascii="Arial" w:cs="Arial" w:eastAsia="Arial" w:hAnsi="Arial"/>
                <w:sz w:val="18"/>
                <w:szCs w:val="18"/>
                <w:color w:val="auto"/>
                <w:w w:val="93"/>
              </w:rPr>
              <w:t>512</w:t>
            </w:r>
          </w:p>
        </w:tc>
        <w:tc>
          <w:tcPr>
            <w:tcW w:w="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20" w:type="dxa"/>
            <w:vAlign w:val="bottom"/>
            <w:gridSpan w:val="6"/>
            <w:shd w:val="clear" w:color="auto" w:fill="CCEEFF"/>
          </w:tcPr>
          <w:p>
            <w:pPr>
              <w:jc w:val="center"/>
              <w:ind w:left="1310"/>
              <w:spacing w:after="0"/>
              <w:rPr>
                <w:sz w:val="20"/>
                <w:szCs w:val="20"/>
                <w:color w:val="auto"/>
              </w:rPr>
            </w:pPr>
            <w:r>
              <w:rPr>
                <w:rFonts w:ascii="Arial" w:cs="Arial" w:eastAsia="Arial" w:hAnsi="Arial"/>
                <w:sz w:val="18"/>
                <w:szCs w:val="18"/>
                <w:color w:val="auto"/>
                <w:w w:val="89"/>
              </w:rPr>
              <w:t>16.9104</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20" w:type="dxa"/>
            <w:vAlign w:val="bottom"/>
            <w:gridSpan w:val="3"/>
            <w:shd w:val="clear" w:color="auto" w:fill="CCEEFF"/>
          </w:tcPr>
          <w:p>
            <w:pPr>
              <w:jc w:val="center"/>
              <w:ind w:right="1320"/>
              <w:spacing w:after="0"/>
              <w:rPr>
                <w:sz w:val="20"/>
                <w:szCs w:val="20"/>
                <w:color w:val="auto"/>
              </w:rPr>
            </w:pPr>
            <w:r>
              <w:rPr>
                <w:rFonts w:ascii="Arial" w:cs="Arial" w:eastAsia="Arial" w:hAnsi="Arial"/>
                <w:sz w:val="18"/>
                <w:szCs w:val="18"/>
                <w:color w:val="auto"/>
                <w:w w:val="90"/>
              </w:rPr>
              <w:t>04/28/2021</w:t>
            </w:r>
          </w:p>
        </w:tc>
      </w:tr>
      <w:tr>
        <w:trPr>
          <w:trHeight w:val="230"/>
        </w:trPr>
        <w:tc>
          <w:tcPr>
            <w:tcW w:w="2480" w:type="dxa"/>
            <w:vAlign w:val="bottom"/>
            <w:gridSpan w:val="2"/>
          </w:tcPr>
          <w:p>
            <w:pPr>
              <w:jc w:val="center"/>
              <w:ind w:left="1190"/>
              <w:spacing w:after="0"/>
              <w:rPr>
                <w:sz w:val="20"/>
                <w:szCs w:val="20"/>
                <w:color w:val="auto"/>
              </w:rPr>
            </w:pPr>
            <w:r>
              <w:rPr>
                <w:rFonts w:ascii="Arial" w:cs="Arial" w:eastAsia="Arial" w:hAnsi="Arial"/>
                <w:sz w:val="18"/>
                <w:szCs w:val="18"/>
                <w:color w:val="auto"/>
                <w:w w:val="93"/>
              </w:rPr>
              <w:t>505</w:t>
            </w:r>
          </w:p>
        </w:tc>
        <w:tc>
          <w:tcPr>
            <w:tcW w:w="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20" w:type="dxa"/>
            <w:vAlign w:val="bottom"/>
            <w:gridSpan w:val="6"/>
          </w:tcPr>
          <w:p>
            <w:pPr>
              <w:jc w:val="center"/>
              <w:ind w:left="1310"/>
              <w:spacing w:after="0"/>
              <w:rPr>
                <w:sz w:val="20"/>
                <w:szCs w:val="20"/>
                <w:color w:val="auto"/>
              </w:rPr>
            </w:pPr>
            <w:r>
              <w:rPr>
                <w:rFonts w:ascii="Arial" w:cs="Arial" w:eastAsia="Arial" w:hAnsi="Arial"/>
                <w:sz w:val="18"/>
                <w:szCs w:val="18"/>
                <w:color w:val="auto"/>
                <w:w w:val="89"/>
              </w:rPr>
              <w:t>17.8927</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3"/>
          </w:tcPr>
          <w:p>
            <w:pPr>
              <w:jc w:val="center"/>
              <w:ind w:right="1320"/>
              <w:spacing w:after="0"/>
              <w:rPr>
                <w:sz w:val="20"/>
                <w:szCs w:val="20"/>
                <w:color w:val="auto"/>
              </w:rPr>
            </w:pPr>
            <w:r>
              <w:rPr>
                <w:rFonts w:ascii="Arial" w:cs="Arial" w:eastAsia="Arial" w:hAnsi="Arial"/>
                <w:sz w:val="18"/>
                <w:szCs w:val="18"/>
                <w:color w:val="auto"/>
                <w:w w:val="90"/>
              </w:rPr>
              <w:t>04/29/2021</w:t>
            </w:r>
          </w:p>
        </w:tc>
      </w:tr>
    </w:tbl>
    <w:p>
      <w:pPr>
        <w:spacing w:after="0" w:line="1" w:lineRule="exact"/>
        <w:rPr>
          <w:sz w:val="20"/>
          <w:szCs w:val="20"/>
          <w:color w:val="auto"/>
        </w:rPr>
      </w:pPr>
    </w:p>
    <w:sectPr>
      <w:pgSz w:w="11900" w:h="16838" w:orient="portrait"/>
      <w:cols w:equalWidth="0" w:num="1">
        <w:col w:w="11240"/>
      </w:cols>
      <w:pgMar w:left="320" w:top="22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1"/>
      <w:numFmt w:val="decimal"/>
      <w:start w:val="14"/>
    </w:lvl>
  </w:abstractNum>
  <w:abstractNum w:abstractNumId="3">
    <w:nsid w:val="79E2A9E3"/>
    <w:multiLevelType w:val="hybridMultilevel"/>
    <w:lvl w:ilvl="0">
      <w:lvlJc w:val="left"/>
      <w:lvlText w:val="6"/>
      <w:numFmt w:val="bullet"/>
      <w:start w:val="1"/>
    </w:lvl>
  </w:abstractNum>
  <w:abstractNum w:abstractNumId="4">
    <w:nsid w:val="7545E146"/>
    <w:multiLevelType w:val="hybridMultilevel"/>
    <w:lvl w:ilvl="0">
      <w:lvlJc w:val="left"/>
      <w:lvlText w:val="%1"/>
      <w:numFmt w:val="decimal"/>
      <w:start w:val="14"/>
    </w:lvl>
  </w:abstractNum>
  <w:abstractNum w:abstractNumId="5">
    <w:nsid w:val="515F007C"/>
    <w:multiLevelType w:val="hybridMultilevel"/>
    <w:lvl w:ilvl="0">
      <w:lvlJc w:val="left"/>
      <w:lvlText w:val="(%1)"/>
      <w:numFmt w:val="lowerLetter"/>
      <w:start w:val="10"/>
    </w:lvl>
  </w:abstractNum>
  <w:abstractNum w:abstractNumId="6">
    <w:nsid w:val="5BD062C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2"/>
    </w:lvl>
  </w:abstractNum>
  <w:abstractNum w:abstractNumId="7">
    <w:nsid w:val="12200854"/>
    <w:multiLevelType w:val="hybridMultilevel"/>
    <w:lvl w:ilvl="0">
      <w:lvlJc w:val="left"/>
      <w:lvlText w:val="%1."/>
      <w:numFmt w:val="upperLetter"/>
      <w:start w:val="4"/>
    </w:lvl>
    <w:lvl w:ilvl="1">
      <w:lvlJc w:val="left"/>
      <w:lvlText w:val="(%2)"/>
      <w:numFmt w:val="lowerLetter"/>
      <w:start w:val="1"/>
    </w:lvl>
  </w:abstractNum>
  <w:abstractNum w:abstractNumId="8">
    <w:nsid w:val="4DB127F8"/>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4"/>
    </w:lvl>
  </w:abstractNum>
  <w:abstractNum w:abstractNumId="9">
    <w:nsid w:val="216231B"/>
    <w:multiLevelType w:val="hybridMultilevel"/>
    <w:lvl w:ilvl="0">
      <w:lvlJc w:val="left"/>
      <w:lvlText w:val="%1."/>
      <w:numFmt w:val="upperLetter"/>
      <w:start w:val="5"/>
    </w:lvl>
    <w:lvl w:ilvl="1">
      <w:lvlJc w:val="left"/>
      <w:lvlText w:val="(%2)"/>
      <w:numFmt w:val="lowerLetter"/>
      <w:start w:val="1"/>
    </w:lvl>
    <w:lvl w:ilvl="2">
      <w:lvlJc w:val="left"/>
      <w:lvlText w:val="%3."/>
      <w:numFmt w:val="decimal"/>
      <w:start w:val="2"/>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2021-04-29T17:26:08Z</dcterms:created>
  <dcterms:modified xsi:type="dcterms:W3CDTF">2021-04-29T17:26:08Z</dcterms:modified>
</cp:coreProperties>
</file>