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April 30, 2026</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1051"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1051"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1051"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03"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6" w:lineRule="exact"/>
        <w:rPr>
          <w:sz w:val="24"/>
          <w:szCs w:val="24"/>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1"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5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On April 30, 2026, Westwood Holdings Group, Inc. (“Westwood”) announced its financial results for the quarter ended March 31, 2026, a copy of which is furnished with this Current Report on Form 8-K as Exhibit 99.1.</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12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$0.15 per common share, payable on July 1, 2026 to stockholders of record on June 1, 2026.</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Exhibit Number</w:t>
      </w:r>
      <w:r>
        <w:rPr>
          <w:sz w:val="20"/>
          <w:szCs w:val="20"/>
          <w:color w:val="auto"/>
        </w:rPr>
        <w:tab/>
      </w:r>
      <w:r>
        <w:rPr>
          <w:rFonts w:ascii="Times New Roman" w:cs="Times New Roman" w:eastAsia="Times New Roman" w:hAnsi="Times New Roman"/>
          <w:sz w:val="19"/>
          <w:szCs w:val="19"/>
          <w:color w:val="auto"/>
        </w:rPr>
        <w:t>Description</w:t>
      </w:r>
    </w:p>
    <w:p>
      <w:pPr>
        <w:spacing w:after="0" w:line="25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Dated April 30, 2026</w:t>
      </w:r>
    </w:p>
    <w:p>
      <w:pPr>
        <w:spacing w:after="0" w:line="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1478915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30, 2026</w:t>
      </w:r>
    </w:p>
    <w:p>
      <w:pPr>
        <w:spacing w:after="0" w:line="200" w:lineRule="exact"/>
        <w:rPr>
          <w:sz w:val="20"/>
          <w:szCs w:val="20"/>
          <w:color w:val="auto"/>
        </w:rPr>
      </w:pPr>
    </w:p>
    <w:p>
      <w:pPr>
        <w:spacing w:after="0" w:line="3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3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886"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Westwood Holdings Group, Inc. Reports First Quarter 2026 Results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Assets Under Management grew to $18.3 billion, an increase of $0.8 billion</w:t>
      </w:r>
    </w:p>
    <w:p>
      <w:pPr>
        <w:jc w:val="center"/>
        <w:spacing w:after="0" w:line="234" w:lineRule="auto"/>
        <w:rPr>
          <w:sz w:val="20"/>
          <w:szCs w:val="20"/>
          <w:color w:val="auto"/>
        </w:rPr>
      </w:pPr>
      <w:r>
        <w:rPr>
          <w:rFonts w:ascii="Times New Roman" w:cs="Times New Roman" w:eastAsia="Times New Roman" w:hAnsi="Times New Roman"/>
          <w:sz w:val="18"/>
          <w:szCs w:val="18"/>
          <w:color w:val="auto"/>
        </w:rPr>
        <w:t>Enhanced Income Series™ ETFs surpassed $300 million and gained approval on its first major wirehouse platform</w:t>
      </w:r>
    </w:p>
    <w:p>
      <w:pPr>
        <w:jc w:val="center"/>
        <w:spacing w:after="0" w:line="235" w:lineRule="auto"/>
        <w:rPr>
          <w:sz w:val="20"/>
          <w:szCs w:val="20"/>
          <w:color w:val="auto"/>
        </w:rPr>
      </w:pPr>
      <w:r>
        <w:rPr>
          <w:rFonts w:ascii="Times New Roman" w:cs="Times New Roman" w:eastAsia="Times New Roman" w:hAnsi="Times New Roman"/>
          <w:sz w:val="18"/>
          <w:szCs w:val="18"/>
          <w:color w:val="auto"/>
        </w:rPr>
        <w:t>Westwood Energy Secondaries Fund II's final close exceeded $300 million in capital commitments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Institutional reported gross sales of $322 million, including our first institutional MIS client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April 30, 2026 – Westwood Holdings Group, Inc. (NYSE: WHG) today reported first quarter 2026 earnings.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items included:</w:t>
      </w:r>
    </w:p>
    <w:p>
      <w:pPr>
        <w:spacing w:after="0" w:line="182" w:lineRule="exact"/>
        <w:rPr>
          <w:sz w:val="20"/>
          <w:szCs w:val="20"/>
          <w:color w:val="auto"/>
        </w:rPr>
      </w:pPr>
    </w:p>
    <w:p>
      <w:pPr>
        <w:ind w:left="660" w:right="240" w:hanging="328"/>
        <w:spacing w:after="0" w:line="295" w:lineRule="auto"/>
        <w:tabs>
          <w:tab w:leader="none" w:pos="65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strategies beating their primary benchmarks included SMidCap, MidCap, Platinum, Select Equity, Dividend Select, Income Opportunity, Income SMA, Multi-Asset Income, Alternative Income, Tactical Growth and MLP SMA.</w:t>
      </w:r>
    </w:p>
    <w:p>
      <w:pPr>
        <w:spacing w:after="0" w:line="40" w:lineRule="exact"/>
        <w:rPr>
          <w:rFonts w:ascii="Times New Roman" w:cs="Times New Roman" w:eastAsia="Times New Roman" w:hAnsi="Times New Roman"/>
          <w:sz w:val="21"/>
          <w:szCs w:val="21"/>
          <w:color w:val="auto"/>
        </w:rPr>
      </w:pPr>
    </w:p>
    <w:p>
      <w:pPr>
        <w:ind w:left="660" w:right="62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SMidCap, Select Equity, Dividend Select, Income Opportunity, Tactical Growth and MLP SMA posted top quartile rankings vs. peers.</w:t>
      </w:r>
    </w:p>
    <w:p>
      <w:pPr>
        <w:spacing w:after="0" w:line="49" w:lineRule="exact"/>
        <w:rPr>
          <w:rFonts w:ascii="Times New Roman" w:cs="Times New Roman" w:eastAsia="Times New Roman" w:hAnsi="Times New Roman"/>
          <w:sz w:val="22"/>
          <w:szCs w:val="22"/>
          <w:color w:val="auto"/>
        </w:rPr>
      </w:pPr>
    </w:p>
    <w:p>
      <w:pPr>
        <w:ind w:left="660" w:right="2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revenues totaled $25.0 million vs. $27.1 million in the fourth quarter and $23.3 million a year ago. Income of $0.8 million compared with $1.9 million in the fourth quarter and $0.5 million in 2025's first quarter.</w:t>
      </w:r>
    </w:p>
    <w:p>
      <w:pPr>
        <w:spacing w:after="0" w:line="49" w:lineRule="exact"/>
        <w:rPr>
          <w:rFonts w:ascii="Times New Roman" w:cs="Times New Roman" w:eastAsia="Times New Roman" w:hAnsi="Times New Roman"/>
          <w:sz w:val="22"/>
          <w:szCs w:val="22"/>
          <w:color w:val="auto"/>
        </w:rPr>
      </w:pPr>
    </w:p>
    <w:p>
      <w:pPr>
        <w:ind w:left="660" w:right="20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Economic Earnings of $2.8 million compared with $3.3 million in the fourth quarter and $2.5 million in the first quarter of 2025.</w:t>
      </w:r>
    </w:p>
    <w:p>
      <w:pPr>
        <w:spacing w:after="0" w:line="63" w:lineRule="exact"/>
        <w:rPr>
          <w:rFonts w:ascii="Times New Roman" w:cs="Times New Roman" w:eastAsia="Times New Roman" w:hAnsi="Times New Roman"/>
          <w:sz w:val="22"/>
          <w:szCs w:val="22"/>
          <w:color w:val="auto"/>
        </w:rPr>
      </w:pPr>
    </w:p>
    <w:p>
      <w:pPr>
        <w:ind w:left="660" w:right="20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held $52.1 million in cash and investments as of March 31, 2026. Stockholders' equity totaled $125.0 million and we carry no debt.</w:t>
      </w:r>
    </w:p>
    <w:p>
      <w:pPr>
        <w:spacing w:after="0" w:line="49" w:lineRule="exact"/>
        <w:rPr>
          <w:rFonts w:ascii="Times New Roman" w:cs="Times New Roman" w:eastAsia="Times New Roman" w:hAnsi="Times New Roman"/>
          <w:sz w:val="22"/>
          <w:szCs w:val="22"/>
          <w:color w:val="auto"/>
        </w:rPr>
      </w:pPr>
    </w:p>
    <w:p>
      <w:pPr>
        <w:ind w:left="660" w:right="38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declared a cash dividend of $0.15 per common share, payable on July 1, 2026 to stockholders of record on June 1, 2026.</w:t>
      </w:r>
    </w:p>
    <w:p>
      <w:pPr>
        <w:spacing w:after="0" w:line="5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Brian Casey, Westwood’s CEO, commented, "The first quarter of 2026 reflects the continued evolution of Westwood's business. AUM grew to $18.3 billion, driven by strong momentum in our Energy and Real Assets strategies, the final close of Westwood Energy Secondaries Fund II at more than twice its original target, and our ETF platform surpassing $300 million in combined assets. The structural shift in client allocations toward income-oriented and private market solutions reinforces our conviction that Westwood's diversified platform is well-positioned for the environment ahead. We continue to invest in new solutions for our customers, incurring compensation expense ahead of expected returns from growth in AUM and revenue.”</w:t>
      </w:r>
    </w:p>
    <w:p>
      <w:pPr>
        <w:spacing w:after="0" w:line="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Firmwide assets under management and advisement totaled $18.3 billion, consisting of assets under management ("AUM") of $17.3 billion and assets under advisement ("AUA") of $0.9 billion.</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First quarter revenues were lower than the fourth quarter due to lower quarterly average AUM as well as fourth quarter recognition of performance fees for the prior year. First quarter net income of $0.8 million was lower than the fourth quarter's net income of $1.9 million on lower revenues and higher compensation expenses, offset by gains from our investment in a private bank and lower income taxes. Diluted earnings per share ("EPS") of $0.09 compared to $0.21 for the fourth quarter. Non-GAAP Economic Earnings of $2.8 million, or $0.31 per share, compared with $3.3 million, or $0.36 per share, in the fourth quarter.</w:t>
      </w:r>
    </w:p>
    <w:p>
      <w:pPr>
        <w:spacing w:after="0" w:line="5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First quarter revenues were higher than last year's first quarter due to solid growth in our business, reflected in higher average AUM and growth from our ETFs and private energy secondaries funds. First</w:t>
      </w:r>
    </w:p>
    <w:p>
      <w:pPr>
        <w:sectPr>
          <w:pgSz w:w="11900" w:h="16838" w:orient="portrait"/>
          <w:cols w:equalWidth="0" w:num="1">
            <w:col w:w="11240"/>
          </w:cols>
          <w:pgMar w:left="320" w:top="1440" w:right="339" w:bottom="1440" w:gutter="0" w:footer="0" w:header="0"/>
        </w:sectPr>
      </w:pPr>
    </w:p>
    <w:bookmarkStart w:id="4" w:name="page5"/>
    <w:bookmarkEnd w:id="4"/>
    <w:p>
      <w:pPr>
        <w:ind w:right="320"/>
        <w:spacing w:after="0" w:line="256" w:lineRule="auto"/>
        <w:rPr>
          <w:sz w:val="20"/>
          <w:szCs w:val="20"/>
          <w:color w:val="auto"/>
        </w:rPr>
      </w:pPr>
      <w:r>
        <w:rPr>
          <w:rFonts w:ascii="Times New Roman" w:cs="Times New Roman" w:eastAsia="Times New Roman" w:hAnsi="Times New Roman"/>
          <w:sz w:val="22"/>
          <w:szCs w:val="22"/>
          <w:color w:val="auto"/>
        </w:rPr>
        <w:t>quarter net income of $0.8 million compared favorably to last year's first quarter income of $0.5 million due to 2026's higher revenues and gains from our investment in a private bank, offset by higher compensation expenses. Diluted EPS of $0.09 compared with $0.05 for 2025's first quarter. Non-GAAP Economic Earnings were $2.8 million, or $0.31 per share, compared with $2.5 million, or $0.29 per share, in the first quarter of 2025.</w:t>
      </w:r>
    </w:p>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Economic Earnings and Economic EPS are non-GAAP performance measures and are explained and reconciled with the most comparable GAAP numbers in the attached tables.</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Westwood will host a conference call to discuss first quarter 2026 results and other business matters at 4:30 p.m. Eastern time today. To join the conference call, please register here: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https://register-conf.media-server.com/register/BIdb34b349c6fa4805b8602ecfcfffcf2e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After registering, you will be provided with a dial-in number containing a personalized PIN.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view the webcast, please register here: </w:t>
      </w:r>
      <w:r>
        <w:rPr>
          <w:rFonts w:ascii="Times New Roman" w:cs="Times New Roman" w:eastAsia="Times New Roman" w:hAnsi="Times New Roman"/>
          <w:sz w:val="22"/>
          <w:szCs w:val="22"/>
          <w:u w:val="single" w:color="auto"/>
          <w:color w:val="auto"/>
        </w:rPr>
        <w:t>https://edge.media-server.com/mmc/p/kxpx4oyr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Once registered, an email will be sent with important details for this conference call, as well as a unique Registrant ID.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 HOLDINGS GROUP</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Westwood Holdings Group (NYSE: WHG) is a boutique asset management firm that offers a diverse array of actively-managed and 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teamwork and driving results - and underpin our constant pursuit of excellence.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w:t>
      </w:r>
    </w:p>
    <w:p>
      <w:pPr>
        <w:sectPr>
          <w:pgSz w:w="11900" w:h="16838" w:orient="portrait"/>
          <w:cols w:equalWidth="0" w:num="1">
            <w:col w:w="11240"/>
          </w:cols>
          <w:pgMar w:left="320" w:top="1003" w:right="339" w:bottom="1440" w:gutter="0" w:footer="0" w:header="0"/>
        </w:sectPr>
      </w:pPr>
    </w:p>
    <w:bookmarkStart w:id="5" w:name="page6"/>
    <w:bookmarkEnd w:id="5"/>
    <w:p>
      <w:pPr>
        <w:jc w:val="both"/>
        <w:spacing w:after="0" w:line="248" w:lineRule="auto"/>
        <w:rPr>
          <w:sz w:val="20"/>
          <w:szCs w:val="20"/>
          <w:color w:val="auto"/>
        </w:rPr>
      </w:pPr>
      <w:r>
        <w:rPr>
          <w:rFonts w:ascii="Times New Roman" w:cs="Times New Roman" w:eastAsia="Times New Roman" w:hAnsi="Times New Roman"/>
          <w:sz w:val="22"/>
          <w:szCs w:val="22"/>
          <w:color w:val="auto"/>
        </w:rPr>
        <w:t>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2025 and its quarterly report on Form 10-Q for the quarter ended March 31, 2026.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240"/>
          </w:cols>
          <w:pgMar w:left="320" w:top="10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32" w:lineRule="exact"/>
        <w:rPr>
          <w:sz w:val="20"/>
          <w:szCs w:val="20"/>
          <w:color w:val="auto"/>
        </w:rPr>
      </w:pPr>
    </w:p>
    <w:p>
      <w:pPr>
        <w:ind w:right="4760"/>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CONDENSED CONSOLIDATED STATEMENTS OF OPERATIONS </w:t>
      </w:r>
      <w:r>
        <w:rPr>
          <w:rFonts w:ascii="Times New Roman" w:cs="Times New Roman" w:eastAsia="Times New Roman" w:hAnsi="Times New Roman"/>
          <w:sz w:val="19"/>
          <w:szCs w:val="19"/>
          <w:b w:val="1"/>
          <w:bCs w:val="1"/>
          <w:color w:val="auto"/>
        </w:rPr>
        <w:t>(in thousands, except per share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560" w:type="dxa"/>
            <w:vAlign w:val="bottom"/>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195"/>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Advisory fees: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0"/>
        </w:trPr>
        <w:tc>
          <w:tcPr>
            <w:tcW w:w="5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Asset-based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17,731</w:t>
            </w:r>
          </w:p>
        </w:tc>
      </w:tr>
      <w:tr>
        <w:trPr>
          <w:trHeight w:val="195"/>
        </w:trPr>
        <w:tc>
          <w:tcPr>
            <w:tcW w:w="56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Performance-based</w:t>
            </w:r>
          </w:p>
        </w:tc>
        <w:tc>
          <w:tcPr>
            <w:tcW w:w="22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Trust fees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w:t>
            </w:r>
          </w:p>
        </w:tc>
      </w:tr>
      <w:tr>
        <w:trPr>
          <w:trHeight w:val="195"/>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 performance-based fees</w:t>
            </w:r>
          </w:p>
        </w:tc>
        <w:tc>
          <w:tcPr>
            <w:tcW w:w="22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9"/>
        </w:trPr>
        <w:tc>
          <w:tcPr>
            <w:tcW w:w="56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23,252</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95"/>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14,501</w:t>
            </w: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r>
      <w:tr>
        <w:trPr>
          <w:trHeight w:val="195"/>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Westwood funds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r>
      <w:tr>
        <w:trPr>
          <w:trHeight w:val="195"/>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Professional services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w:t>
            </w:r>
          </w:p>
        </w:tc>
      </w:tr>
      <w:tr>
        <w:trPr>
          <w:trHeight w:val="190"/>
        </w:trPr>
        <w:tc>
          <w:tcPr>
            <w:tcW w:w="5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expenses</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24,937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23,320</w:t>
            </w: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2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9"/>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Realized gains on private investments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change in unrealized depreciation on private investments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investment income</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9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2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r>
      <w:tr>
        <w:trPr>
          <w:trHeight w:val="202"/>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provision</w:t>
            </w:r>
          </w:p>
        </w:tc>
        <w:tc>
          <w:tcPr>
            <w:tcW w:w="2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income (loss) attributable to noncontrolling interest</w:t>
            </w:r>
          </w:p>
        </w:tc>
        <w:tc>
          <w:tcPr>
            <w:tcW w:w="22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attributable to Westwood Holdings Group, Inc.</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21"/>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Westwood Holdings Group, Inc. share:</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5"/>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r>
      <w:tr>
        <w:trPr>
          <w:trHeight w:val="21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8,498,350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8,418,874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8,253,912</w:t>
            </w:r>
          </w:p>
        </w:tc>
      </w:tr>
      <w:tr>
        <w:trPr>
          <w:trHeight w:val="195"/>
        </w:trPr>
        <w:tc>
          <w:tcPr>
            <w:tcW w:w="5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9,041,922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9,003,337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8,781,743</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Earnings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Economic EPS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r>
    </w:tbl>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and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26,249</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16,751</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at fair value (amortized cost of $14,426 and $19,923)</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21,433</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under measurement alternative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18,199</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$9,044 and $8,952</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162,298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0" w:type="dxa"/>
            <w:vAlign w:val="bottom"/>
          </w:tcPr>
          <w:p>
            <w:pPr>
              <w:spacing w:after="0"/>
              <w:rPr>
                <w:sz w:val="1"/>
                <w:szCs w:val="1"/>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10,171</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35,575</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Common stock, $0.01 par value, authorized 25,000,000 shares, issued 12,551,091 and 12,337,758, respectively</w:t>
            </w: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outstanding 9,487,973 and 9,394,066, respectively</w:t>
            </w:r>
          </w:p>
        </w:tc>
        <w:tc>
          <w:tcPr>
            <w:tcW w:w="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206,120</w:t>
            </w:r>
          </w:p>
        </w:tc>
        <w:tc>
          <w:tcPr>
            <w:tcW w:w="0" w:type="dxa"/>
            <w:vAlign w:val="bottom"/>
          </w:tcPr>
          <w:p>
            <w:pPr>
              <w:spacing w:after="0"/>
              <w:rPr>
                <w:sz w:val="1"/>
                <w:szCs w:val="1"/>
                <w:color w:val="auto"/>
              </w:rPr>
            </w:pPr>
          </w:p>
        </w:tc>
      </w:tr>
      <w:tr>
        <w:trPr>
          <w:trHeight w:val="213"/>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Treasury stock, at cost – 3,063,118 and 2,986,692 shares, respectively</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(89,612)</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w:t>
            </w:r>
          </w:p>
        </w:tc>
        <w:tc>
          <w:tcPr>
            <w:tcW w:w="0" w:type="dxa"/>
            <w:vAlign w:val="bottom"/>
          </w:tcPr>
          <w:p>
            <w:pPr>
              <w:spacing w:after="0"/>
              <w:rPr>
                <w:sz w:val="1"/>
                <w:szCs w:val="1"/>
                <w:color w:val="auto"/>
              </w:rPr>
            </w:pPr>
          </w:p>
        </w:tc>
      </w:tr>
      <w:tr>
        <w:trPr>
          <w:trHeight w:val="207"/>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Westwood Holdings Group, Inc. stockholders’ equity</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125,615</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 in consolidated subsidiary</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207"/>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126,723</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162,298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3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WESTWOOD HOLDINGS GROUP, INC.</w:t>
      </w:r>
    </w:p>
    <w:p>
      <w:pPr>
        <w:spacing w:after="0" w:line="32" w:lineRule="exact"/>
        <w:rPr>
          <w:sz w:val="20"/>
          <w:szCs w:val="20"/>
          <w:color w:val="auto"/>
        </w:rPr>
      </w:pPr>
    </w:p>
    <w:p>
      <w:pPr>
        <w:ind w:right="4740"/>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CONDENSED CONSOLIDATED STATEMENTS OF CASH FLOWS </w:t>
      </w:r>
      <w:r>
        <w:rPr>
          <w:rFonts w:ascii="Times New Roman" w:cs="Times New Roman" w:eastAsia="Times New Roman" w:hAnsi="Times New Roman"/>
          <w:sz w:val="19"/>
          <w:szCs w:val="19"/>
          <w:b w:val="1"/>
          <w:bCs w:val="1"/>
          <w:color w:val="auto"/>
        </w:rPr>
        <w:t>(in thousands)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operating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change in unrealized (appreciation) depreciation on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w:t>
            </w: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 receivable and payable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sales of equity investments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w:t>
            </w: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w:t>
            </w:r>
          </w:p>
        </w:tc>
      </w:tr>
      <w:tr>
        <w:trPr>
          <w:trHeight w:val="212"/>
        </w:trPr>
        <w:tc>
          <w:tcPr>
            <w:tcW w:w="8000" w:type="dxa"/>
            <w:vAlign w:val="bottom"/>
            <w:tcBorders>
              <w:top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w:t>
            </w:r>
          </w:p>
        </w:tc>
      </w:tr>
      <w:tr>
        <w:trPr>
          <w:trHeight w:val="19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of investments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to internally developed software</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Returns of capital from investments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0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19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contingent consideration in acquisition</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3"/>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dividends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w:t>
            </w:r>
          </w:p>
        </w:tc>
      </w:tr>
      <w:tr>
        <w:trPr>
          <w:trHeight w:val="212"/>
        </w:trPr>
        <w:tc>
          <w:tcPr>
            <w:tcW w:w="80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(9,429)</w:t>
            </w: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18,847</w:t>
            </w:r>
          </w:p>
        </w:tc>
      </w:tr>
      <w:tr>
        <w:trPr>
          <w:trHeight w:val="20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r>
      <w:tr>
        <w:trPr>
          <w:trHeight w:val="210"/>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bl>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WESTWOOD HOLDINGS GROUP, INC.</w:t>
      </w:r>
    </w:p>
    <w:p>
      <w:pPr>
        <w:spacing w:after="0" w:line="32" w:lineRule="exact"/>
        <w:rPr>
          <w:sz w:val="20"/>
          <w:szCs w:val="20"/>
          <w:color w:val="auto"/>
        </w:rPr>
      </w:pPr>
    </w:p>
    <w:p>
      <w:pPr>
        <w:ind w:right="4240"/>
        <w:spacing w:after="0" w:line="261" w:lineRule="auto"/>
        <w:rPr>
          <w:sz w:val="20"/>
          <w:szCs w:val="20"/>
          <w:color w:val="auto"/>
        </w:rPr>
      </w:pPr>
      <w:r>
        <w:rPr>
          <w:rFonts w:ascii="Times New Roman" w:cs="Times New Roman" w:eastAsia="Times New Roman" w:hAnsi="Times New Roman"/>
          <w:sz w:val="17"/>
          <w:szCs w:val="17"/>
          <w:b w:val="1"/>
          <w:bCs w:val="1"/>
          <w:color w:val="auto"/>
        </w:rPr>
        <w:t>Reconciliation of Income Attributable to Westwood Holdings Group, Inc. to Economic Earnings (in thousands, except per share and share amounts) (unaudited)</w:t>
      </w: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supplemental information, we are providing non-GAAP performance measures that we refer to as Economic earnings and Economic earnings per share. We provide these measures in addition to, not as a substitute for, income attributable to Westwood Holdings Group, Inc. and earnings per share, which are reported on a GAAP basis. Our management and Board of Directors review Economic earnings and Economic earnings per share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earnings per share represents Economic earnings divided by diluted weighted average shares outstanding.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200"/>
        </w:trPr>
        <w:tc>
          <w:tcPr>
            <w:tcW w:w="4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240" w:type="dxa"/>
            <w:vAlign w:val="bottom"/>
          </w:tcPr>
          <w:p>
            <w:pPr>
              <w:spacing w:after="0"/>
              <w:rPr>
                <w:sz w:val="17"/>
                <w:szCs w:val="17"/>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320" w:type="dxa"/>
            <w:vAlign w:val="bottom"/>
          </w:tcPr>
          <w:p>
            <w:pPr>
              <w:spacing w:after="0"/>
              <w:rPr>
                <w:sz w:val="17"/>
                <w:szCs w:val="17"/>
                <w:color w:val="auto"/>
              </w:rPr>
            </w:pPr>
          </w:p>
        </w:tc>
        <w:tc>
          <w:tcPr>
            <w:tcW w:w="174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March 31, 2025</w:t>
            </w:r>
          </w:p>
        </w:tc>
      </w:tr>
      <w:tr>
        <w:trPr>
          <w:trHeight w:val="19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attributable to Westwood Holdings Group, Inc.</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r>
      <w:tr>
        <w:trPr>
          <w:trHeight w:val="200"/>
        </w:trPr>
        <w:tc>
          <w:tcPr>
            <w:tcW w:w="4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0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w:t>
            </w:r>
          </w:p>
        </w:tc>
      </w:tr>
      <w:tr>
        <w:trPr>
          <w:trHeight w:val="205"/>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amortization</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w:t>
            </w:r>
          </w:p>
        </w:tc>
      </w:tr>
      <w:tr>
        <w:trPr>
          <w:trHeight w:val="200"/>
        </w:trPr>
        <w:tc>
          <w:tcPr>
            <w:tcW w:w="4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 benefit from goodwill amortization</w:t>
            </w:r>
          </w:p>
        </w:tc>
        <w:tc>
          <w:tcPr>
            <w:tcW w:w="30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20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 impact of adjustments to GAAP income</w:t>
            </w:r>
          </w:p>
        </w:tc>
        <w:tc>
          <w:tcPr>
            <w:tcW w:w="3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r>
      <w:tr>
        <w:trPr>
          <w:trHeight w:val="198"/>
        </w:trPr>
        <w:tc>
          <w:tcPr>
            <w:tcW w:w="4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Economic earnings</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2,847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2,514</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per share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r>
      <w:tr>
        <w:trPr>
          <w:trHeight w:val="200"/>
        </w:trPr>
        <w:tc>
          <w:tcPr>
            <w:tcW w:w="4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0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0.15</w:t>
            </w:r>
          </w:p>
        </w:tc>
      </w:tr>
      <w:tr>
        <w:trPr>
          <w:trHeight w:val="205"/>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amortization</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0.13</w:t>
            </w:r>
          </w:p>
        </w:tc>
      </w:tr>
      <w:tr>
        <w:trPr>
          <w:trHeight w:val="200"/>
        </w:trPr>
        <w:tc>
          <w:tcPr>
            <w:tcW w:w="49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Tax benefit from goodwill amortization</w:t>
            </w:r>
          </w:p>
        </w:tc>
        <w:tc>
          <w:tcPr>
            <w:tcW w:w="30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r>
      <w:tr>
        <w:trPr>
          <w:trHeight w:val="20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 impact of adjustments to GAAP income</w:t>
            </w:r>
          </w:p>
        </w:tc>
        <w:tc>
          <w:tcPr>
            <w:tcW w:w="30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r>
      <w:tr>
        <w:trPr>
          <w:trHeight w:val="198"/>
        </w:trPr>
        <w:tc>
          <w:tcPr>
            <w:tcW w:w="4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Economic earnings per share</w:t>
            </w: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0.31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0.29</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 weighted average shares</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9,041,922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9,003,337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8,781,743</w:t>
            </w: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2026-04-30T15:26:56Z</dcterms:created>
  <dcterms:modified xsi:type="dcterms:W3CDTF">2026-04-30T15:26:56Z</dcterms:modified>
</cp:coreProperties>
</file>