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9507" w:type="dxa"/>
        <w:jc w:val="center"/>
        <w:tblInd w:w="0" w:type="dxa"/>
        <w:tblLayout w:type="fixed"/>
        <w:tblCellMar>
          <w:top w:w="28" w:type="dxa"/>
          <w:left w:w="28" w:type="dxa"/>
          <w:bottom w:w="28" w:type="dxa"/>
          <w:right w:w="28" w:type="dxa"/>
        </w:tblCellMar>
      </w:tblPr>
      <w:tblGrid>
        <w:gridCol w:w="124"/>
        <w:gridCol w:w="109"/>
        <w:gridCol w:w="109"/>
        <w:gridCol w:w="2683"/>
        <w:gridCol w:w="2683"/>
        <w:gridCol w:w="3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rFonts w:ascii="Times New Roman;sans-serif" w:hAnsi="Times New Roman;sans-serif"/>
          <w:b/>
          <w:color w:val="000000"/>
          <w:sz w:val="20"/>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1-31234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bidi w:val="0"/>
        <w:spacing w:lineRule="auto" w:line="288" w:before="160" w:after="283"/>
        <w:jc w:val="center"/>
        <w:rPr/>
      </w:pPr>
      <w:r>
        <w:rPr>
          <w:rFonts w:ascii="Times New Roman;sans-serif" w:hAnsi="Times New Roman;sans-serif"/>
          <w:b/>
          <w:color w:val="000000"/>
          <w:sz w:val="40"/>
        </w:rPr>
        <w:t>WESTWOOD HOLDINGS GROUP, INC.</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tbl>
      <w:tblPr>
        <w:tblW w:w="7149" w:type="dxa"/>
        <w:jc w:val="center"/>
        <w:tblInd w:w="0" w:type="dxa"/>
        <w:tblLayout w:type="fixed"/>
        <w:tblCellMar>
          <w:top w:w="28" w:type="dxa"/>
          <w:left w:w="28" w:type="dxa"/>
          <w:bottom w:w="28" w:type="dxa"/>
          <w:right w:w="28" w:type="dxa"/>
        </w:tblCellMar>
      </w:tblPr>
      <w:tblGrid>
        <w:gridCol w:w="788"/>
        <w:gridCol w:w="692"/>
        <w:gridCol w:w="692"/>
        <w:gridCol w:w="692"/>
        <w:gridCol w:w="692"/>
        <w:gridCol w:w="732"/>
        <w:gridCol w:w="109"/>
        <w:gridCol w:w="109"/>
        <w:gridCol w:w="109"/>
        <w:gridCol w:w="740"/>
        <w:gridCol w:w="740"/>
        <w:gridCol w:w="10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75-2969997</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 CRESCENT COURT, SUITE 1200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DALLAS,</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75201</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(214) 756-6900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(Former name, former address and former fiscal year, if changed since last report) </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633" w:type="dxa"/>
        <w:jc w:val="center"/>
        <w:tblInd w:w="0" w:type="dxa"/>
        <w:tblLayout w:type="fixed"/>
        <w:tblCellMar>
          <w:top w:w="28" w:type="dxa"/>
          <w:left w:w="28" w:type="dxa"/>
          <w:bottom w:w="28" w:type="dxa"/>
          <w:right w:w="28" w:type="dxa"/>
        </w:tblCellMar>
      </w:tblPr>
      <w:tblGrid>
        <w:gridCol w:w="1092"/>
        <w:gridCol w:w="963"/>
        <w:gridCol w:w="975"/>
        <w:gridCol w:w="414"/>
        <w:gridCol w:w="414"/>
        <w:gridCol w:w="416"/>
        <w:gridCol w:w="983"/>
        <w:gridCol w:w="983"/>
        <w:gridCol w:w="1393"/>
      </w:tblGrid>
      <w:tr>
        <w:trPr/>
        <w:tc>
          <w:tcPr>
            <w:tcW w:w="109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Trading Symbol</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Name of Each Exchange on Which Registered</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WHG</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 </w:t>
      </w:r>
    </w:p>
    <w:tbl>
      <w:tblPr>
        <w:tblW w:w="5370"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3"/>
        <w:gridCol w:w="673"/>
        <w:gridCol w:w="678"/>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accounting standards provided pursuant to Section 13(a) of the Exchange Act.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 xml:space="preserve">☒ </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common stock, par value $0.01 per share, outstanding as of July 26, 2023: 9,182,716.</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INDEX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8"/>
        <w:gridCol w:w="228"/>
        <w:gridCol w:w="230"/>
        <w:gridCol w:w="109"/>
        <w:gridCol w:w="109"/>
        <w:gridCol w:w="109"/>
        <w:gridCol w:w="2837"/>
        <w:gridCol w:w="2837"/>
        <w:gridCol w:w="2844"/>
        <w:gridCol w:w="184"/>
        <w:gridCol w:w="184"/>
        <w:gridCol w:w="266"/>
      </w:tblGrid>
      <w:tr>
        <w:trPr/>
        <w:tc>
          <w:tcPr>
            <w:tcW w:w="2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INFORMATION</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w:t>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Financial Statements</w:t>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856219a00d6c40a78489e848bcd0a3cd_13">
              <w:r>
                <w:rPr>
                  <w:rStyle w:val="InternetLink"/>
                  <w:rFonts w:ascii="Times New Roman;sans-serif" w:hAnsi="Times New Roman;sans-serif"/>
                  <w:b w:val="false"/>
                  <w:color w:val="000080"/>
                  <w:sz w:val="18"/>
                  <w:u w:val="single"/>
                </w:rPr>
                <w:t xml:space="preserve">Condensed Consolidated Balance Sheets as of </w:t>
              </w:r>
            </w:hyperlink>
            <w:hyperlink w:anchor="i856219a00d6c40a78489e848bcd0a3cd_13">
              <w:r>
                <w:rPr>
                  <w:rStyle w:val="InternetLink"/>
                  <w:rFonts w:ascii="Times New Roman;sans-serif" w:hAnsi="Times New Roman;sans-serif"/>
                  <w:b w:val="false"/>
                  <w:color w:val="000080"/>
                  <w:sz w:val="18"/>
                  <w:u w:val="single"/>
                </w:rPr>
                <w:t>June 30</w:t>
              </w:r>
            </w:hyperlink>
            <w:hyperlink w:anchor="i856219a00d6c40a78489e848bcd0a3cd_13">
              <w:r>
                <w:rPr>
                  <w:rStyle w:val="InternetLink"/>
                  <w:rFonts w:ascii="Times New Roman;sans-serif" w:hAnsi="Times New Roman;sans-serif"/>
                  <w:b w:val="false"/>
                  <w:color w:val="000080"/>
                  <w:sz w:val="18"/>
                  <w:u w:val="single"/>
                </w:rPr>
                <w:t>, 2023 and December 31, 2022</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13">
              <w:r>
                <w:rPr>
                  <w:rStyle w:val="InternetLink"/>
                  <w:rFonts w:ascii="Times New Roman;sans-serif" w:hAnsi="Times New Roman;sans-serif"/>
                  <w:b w:val="false"/>
                  <w:strike w:val="false"/>
                  <w:dstrike w:val="false"/>
                  <w:color w:val="0000FF"/>
                  <w:sz w:val="18"/>
                  <w:u w:val="none"/>
                  <w:effect w:val="none"/>
                </w:rPr>
                <w:t>1</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19">
              <w:r>
                <w:rPr>
                  <w:rStyle w:val="InternetLink"/>
                  <w:rFonts w:ascii="Times New Roman;sans-serif" w:hAnsi="Times New Roman;sans-serif"/>
                  <w:b w:val="false"/>
                  <w:color w:val="000080"/>
                  <w:sz w:val="18"/>
                  <w:u w:val="single"/>
                </w:rPr>
                <w:t xml:space="preserve">Condensed Consolidated Statements of Comprehensive Income </w:t>
              </w:r>
            </w:hyperlink>
            <w:hyperlink w:anchor="i856219a00d6c40a78489e848bcd0a3cd_19">
              <w:r>
                <w:rPr>
                  <w:rStyle w:val="InternetLink"/>
                  <w:rFonts w:ascii="Times New Roman;sans-serif" w:hAnsi="Times New Roman;sans-serif"/>
                  <w:b w:val="false"/>
                  <w:color w:val="000080"/>
                  <w:sz w:val="18"/>
                  <w:u w:val="single"/>
                </w:rPr>
                <w:t>(Loss</w:t>
              </w:r>
            </w:hyperlink>
            <w:hyperlink w:anchor="i856219a00d6c40a78489e848bcd0a3cd_19">
              <w:r>
                <w:rPr>
                  <w:rStyle w:val="InternetLink"/>
                  <w:rFonts w:ascii="Times New Roman;sans-serif" w:hAnsi="Times New Roman;sans-serif"/>
                  <w:b w:val="false"/>
                  <w:color w:val="000080"/>
                  <w:sz w:val="18"/>
                  <w:u w:val="single"/>
                </w:rPr>
                <w:t xml:space="preserve">) </w:t>
              </w:r>
            </w:hyperlink>
            <w:hyperlink w:anchor="i856219a00d6c40a78489e848bcd0a3cd_19">
              <w:r>
                <w:rPr>
                  <w:rStyle w:val="InternetLink"/>
                  <w:rFonts w:ascii="Times New Roman;sans-serif" w:hAnsi="Times New Roman;sans-serif"/>
                  <w:b w:val="false"/>
                  <w:color w:val="000080"/>
                  <w:sz w:val="18"/>
                  <w:u w:val="single"/>
                </w:rPr>
                <w:t>for the Three</w:t>
              </w:r>
            </w:hyperlink>
            <w:hyperlink w:anchor="i856219a00d6c40a78489e848bcd0a3cd_19">
              <w:r>
                <w:rPr>
                  <w:rStyle w:val="InternetLink"/>
                  <w:rFonts w:ascii="Times New Roman;sans-serif" w:hAnsi="Times New Roman;sans-serif"/>
                  <w:b w:val="false"/>
                  <w:color w:val="000080"/>
                  <w:sz w:val="18"/>
                  <w:u w:val="single"/>
                </w:rPr>
                <w:t xml:space="preserve"> and Six</w:t>
              </w:r>
            </w:hyperlink>
            <w:hyperlink w:anchor="i856219a00d6c40a78489e848bcd0a3cd_19">
              <w:r>
                <w:rPr>
                  <w:rStyle w:val="InternetLink"/>
                  <w:rFonts w:ascii="Times New Roman;sans-serif" w:hAnsi="Times New Roman;sans-serif"/>
                  <w:b w:val="false"/>
                  <w:color w:val="000080"/>
                  <w:sz w:val="18"/>
                  <w:u w:val="single"/>
                </w:rPr>
                <w:t xml:space="preserve"> Months Ended </w:t>
              </w:r>
            </w:hyperlink>
            <w:hyperlink w:anchor="i856219a00d6c40a78489e848bcd0a3cd_19">
              <w:r>
                <w:rPr>
                  <w:rStyle w:val="InternetLink"/>
                  <w:rFonts w:ascii="Times New Roman;sans-serif" w:hAnsi="Times New Roman;sans-serif"/>
                  <w:b w:val="false"/>
                  <w:color w:val="000080"/>
                  <w:sz w:val="18"/>
                  <w:u w:val="single"/>
                </w:rPr>
                <w:t>June 30</w:t>
              </w:r>
            </w:hyperlink>
            <w:hyperlink w:anchor="i856219a00d6c40a78489e848bcd0a3cd_19">
              <w:r>
                <w:rPr>
                  <w:rStyle w:val="InternetLink"/>
                  <w:rFonts w:ascii="Times New Roman;sans-serif" w:hAnsi="Times New Roman;sans-serif"/>
                  <w:b w:val="false"/>
                  <w:color w:val="000080"/>
                  <w:sz w:val="18"/>
                  <w:u w:val="single"/>
                </w:rPr>
                <w:t>, 2023 and 2022</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19">
              <w:r>
                <w:rPr>
                  <w:rStyle w:val="InternetLink"/>
                  <w:rFonts w:ascii="Times New Roman;sans-serif" w:hAnsi="Times New Roman;sans-serif"/>
                  <w:b w:val="false"/>
                  <w:strike w:val="false"/>
                  <w:dstrike w:val="false"/>
                  <w:color w:val="0000FF"/>
                  <w:sz w:val="18"/>
                  <w:u w:val="none"/>
                  <w:effect w:val="none"/>
                </w:rPr>
                <w:t>2</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22">
              <w:r>
                <w:rPr>
                  <w:rStyle w:val="InternetLink"/>
                  <w:rFonts w:ascii="Times New Roman;sans-serif" w:hAnsi="Times New Roman;sans-serif"/>
                  <w:b w:val="false"/>
                  <w:color w:val="000080"/>
                  <w:sz w:val="18"/>
                  <w:u w:val="single"/>
                </w:rPr>
                <w:t xml:space="preserve">Condensed Consolidated Statements of Stockholders’ Equity for the Three </w:t>
              </w:r>
            </w:hyperlink>
            <w:hyperlink w:anchor="i856219a00d6c40a78489e848bcd0a3cd_22">
              <w:r>
                <w:rPr>
                  <w:rStyle w:val="InternetLink"/>
                  <w:rFonts w:ascii="Times New Roman;sans-serif" w:hAnsi="Times New Roman;sans-serif"/>
                  <w:b w:val="false"/>
                  <w:color w:val="000080"/>
                  <w:sz w:val="18"/>
                  <w:u w:val="single"/>
                </w:rPr>
                <w:t xml:space="preserve">and Six </w:t>
              </w:r>
            </w:hyperlink>
            <w:hyperlink w:anchor="i856219a00d6c40a78489e848bcd0a3cd_22">
              <w:r>
                <w:rPr>
                  <w:rStyle w:val="InternetLink"/>
                  <w:rFonts w:ascii="Times New Roman;sans-serif" w:hAnsi="Times New Roman;sans-serif"/>
                  <w:b w:val="false"/>
                  <w:color w:val="000080"/>
                  <w:sz w:val="18"/>
                  <w:u w:val="single"/>
                </w:rPr>
                <w:t xml:space="preserve">Months Ended </w:t>
              </w:r>
            </w:hyperlink>
            <w:hyperlink w:anchor="i856219a00d6c40a78489e848bcd0a3cd_22">
              <w:r>
                <w:rPr>
                  <w:rStyle w:val="InternetLink"/>
                  <w:rFonts w:ascii="Times New Roman;sans-serif" w:hAnsi="Times New Roman;sans-serif"/>
                  <w:b w:val="false"/>
                  <w:color w:val="000080"/>
                  <w:sz w:val="18"/>
                  <w:u w:val="single"/>
                </w:rPr>
                <w:t>June 30</w:t>
              </w:r>
            </w:hyperlink>
            <w:hyperlink w:anchor="i856219a00d6c40a78489e848bcd0a3cd_22">
              <w:r>
                <w:rPr>
                  <w:rStyle w:val="InternetLink"/>
                  <w:rFonts w:ascii="Times New Roman;sans-serif" w:hAnsi="Times New Roman;sans-serif"/>
                  <w:b w:val="false"/>
                  <w:color w:val="000080"/>
                  <w:sz w:val="18"/>
                  <w:u w:val="single"/>
                </w:rPr>
                <w:t>, 2023 and 2022</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22">
              <w:r>
                <w:rPr>
                  <w:rStyle w:val="InternetLink"/>
                  <w:rFonts w:ascii="Times New Roman;sans-serif" w:hAnsi="Times New Roman;sans-serif"/>
                  <w:b w:val="false"/>
                  <w:strike w:val="false"/>
                  <w:dstrike w:val="false"/>
                  <w:color w:val="0000FF"/>
                  <w:sz w:val="18"/>
                  <w:u w:val="none"/>
                  <w:effect w:val="none"/>
                </w:rPr>
                <w:t>3</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31">
              <w:r>
                <w:rPr>
                  <w:rStyle w:val="InternetLink"/>
                  <w:rFonts w:ascii="Times New Roman;sans-serif" w:hAnsi="Times New Roman;sans-serif"/>
                  <w:b w:val="false"/>
                  <w:color w:val="000080"/>
                  <w:sz w:val="18"/>
                  <w:u w:val="single"/>
                </w:rPr>
                <w:t xml:space="preserve">Condensed Consolidated Statements of Cash Flows for the </w:t>
              </w:r>
            </w:hyperlink>
            <w:hyperlink w:anchor="i856219a00d6c40a78489e848bcd0a3cd_31">
              <w:r>
                <w:rPr>
                  <w:rStyle w:val="InternetLink"/>
                  <w:rFonts w:ascii="Times New Roman;sans-serif" w:hAnsi="Times New Roman;sans-serif"/>
                  <w:b w:val="false"/>
                  <w:color w:val="000080"/>
                  <w:sz w:val="18"/>
                  <w:u w:val="single"/>
                </w:rPr>
                <w:t xml:space="preserve">Six </w:t>
              </w:r>
            </w:hyperlink>
            <w:hyperlink w:anchor="i856219a00d6c40a78489e848bcd0a3cd_31">
              <w:r>
                <w:rPr>
                  <w:rStyle w:val="InternetLink"/>
                  <w:rFonts w:ascii="Times New Roman;sans-serif" w:hAnsi="Times New Roman;sans-serif"/>
                  <w:b w:val="false"/>
                  <w:color w:val="000080"/>
                  <w:sz w:val="18"/>
                  <w:u w:val="single"/>
                </w:rPr>
                <w:t xml:space="preserve">Months Ended </w:t>
              </w:r>
            </w:hyperlink>
            <w:hyperlink w:anchor="i856219a00d6c40a78489e848bcd0a3cd_31">
              <w:r>
                <w:rPr>
                  <w:rStyle w:val="InternetLink"/>
                  <w:rFonts w:ascii="Times New Roman;sans-serif" w:hAnsi="Times New Roman;sans-serif"/>
                  <w:b w:val="false"/>
                  <w:color w:val="000080"/>
                  <w:sz w:val="18"/>
                  <w:u w:val="single"/>
                </w:rPr>
                <w:t>June 30</w:t>
              </w:r>
            </w:hyperlink>
            <w:hyperlink w:anchor="i856219a00d6c40a78489e848bcd0a3cd_31">
              <w:r>
                <w:rPr>
                  <w:rStyle w:val="InternetLink"/>
                  <w:rFonts w:ascii="Times New Roman;sans-serif" w:hAnsi="Times New Roman;sans-serif"/>
                  <w:b w:val="false"/>
                  <w:color w:val="000080"/>
                  <w:sz w:val="18"/>
                  <w:u w:val="single"/>
                </w:rPr>
                <w:t>, 2023 and 2022</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31">
              <w:r>
                <w:rPr>
                  <w:rStyle w:val="InternetLink"/>
                  <w:rFonts w:ascii="Times New Roman;sans-serif" w:hAnsi="Times New Roman;sans-serif"/>
                  <w:b w:val="false"/>
                  <w:strike w:val="false"/>
                  <w:dstrike w:val="false"/>
                  <w:color w:val="0000FF"/>
                  <w:sz w:val="18"/>
                  <w:u w:val="none"/>
                  <w:effect w:val="none"/>
                </w:rPr>
                <w:t>5</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34">
              <w:r>
                <w:rPr>
                  <w:rStyle w:val="InternetLink"/>
                  <w:rFonts w:ascii="Times New Roman;sans-serif" w:hAnsi="Times New Roman;sans-serif"/>
                  <w:b w:val="false"/>
                  <w:color w:val="0000FF"/>
                  <w:sz w:val="18"/>
                  <w:u w:val="single"/>
                </w:rPr>
                <w:t>Notes to Condensed Consolidated Financial Statements</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34">
              <w:r>
                <w:rPr>
                  <w:rStyle w:val="InternetLink"/>
                  <w:rFonts w:ascii="Times New Roman;sans-serif" w:hAnsi="Times New Roman;sans-serif"/>
                  <w:b w:val="false"/>
                  <w:strike w:val="false"/>
                  <w:dstrike w:val="false"/>
                  <w:color w:val="0000FF"/>
                  <w:sz w:val="18"/>
                  <w:u w:val="none"/>
                  <w:effect w:val="none"/>
                </w:rPr>
                <w:t>6</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94">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94">
              <w:r>
                <w:rPr>
                  <w:rStyle w:val="InternetLink"/>
                  <w:rFonts w:ascii="Times New Roman;sans-serif" w:hAnsi="Times New Roman;sans-serif"/>
                  <w:b w:val="false"/>
                  <w:strike w:val="false"/>
                  <w:dstrike w:val="false"/>
                  <w:color w:val="0000FF"/>
                  <w:sz w:val="18"/>
                  <w:u w:val="none"/>
                  <w:effect w:val="none"/>
                </w:rPr>
                <w:t>17</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136">
              <w:r>
                <w:rPr>
                  <w:rStyle w:val="InternetLink"/>
                  <w:rFonts w:ascii="Times New Roman;sans-serif" w:hAnsi="Times New Roman;sans-serif"/>
                  <w:b w:val="false"/>
                  <w:color w:val="0000FF"/>
                  <w:sz w:val="18"/>
                  <w:u w:val="single"/>
                </w:rPr>
                <w:t>Quantitative and Qualitative Disclosures About Market Risk</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136">
              <w:r>
                <w:rPr>
                  <w:rStyle w:val="InternetLink"/>
                  <w:rFonts w:ascii="Times New Roman;sans-serif" w:hAnsi="Times New Roman;sans-serif"/>
                  <w:b w:val="false"/>
                  <w:strike w:val="false"/>
                  <w:dstrike w:val="false"/>
                  <w:color w:val="0000FF"/>
                  <w:sz w:val="18"/>
                  <w:u w:val="none"/>
                  <w:effect w:val="none"/>
                </w:rPr>
                <w:t>26</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139">
              <w:r>
                <w:rPr>
                  <w:rStyle w:val="InternetLink"/>
                  <w:rFonts w:ascii="Times New Roman;sans-serif" w:hAnsi="Times New Roman;sans-serif"/>
                  <w:b w:val="false"/>
                  <w:color w:val="0000FF"/>
                  <w:sz w:val="18"/>
                  <w:u w:val="single"/>
                </w:rPr>
                <w:t>Controls and Procedures</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139">
              <w:r>
                <w:rPr>
                  <w:rStyle w:val="InternetLink"/>
                  <w:rFonts w:ascii="Times New Roman;sans-serif" w:hAnsi="Times New Roman;sans-serif"/>
                  <w:b w:val="false"/>
                  <w:strike w:val="false"/>
                  <w:dstrike w:val="false"/>
                  <w:color w:val="0000FF"/>
                  <w:sz w:val="18"/>
                  <w:u w:val="none"/>
                  <w:effect w:val="none"/>
                </w:rPr>
                <w:t>26</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142">
              <w:r>
                <w:rPr>
                  <w:rStyle w:val="InternetLink"/>
                  <w:rFonts w:ascii="Times New Roman;sans-serif" w:hAnsi="Times New Roman;sans-serif"/>
                  <w:b w:val="false"/>
                  <w:color w:val="0000FF"/>
                  <w:sz w:val="18"/>
                  <w:u w:val="single"/>
                </w:rPr>
                <w:t>OTHER INFORMATION</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142">
              <w:r>
                <w:rPr>
                  <w:rStyle w:val="InternetLink"/>
                  <w:rFonts w:ascii="Times New Roman;sans-serif" w:hAnsi="Times New Roman;sans-serif"/>
                  <w:b w:val="false"/>
                  <w:strike w:val="false"/>
                  <w:dstrike w:val="false"/>
                  <w:color w:val="0000FF"/>
                  <w:sz w:val="18"/>
                  <w:u w:val="none"/>
                  <w:effect w:val="none"/>
                </w:rPr>
                <w:t>28</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145">
              <w:r>
                <w:rPr>
                  <w:rStyle w:val="InternetLink"/>
                  <w:rFonts w:ascii="Times New Roman;sans-serif" w:hAnsi="Times New Roman;sans-serif"/>
                  <w:b w:val="false"/>
                  <w:color w:val="0000FF"/>
                  <w:sz w:val="18"/>
                  <w:u w:val="single"/>
                </w:rPr>
                <w:t>Legal Proceedings</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145">
              <w:r>
                <w:rPr>
                  <w:rStyle w:val="InternetLink"/>
                  <w:rFonts w:ascii="Times New Roman;sans-serif" w:hAnsi="Times New Roman;sans-serif"/>
                  <w:b w:val="false"/>
                  <w:strike w:val="false"/>
                  <w:dstrike w:val="false"/>
                  <w:color w:val="0000FF"/>
                  <w:sz w:val="18"/>
                  <w:u w:val="none"/>
                  <w:effect w:val="none"/>
                </w:rPr>
                <w:t>28</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148">
              <w:r>
                <w:rPr>
                  <w:rStyle w:val="InternetLink"/>
                  <w:rFonts w:ascii="Times New Roman;sans-serif" w:hAnsi="Times New Roman;sans-serif"/>
                  <w:b w:val="false"/>
                  <w:color w:val="0000FF"/>
                  <w:sz w:val="18"/>
                  <w:u w:val="single"/>
                </w:rPr>
                <w:t>Risk Factors</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148">
              <w:r>
                <w:rPr>
                  <w:rStyle w:val="InternetLink"/>
                  <w:rFonts w:ascii="Times New Roman;sans-serif" w:hAnsi="Times New Roman;sans-serif"/>
                  <w:b w:val="false"/>
                  <w:strike w:val="false"/>
                  <w:dstrike w:val="false"/>
                  <w:color w:val="0000FF"/>
                  <w:sz w:val="18"/>
                  <w:u w:val="none"/>
                  <w:effect w:val="none"/>
                </w:rPr>
                <w:t>28</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151">
              <w:r>
                <w:rPr>
                  <w:rStyle w:val="InternetLink"/>
                  <w:rFonts w:ascii="Times New Roman;sans-serif" w:hAnsi="Times New Roman;sans-serif"/>
                  <w:b w:val="false"/>
                  <w:color w:val="0000FF"/>
                  <w:sz w:val="18"/>
                  <w:u w:val="single"/>
                </w:rPr>
                <w:t>Unregistered Sales of Equity Securities and Use of Proceeds</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151">
              <w:r>
                <w:rPr>
                  <w:rStyle w:val="InternetLink"/>
                  <w:rFonts w:ascii="Times New Roman;sans-serif" w:hAnsi="Times New Roman;sans-serif"/>
                  <w:b w:val="false"/>
                  <w:strike w:val="false"/>
                  <w:dstrike w:val="false"/>
                  <w:color w:val="0000FF"/>
                  <w:sz w:val="18"/>
                  <w:u w:val="none"/>
                  <w:effect w:val="none"/>
                </w:rPr>
                <w:t>28</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154">
              <w:r>
                <w:rPr>
                  <w:rStyle w:val="InternetLink"/>
                  <w:rFonts w:ascii="Times New Roman;sans-serif" w:hAnsi="Times New Roman;sans-serif"/>
                  <w:b w:val="false"/>
                  <w:color w:val="0000FF"/>
                  <w:sz w:val="18"/>
                  <w:u w:val="single"/>
                </w:rPr>
                <w:t>Exhibits</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154">
              <w:r>
                <w:rPr>
                  <w:rStyle w:val="InternetLink"/>
                  <w:rFonts w:ascii="Times New Roman;sans-serif" w:hAnsi="Times New Roman;sans-serif"/>
                  <w:b w:val="false"/>
                  <w:strike w:val="false"/>
                  <w:dstrike w:val="false"/>
                  <w:color w:val="0000FF"/>
                  <w:sz w:val="18"/>
                  <w:u w:val="none"/>
                  <w:effect w:val="none"/>
                </w:rPr>
                <w:t>29</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1"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6219a00d6c40a78489e848bcd0a3cd_157">
              <w:r>
                <w:rPr>
                  <w:rStyle w:val="InternetLink"/>
                  <w:rFonts w:ascii="Times New Roman;sans-serif" w:hAnsi="Times New Roman;sans-serif"/>
                  <w:b w:val="false"/>
                  <w:color w:val="0000FF"/>
                  <w:sz w:val="18"/>
                  <w:u w:val="single"/>
                </w:rPr>
                <w:t>Signatures</w:t>
              </w:r>
            </w:hyperlink>
          </w:p>
        </w:tc>
        <w:tc>
          <w:tcPr>
            <w:tcW w:w="63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6219a00d6c40a78489e848bcd0a3cd_157">
              <w:r>
                <w:rPr>
                  <w:rStyle w:val="InternetLink"/>
                  <w:rFonts w:ascii="Times New Roman;sans-serif" w:hAnsi="Times New Roman;sans-serif"/>
                  <w:b w:val="false"/>
                  <w:strike w:val="false"/>
                  <w:dstrike w:val="false"/>
                  <w:color w:val="0000FF"/>
                  <w:sz w:val="18"/>
                  <w:u w:val="none"/>
                  <w:effect w:val="none"/>
                </w:rPr>
                <w:t>30</w:t>
              </w:r>
            </w:hyperlink>
          </w:p>
        </w:tc>
      </w:tr>
    </w:tbl>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par value and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95"/>
        <w:gridCol w:w="2258"/>
        <w:gridCol w:w="2253"/>
        <w:gridCol w:w="203"/>
        <w:gridCol w:w="762"/>
        <w:gridCol w:w="112"/>
        <w:gridCol w:w="109"/>
        <w:gridCol w:w="109"/>
        <w:gridCol w:w="109"/>
        <w:gridCol w:w="233"/>
        <w:gridCol w:w="875"/>
        <w:gridCol w:w="187"/>
      </w:tblGrid>
      <w:tr>
        <w:trPr/>
        <w:tc>
          <w:tcPr>
            <w:tcW w:w="2995"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 at fair value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income taxes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current assets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4,645 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58,192 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Noncurrent investments at fair value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right-of-use assets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assets, net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 of accumulated depreciation of $9,755 and $9,277</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assets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long-term assets</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86,219 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88,235 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142,105 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146,427 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and accrued liabilities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5,678 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payable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Compensation and benefits payable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17,614 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dividends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Contingent consideration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12,901 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Noncurrent operating lease liabilities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long-term liabilities</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18,165 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35,779 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11)</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Stockholders' Equity:</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authorized 25,000,000 shares, issued 11,896,226 and outstanding 9,182,770 shares at June 30, 2023; issued 11,527,544 and outstanding 8,881,831 shares at December 31, 2022</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200,885 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199,914 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7"/>
              </w:rPr>
            </w:pPr>
            <w:r>
              <w:rPr>
                <w:rFonts w:ascii="Times New Roman;sans-serif" w:hAnsi="Times New Roman;sans-serif"/>
                <w:b w:val="false"/>
                <w:color w:val="000000"/>
                <w:sz w:val="17"/>
              </w:rPr>
              <w:t>Treasury stock, at cost - 2,713,456 shares at June 30, 2023; 2,645,713 shares at December 31, 2022</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(85,965)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(85,128)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 (accumulated deficit)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Westwood Holdings Group, Inc. stockholders’ equity</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114,080 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110,648 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Noncontrolling interest in consolidated subsidiary</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equity</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115,099 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110,648 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and stockholders' equity</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142,105 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146,427 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840"/>
                <wp:effectExtent l="0" t="0" r="0" b="0"/>
                <wp:wrapNone/>
                <wp:docPr id="3" name="Frame3"/>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WESTWOOD HOLDINGS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per share data and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02"/>
        <w:gridCol w:w="1669"/>
        <w:gridCol w:w="1682"/>
        <w:gridCol w:w="202"/>
        <w:gridCol w:w="669"/>
        <w:gridCol w:w="109"/>
        <w:gridCol w:w="109"/>
        <w:gridCol w:w="109"/>
        <w:gridCol w:w="109"/>
        <w:gridCol w:w="202"/>
        <w:gridCol w:w="669"/>
        <w:gridCol w:w="109"/>
        <w:gridCol w:w="109"/>
        <w:gridCol w:w="109"/>
        <w:gridCol w:w="109"/>
        <w:gridCol w:w="202"/>
        <w:gridCol w:w="669"/>
        <w:gridCol w:w="109"/>
        <w:gridCol w:w="109"/>
        <w:gridCol w:w="109"/>
        <w:gridCol w:w="109"/>
        <w:gridCol w:w="202"/>
        <w:gridCol w:w="669"/>
        <w:gridCol w:w="160"/>
      </w:tblGrid>
      <w:tr>
        <w:trPr/>
        <w:tc>
          <w:tcPr>
            <w:tcW w:w="190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Advisory fees:</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Asset-based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Performance-based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fees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compensation and benefits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Westwood mutual funds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Information technology</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from change in fair value of contingent consideration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expenses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operating income (loss)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appreciation (depreciation) on private investments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comprehensive income (loss)</w:t>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(loss) attributable to noncontrolling interest</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 attributable to Westwood Holdings Group, Inc.</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share:</w:t>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outstanding:</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7,904,911 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7,904,911 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840"/>
                <wp:effectExtent l="0" t="0" r="0" b="0"/>
                <wp:wrapNone/>
                <wp:docPr id="4" name="Frame4"/>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June 30, 2023 and 2022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before="0" w:after="0"/>
        <w:jc w:val="center"/>
        <w:rPr/>
      </w:pPr>
      <w:r>
        <w:rPr/>
      </w:r>
    </w:p>
    <w:tbl>
      <w:tblPr>
        <w:tblW w:w="10294" w:type="dxa"/>
        <w:jc w:val="center"/>
        <w:tblInd w:w="0" w:type="dxa"/>
        <w:tblLayout w:type="fixed"/>
        <w:tblCellMar>
          <w:top w:w="28" w:type="dxa"/>
          <w:left w:w="28" w:type="dxa"/>
          <w:bottom w:w="28" w:type="dxa"/>
          <w:right w:w="28" w:type="dxa"/>
        </w:tblCellMar>
      </w:tblPr>
      <w:tblGrid>
        <w:gridCol w:w="427"/>
        <w:gridCol w:w="244"/>
        <w:gridCol w:w="245"/>
        <w:gridCol w:w="435"/>
        <w:gridCol w:w="436"/>
        <w:gridCol w:w="196"/>
        <w:gridCol w:w="109"/>
        <w:gridCol w:w="109"/>
        <w:gridCol w:w="109"/>
        <w:gridCol w:w="196"/>
        <w:gridCol w:w="421"/>
        <w:gridCol w:w="109"/>
        <w:gridCol w:w="109"/>
        <w:gridCol w:w="109"/>
        <w:gridCol w:w="109"/>
        <w:gridCol w:w="196"/>
        <w:gridCol w:w="736"/>
        <w:gridCol w:w="109"/>
        <w:gridCol w:w="109"/>
        <w:gridCol w:w="109"/>
        <w:gridCol w:w="109"/>
        <w:gridCol w:w="196"/>
        <w:gridCol w:w="661"/>
        <w:gridCol w:w="109"/>
        <w:gridCol w:w="109"/>
        <w:gridCol w:w="109"/>
        <w:gridCol w:w="109"/>
        <w:gridCol w:w="109"/>
        <w:gridCol w:w="109"/>
        <w:gridCol w:w="248"/>
        <w:gridCol w:w="724"/>
        <w:gridCol w:w="139"/>
        <w:gridCol w:w="109"/>
        <w:gridCol w:w="109"/>
        <w:gridCol w:w="109"/>
        <w:gridCol w:w="273"/>
        <w:gridCol w:w="775"/>
        <w:gridCol w:w="153"/>
        <w:gridCol w:w="109"/>
        <w:gridCol w:w="109"/>
        <w:gridCol w:w="109"/>
        <w:gridCol w:w="196"/>
        <w:gridCol w:w="736"/>
        <w:gridCol w:w="154"/>
      </w:tblGrid>
      <w:tr>
        <w:trPr/>
        <w:tc>
          <w:tcPr>
            <w:tcW w:w="4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9,212,390 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(29,620)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($0.15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June 30, 2023</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9,182,770 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42"/>
        <w:gridCol w:w="260"/>
        <w:gridCol w:w="261"/>
        <w:gridCol w:w="435"/>
        <w:gridCol w:w="436"/>
        <w:gridCol w:w="196"/>
        <w:gridCol w:w="109"/>
        <w:gridCol w:w="109"/>
        <w:gridCol w:w="109"/>
        <w:gridCol w:w="196"/>
        <w:gridCol w:w="422"/>
        <w:gridCol w:w="109"/>
        <w:gridCol w:w="109"/>
        <w:gridCol w:w="109"/>
        <w:gridCol w:w="109"/>
        <w:gridCol w:w="199"/>
        <w:gridCol w:w="750"/>
        <w:gridCol w:w="111"/>
        <w:gridCol w:w="109"/>
        <w:gridCol w:w="109"/>
        <w:gridCol w:w="109"/>
        <w:gridCol w:w="196"/>
        <w:gridCol w:w="664"/>
        <w:gridCol w:w="109"/>
        <w:gridCol w:w="109"/>
        <w:gridCol w:w="109"/>
        <w:gridCol w:w="109"/>
        <w:gridCol w:w="261"/>
        <w:gridCol w:w="742"/>
        <w:gridCol w:w="147"/>
        <w:gridCol w:w="109"/>
        <w:gridCol w:w="109"/>
        <w:gridCol w:w="109"/>
        <w:gridCol w:w="334"/>
        <w:gridCol w:w="691"/>
        <w:gridCol w:w="186"/>
        <w:gridCol w:w="109"/>
        <w:gridCol w:w="109"/>
        <w:gridCol w:w="109"/>
        <w:gridCol w:w="196"/>
        <w:gridCol w:w="736"/>
        <w:gridCol w:w="164"/>
      </w:tblGrid>
      <w:tr>
        <w:trPr/>
        <w:tc>
          <w:tcPr>
            <w:tcW w:w="4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8,575,451 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($0.15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treasury stock</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June 30, 2022</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8,511,014 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198,084 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115,718 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840"/>
                <wp:effectExtent l="0" t="0" r="0" b="0"/>
                <wp:wrapNone/>
                <wp:docPr id="5" name="Frame5"/>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Six Months Ended June 30, 2023 and 2022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before="0" w:after="0"/>
        <w:jc w:val="left"/>
        <w:rPr/>
      </w:pPr>
      <w:r>
        <w:rPr/>
      </w:r>
    </w:p>
    <w:tbl>
      <w:tblPr>
        <w:tblW w:w="10294" w:type="dxa"/>
        <w:jc w:val="left"/>
        <w:tblInd w:w="0" w:type="dxa"/>
        <w:tblLayout w:type="fixed"/>
        <w:tblCellMar>
          <w:top w:w="28" w:type="dxa"/>
          <w:left w:w="28" w:type="dxa"/>
          <w:bottom w:w="28" w:type="dxa"/>
          <w:right w:w="28" w:type="dxa"/>
        </w:tblCellMar>
      </w:tblPr>
      <w:tblGrid>
        <w:gridCol w:w="427"/>
        <w:gridCol w:w="244"/>
        <w:gridCol w:w="245"/>
        <w:gridCol w:w="435"/>
        <w:gridCol w:w="436"/>
        <w:gridCol w:w="196"/>
        <w:gridCol w:w="109"/>
        <w:gridCol w:w="109"/>
        <w:gridCol w:w="109"/>
        <w:gridCol w:w="196"/>
        <w:gridCol w:w="421"/>
        <w:gridCol w:w="109"/>
        <w:gridCol w:w="109"/>
        <w:gridCol w:w="109"/>
        <w:gridCol w:w="109"/>
        <w:gridCol w:w="196"/>
        <w:gridCol w:w="736"/>
        <w:gridCol w:w="109"/>
        <w:gridCol w:w="109"/>
        <w:gridCol w:w="109"/>
        <w:gridCol w:w="109"/>
        <w:gridCol w:w="196"/>
        <w:gridCol w:w="661"/>
        <w:gridCol w:w="109"/>
        <w:gridCol w:w="109"/>
        <w:gridCol w:w="109"/>
        <w:gridCol w:w="109"/>
        <w:gridCol w:w="109"/>
        <w:gridCol w:w="109"/>
        <w:gridCol w:w="248"/>
        <w:gridCol w:w="724"/>
        <w:gridCol w:w="139"/>
        <w:gridCol w:w="109"/>
        <w:gridCol w:w="109"/>
        <w:gridCol w:w="109"/>
        <w:gridCol w:w="273"/>
        <w:gridCol w:w="775"/>
        <w:gridCol w:w="153"/>
        <w:gridCol w:w="109"/>
        <w:gridCol w:w="109"/>
        <w:gridCol w:w="109"/>
        <w:gridCol w:w="196"/>
        <w:gridCol w:w="736"/>
        <w:gridCol w:w="154"/>
      </w:tblGrid>
      <w:tr>
        <w:trPr/>
        <w:tc>
          <w:tcPr>
            <w:tcW w:w="4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8,881,831 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Acquisition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forfeitures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368,682 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($0.30 per share)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June 30, 2023</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9,182,770 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42"/>
        <w:gridCol w:w="260"/>
        <w:gridCol w:w="261"/>
        <w:gridCol w:w="435"/>
        <w:gridCol w:w="436"/>
        <w:gridCol w:w="196"/>
        <w:gridCol w:w="109"/>
        <w:gridCol w:w="109"/>
        <w:gridCol w:w="109"/>
        <w:gridCol w:w="196"/>
        <w:gridCol w:w="422"/>
        <w:gridCol w:w="109"/>
        <w:gridCol w:w="109"/>
        <w:gridCol w:w="109"/>
        <w:gridCol w:w="109"/>
        <w:gridCol w:w="199"/>
        <w:gridCol w:w="750"/>
        <w:gridCol w:w="111"/>
        <w:gridCol w:w="109"/>
        <w:gridCol w:w="109"/>
        <w:gridCol w:w="109"/>
        <w:gridCol w:w="196"/>
        <w:gridCol w:w="664"/>
        <w:gridCol w:w="109"/>
        <w:gridCol w:w="109"/>
        <w:gridCol w:w="109"/>
        <w:gridCol w:w="109"/>
        <w:gridCol w:w="260"/>
        <w:gridCol w:w="742"/>
        <w:gridCol w:w="147"/>
        <w:gridCol w:w="109"/>
        <w:gridCol w:w="109"/>
        <w:gridCol w:w="109"/>
        <w:gridCol w:w="334"/>
        <w:gridCol w:w="691"/>
        <w:gridCol w:w="186"/>
        <w:gridCol w:w="109"/>
        <w:gridCol w:w="109"/>
        <w:gridCol w:w="109"/>
        <w:gridCol w:w="196"/>
        <w:gridCol w:w="736"/>
        <w:gridCol w:w="165"/>
      </w:tblGrid>
      <w:tr>
        <w:trPr/>
        <w:tc>
          <w:tcPr>
            <w:tcW w:w="4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8,253,491 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117,906 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401,203 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($0.30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treasury stock</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June 30, 2022</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8,511,014 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198,084 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115,718 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9069" w:type="dxa"/>
        <w:jc w:val="center"/>
        <w:tblInd w:w="0" w:type="dxa"/>
        <w:tblLayout w:type="fixed"/>
        <w:tblCellMar>
          <w:top w:w="28" w:type="dxa"/>
          <w:left w:w="28" w:type="dxa"/>
          <w:bottom w:w="28" w:type="dxa"/>
          <w:right w:w="28" w:type="dxa"/>
        </w:tblCellMar>
      </w:tblPr>
      <w:tblGrid>
        <w:gridCol w:w="2463"/>
        <w:gridCol w:w="2160"/>
        <w:gridCol w:w="2172"/>
        <w:gridCol w:w="196"/>
        <w:gridCol w:w="646"/>
        <w:gridCol w:w="109"/>
        <w:gridCol w:w="109"/>
        <w:gridCol w:w="109"/>
        <w:gridCol w:w="109"/>
        <w:gridCol w:w="196"/>
        <w:gridCol w:w="646"/>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 June 30,</w:t>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(appreciation) depreciation on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asset disposition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remeasurement of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change of contingent consideration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sales of trading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net of cash acquired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treasury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returned for payment of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currency rate changes on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CHANGE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CASH FLOW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dividends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purchases of treasury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840"/>
                <wp:effectExtent l="0" t="0" r="0" b="0"/>
                <wp:wrapNone/>
                <wp:docPr id="7" name="Frame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THE BUSINESS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Westwood Advisors, L.L.C. Salient Advisors, LP ("Salient") and its majority-owned subsidiary Broadmark Asset Management LLC ("Broadmark"), (referred to hereinafter together as “Westwood Management”), and Westwood Trust.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assets under advisement ("AUA"), and fluctuations in financial markets and in the composition of AUM and AUA impact our revenues and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Management is registered with the Securities and Exchange Commission ("SEC") as an investment adviser ("RIA") under the Investment Advisers Act of 1940. Westwood Trust is chartered and regulated by the Texas Department of Banking.</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Acquisition of Broadmark Asset Management LLC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acquired an additional 32% interest in Broadmark for $1.2 million (net of cash acquired), increasing our ownership of Broadmark to approximately 80%, which represents a controlling interest for financial statement consolidation purposes (the "Broadmark Acquisition"). Broadmark is a San Francisco-based RIA managing and/or sub-advising mutual funds, retail and institutional separately managed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left"/>
        <w:rPr/>
      </w:pPr>
      <w:r>
        <w:rPr>
          <w:color w:val="000000"/>
        </w:rPr>
        <w:t> </w:t>
      </w:r>
      <w:r>
        <w:rPr>
          <w:rFonts w:ascii="Times New Roman;sans-serif" w:hAnsi="Times New Roman;sans-serif"/>
          <w:b/>
          <w:color w:val="000000"/>
          <w:sz w:val="20"/>
        </w:rPr>
        <w:t xml:space="preserve">Basis of Presentation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should be read in conjunction with our Consolidated Financial Statements, and notes thereto, included in our Annual Report on Form 10-K for the year ended December 31, 2022.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BUSINESS COMBINATIONS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Broadmark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Westwood completed the Broadmark Acquisition in January 2023, giving Westwood a controlling interest and requiring an allocation of the Broadmark Acquisition purchase price. The total consideration recorded for accounting purposes consisted of $1.2 million in cash (net of cash acquired).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Broadmark Acquisition, Westwood had a $2.4 million equity method investment in Broadmark, the fair value of which was estimated using recent market transactions. Westwood's equity method investment was derecognized without gain or loss following the Broadmark Acquisition, however there was a corresponding increase to goodwill.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Broadmark Acquisition was accounted for using the acquisition method of accounting. Accordingly, the purchase price was allocated to tangible assets acquired and liabilities assumed based on their estimated fair values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date. The total consideration of $1.6 million has been allocated based on valuations of acquired assets and assumed liabilities in connection with the acquisition.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allocation of the Broadmark Acquisition purchase price was as follows (in thousands):</w:t>
      </w:r>
    </w:p>
    <w:tbl>
      <w:tblPr>
        <w:tblW w:w="7364" w:type="dxa"/>
        <w:jc w:val="left"/>
        <w:tblInd w:w="0" w:type="dxa"/>
        <w:tblLayout w:type="fixed"/>
        <w:tblCellMar>
          <w:top w:w="28" w:type="dxa"/>
          <w:left w:w="28" w:type="dxa"/>
          <w:bottom w:w="28" w:type="dxa"/>
          <w:right w:w="28" w:type="dxa"/>
        </w:tblCellMar>
      </w:tblPr>
      <w:tblGrid>
        <w:gridCol w:w="2205"/>
        <w:gridCol w:w="1936"/>
        <w:gridCol w:w="1948"/>
        <w:gridCol w:w="274"/>
        <w:gridCol w:w="782"/>
        <w:gridCol w:w="219"/>
      </w:tblGrid>
      <w:tr>
        <w:trPr/>
        <w:tc>
          <w:tcPr>
            <w:tcW w:w="2205"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acquired</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net of cash acquired</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Westwood's investment in Broadmark before the business combination</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noncontrolling interest in Broadmark</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Identifiable Net Assets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Goodwill</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owns approximately 80% of Broadmark's equity and accordingly we recognized $1.0 million of a noncontrolling interest in a consolidated subsidiary. Fair value of this interest was estimated using recent market transactions.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the Broadmark Acquisition, the Company believed that its expanded operational opportunities, enhanced range of investment strategies and expected realization of synergies were the primary factors that contributed to a total purchase price that resulted in the recognition of goodwill. Goodwill arising from the Broadmark acquisition is not expected to be deductible for tax purposes.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the Company has included $1.1 million of revenue and $0.1 million of net income related to Broadmark in its Condensed Consolidated Statements of Comprehensive Income (Loss). For the six months ended June 30, 2023, the Company has included $2.3 million of revenue and $0.1 million of net income related to Broadmark in its Condensed Consolidated Statements of Comprehensive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results of operations for the three and six months ended June 30, 2023 and 2022 assume the Broadmark Acquisition had occurred as of January 1, 2022. This unaudited pro forma information should not be relied upon as being necessarily indicative of the historical results that would have been obtained if the Broadmark Acquisition had actually occurred on that date, nor of results that may be obtained in the future.</w:t>
      </w:r>
    </w:p>
    <w:p>
      <w:pPr>
        <w:pStyle w:val="TextBody"/>
        <w:bidi w:val="0"/>
        <w:spacing w:before="0" w:after="0"/>
        <w:jc w:val="left"/>
        <w:rPr/>
      </w:pPr>
      <w:r>
        <w:rPr/>
      </w:r>
    </w:p>
    <w:tbl>
      <w:tblPr>
        <w:tblW w:w="6424" w:type="dxa"/>
        <w:jc w:val="left"/>
        <w:tblInd w:w="0" w:type="dxa"/>
        <w:tblLayout w:type="fixed"/>
        <w:tblCellMar>
          <w:top w:w="28" w:type="dxa"/>
          <w:left w:w="28" w:type="dxa"/>
          <w:bottom w:w="28" w:type="dxa"/>
          <w:right w:w="28" w:type="dxa"/>
        </w:tblCellMar>
      </w:tblPr>
      <w:tblGrid>
        <w:gridCol w:w="499"/>
        <w:gridCol w:w="440"/>
        <w:gridCol w:w="441"/>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120" w:after="283"/>
        <w:jc w:val="left"/>
        <w:rPr/>
      </w:pPr>
      <w:r>
        <w:rPr>
          <w:rFonts w:ascii="Times New Roman;sans-serif" w:hAnsi="Times New Roman;sans-serif"/>
          <w:b w:val="false"/>
          <w:color w:val="000000"/>
          <w:sz w:val="20"/>
        </w:rPr>
        <w:t>money investments into new investment strategies. The "Other, net” revenues on our Condensed Consolidated Statements of Comprehensive Income (Loss) are the unrealized gains and losses</w:t>
      </w:r>
      <w:r>
        <w:rPr>
          <w:color w:val="000000"/>
        </w:rPr>
        <w:t xml:space="preserve"> </w:t>
      </w:r>
      <w:r>
        <w:rPr>
          <w:rFonts w:ascii="Times New Roman;sans-serif" w:hAnsi="Times New Roman;sans-serif"/>
          <w:b w:val="false"/>
          <w:color w:val="000000"/>
          <w:sz w:val="20"/>
        </w:rPr>
        <w:t xml:space="preserve">on our seed money investments, and our seed money investments are included in "Investments, at fair value" on our Condensed Consolidated Balance Sheets. Advisory and trust fees are calculated based on a percentage of AUM or AUA, as applicable, and the performance obligation is realized over the current calendar quarter. Once clients receive our investment advisory services, we have an enforceable right to payment. </w:t>
      </w:r>
    </w:p>
    <w:p>
      <w:pPr>
        <w:pStyle w:val="TextBody"/>
        <w:bidi w:val="0"/>
        <w:spacing w:lineRule="auto" w:line="288" w:before="120" w:after="283"/>
        <w:jc w:val="left"/>
        <w:rPr/>
      </w:pPr>
      <w:r>
        <w:rPr>
          <w:rFonts w:ascii="Times New Roman;sans-serif" w:hAnsi="Times New Roman;sans-serif"/>
          <w:b/>
          <w:color w:val="000000"/>
          <w:sz w:val="20"/>
        </w:rPr>
        <w:t>Advisory Fee Revenues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Arrangements with Performance-Based Obligations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Trust Fee Revenues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fee revenues.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 Disaggregated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Sales taxes are excluded from revenues. The following table presents our revenue disaggregated by account type (in thousands).</w:t>
      </w:r>
    </w:p>
    <w:tbl>
      <w:tblPr>
        <w:tblW w:w="7038" w:type="dxa"/>
        <w:jc w:val="left"/>
        <w:tblInd w:w="0" w:type="dxa"/>
        <w:tblLayout w:type="fixed"/>
        <w:tblCellMar>
          <w:top w:w="28" w:type="dxa"/>
          <w:left w:w="28" w:type="dxa"/>
          <w:bottom w:w="28" w:type="dxa"/>
          <w:right w:w="28" w:type="dxa"/>
        </w:tblCellMar>
      </w:tblPr>
      <w:tblGrid>
        <w:gridCol w:w="657"/>
        <w:gridCol w:w="577"/>
        <w:gridCol w:w="581"/>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 Fees: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Fees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serve clients primarily in the United States, as well as in certain international locations. The following table presents our revenue disaggregated by our clients' geographical locations (in thousands):</w:t>
      </w:r>
    </w:p>
    <w:tbl>
      <w:tblPr>
        <w:tblW w:w="7913" w:type="dxa"/>
        <w:jc w:val="left"/>
        <w:tblInd w:w="0" w:type="dxa"/>
        <w:tblLayout w:type="fixed"/>
        <w:tblCellMar>
          <w:top w:w="28" w:type="dxa"/>
          <w:left w:w="28" w:type="dxa"/>
          <w:bottom w:w="28" w:type="dxa"/>
          <w:right w:w="28" w:type="dxa"/>
        </w:tblCellMar>
      </w:tblPr>
      <w:tblGrid>
        <w:gridCol w:w="1037"/>
        <w:gridCol w:w="910"/>
        <w:gridCol w:w="918"/>
        <w:gridCol w:w="211"/>
        <w:gridCol w:w="721"/>
        <w:gridCol w:w="109"/>
        <w:gridCol w:w="109"/>
        <w:gridCol w:w="109"/>
        <w:gridCol w:w="109"/>
        <w:gridCol w:w="211"/>
        <w:gridCol w:w="616"/>
        <w:gridCol w:w="109"/>
        <w:gridCol w:w="109"/>
        <w:gridCol w:w="109"/>
        <w:gridCol w:w="109"/>
        <w:gridCol w:w="109"/>
        <w:gridCol w:w="109"/>
        <w:gridCol w:w="211"/>
        <w:gridCol w:w="466"/>
        <w:gridCol w:w="109"/>
        <w:gridCol w:w="109"/>
        <w:gridCol w:w="109"/>
        <w:gridCol w:w="109"/>
        <w:gridCol w:w="211"/>
        <w:gridCol w:w="72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88" w:type="dxa"/>
        <w:jc w:val="center"/>
        <w:tblInd w:w="0" w:type="dxa"/>
        <w:tblLayout w:type="fixed"/>
        <w:tblCellMar>
          <w:top w:w="28" w:type="dxa"/>
          <w:left w:w="28" w:type="dxa"/>
          <w:bottom w:w="28" w:type="dxa"/>
          <w:right w:w="28" w:type="dxa"/>
        </w:tblCellMar>
      </w:tblPr>
      <w:tblGrid>
        <w:gridCol w:w="1037"/>
        <w:gridCol w:w="910"/>
        <w:gridCol w:w="918"/>
        <w:gridCol w:w="211"/>
        <w:gridCol w:w="721"/>
        <w:gridCol w:w="109"/>
        <w:gridCol w:w="109"/>
        <w:gridCol w:w="109"/>
        <w:gridCol w:w="109"/>
        <w:gridCol w:w="211"/>
        <w:gridCol w:w="616"/>
        <w:gridCol w:w="109"/>
        <w:gridCol w:w="109"/>
        <w:gridCol w:w="109"/>
        <w:gridCol w:w="109"/>
        <w:gridCol w:w="109"/>
        <w:gridCol w:w="109"/>
        <w:gridCol w:w="211"/>
        <w:gridCol w:w="541"/>
        <w:gridCol w:w="109"/>
        <w:gridCol w:w="109"/>
        <w:gridCol w:w="109"/>
        <w:gridCol w:w="109"/>
        <w:gridCol w:w="211"/>
        <w:gridCol w:w="72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07" w:type="dxa"/>
        <w:jc w:val="left"/>
        <w:tblInd w:w="0" w:type="dxa"/>
        <w:tblLayout w:type="fixed"/>
        <w:tblCellMar>
          <w:top w:w="28" w:type="dxa"/>
          <w:left w:w="28" w:type="dxa"/>
          <w:bottom w:w="28" w:type="dxa"/>
          <w:right w:w="28" w:type="dxa"/>
        </w:tblCellMar>
      </w:tblPr>
      <w:tblGrid>
        <w:gridCol w:w="961"/>
        <w:gridCol w:w="843"/>
        <w:gridCol w:w="850"/>
        <w:gridCol w:w="211"/>
        <w:gridCol w:w="721"/>
        <w:gridCol w:w="109"/>
        <w:gridCol w:w="109"/>
        <w:gridCol w:w="109"/>
        <w:gridCol w:w="109"/>
        <w:gridCol w:w="211"/>
        <w:gridCol w:w="721"/>
        <w:gridCol w:w="109"/>
        <w:gridCol w:w="109"/>
        <w:gridCol w:w="109"/>
        <w:gridCol w:w="109"/>
        <w:gridCol w:w="109"/>
        <w:gridCol w:w="109"/>
        <w:gridCol w:w="211"/>
        <w:gridCol w:w="466"/>
        <w:gridCol w:w="109"/>
        <w:gridCol w:w="109"/>
        <w:gridCol w:w="109"/>
        <w:gridCol w:w="10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32" w:type="dxa"/>
        <w:jc w:val="left"/>
        <w:tblInd w:w="0" w:type="dxa"/>
        <w:tblLayout w:type="fixed"/>
        <w:tblCellMar>
          <w:top w:w="28" w:type="dxa"/>
          <w:left w:w="28" w:type="dxa"/>
          <w:bottom w:w="28" w:type="dxa"/>
          <w:right w:w="28" w:type="dxa"/>
        </w:tblCellMar>
      </w:tblPr>
      <w:tblGrid>
        <w:gridCol w:w="961"/>
        <w:gridCol w:w="843"/>
        <w:gridCol w:w="850"/>
        <w:gridCol w:w="211"/>
        <w:gridCol w:w="721"/>
        <w:gridCol w:w="109"/>
        <w:gridCol w:w="109"/>
        <w:gridCol w:w="109"/>
        <w:gridCol w:w="109"/>
        <w:gridCol w:w="211"/>
        <w:gridCol w:w="721"/>
        <w:gridCol w:w="109"/>
        <w:gridCol w:w="109"/>
        <w:gridCol w:w="109"/>
        <w:gridCol w:w="109"/>
        <w:gridCol w:w="109"/>
        <w:gridCol w:w="109"/>
        <w:gridCol w:w="211"/>
        <w:gridCol w:w="691"/>
        <w:gridCol w:w="109"/>
        <w:gridCol w:w="109"/>
        <w:gridCol w:w="109"/>
        <w:gridCol w:w="10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5. SEGMENT REPORTING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operating decision maker, our Chief Executive Officer, evaluates the performance of our segments based primarily on fee revenues and Economic Earnings, a non-GAAP measurement. 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that will ultimately require replacement. In addition, we do not adjust Economic Earnings for tax deductions related to restricted stock expense or amortization of intangible assets.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Advisory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Westwood Management, Salient and Broadmark provide investment advisory services to similar clients and are included in our Advisory segment.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Trust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Trust provides trust and custodial services and participation in common trust funds that it sponsors to institutions and high net worth individuals. Westwood Trust is included in our Trust segment.</w:t>
      </w:r>
    </w:p>
    <w:tbl>
      <w:tblPr>
        <w:tblW w:w="10155" w:type="dxa"/>
        <w:jc w:val="left"/>
        <w:tblInd w:w="0" w:type="dxa"/>
        <w:tblLayout w:type="fixed"/>
        <w:tblCellMar>
          <w:top w:w="28" w:type="dxa"/>
          <w:left w:w="28" w:type="dxa"/>
          <w:bottom w:w="28" w:type="dxa"/>
          <w:right w:w="28" w:type="dxa"/>
        </w:tblCellMar>
      </w:tblPr>
      <w:tblGrid>
        <w:gridCol w:w="1042"/>
        <w:gridCol w:w="915"/>
        <w:gridCol w:w="923"/>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901"/>
        <w:gridCol w:w="109"/>
        <w:gridCol w:w="109"/>
        <w:gridCol w:w="109"/>
        <w:gridCol w:w="109"/>
        <w:gridCol w:w="211"/>
        <w:gridCol w:w="82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Westwood</w:t>
              <w:br/>
              <w:t>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30, 2023 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30, 2023 segment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fee revenues from external 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30, 2022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30, 2022 segment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978"/>
        <w:gridCol w:w="842"/>
        <w:gridCol w:w="848"/>
        <w:gridCol w:w="109"/>
        <w:gridCol w:w="109"/>
        <w:gridCol w:w="109"/>
        <w:gridCol w:w="211"/>
        <w:gridCol w:w="721"/>
        <w:gridCol w:w="109"/>
        <w:gridCol w:w="109"/>
        <w:gridCol w:w="109"/>
        <w:gridCol w:w="109"/>
        <w:gridCol w:w="211"/>
        <w:gridCol w:w="721"/>
        <w:gridCol w:w="109"/>
        <w:gridCol w:w="109"/>
        <w:gridCol w:w="109"/>
        <w:gridCol w:w="109"/>
        <w:gridCol w:w="454"/>
        <w:gridCol w:w="875"/>
        <w:gridCol w:w="235"/>
        <w:gridCol w:w="109"/>
        <w:gridCol w:w="109"/>
        <w:gridCol w:w="109"/>
        <w:gridCol w:w="239"/>
        <w:gridCol w:w="717"/>
        <w:gridCol w:w="125"/>
        <w:gridCol w:w="109"/>
        <w:gridCol w:w="109"/>
        <w:gridCol w:w="109"/>
        <w:gridCol w:w="227"/>
        <w:gridCol w:w="777"/>
        <w:gridCol w:w="171"/>
      </w:tblGrid>
      <w:tr>
        <w:trPr/>
        <w:tc>
          <w:tcPr>
            <w:tcW w:w="97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Westwood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6. INVESTMENTS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Company has made strategic investments to enhance the services we provide to our customers.</w:t>
      </w:r>
      <w:r>
        <w:rPr>
          <w:color w:val="000000"/>
        </w:rPr>
        <w:t xml:space="preserve"> </w:t>
      </w:r>
      <w:r>
        <w:rPr>
          <w:rFonts w:ascii="Times New Roman;sans-serif" w:hAnsi="Times New Roman;sans-serif"/>
          <w:b w:val="false"/>
          <w:color w:val="000000"/>
          <w:sz w:val="20"/>
        </w:rPr>
        <w:t>Each of these investments is discussed below.</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u w:val="single"/>
        </w:rPr>
        <w:t>InvestCloud</w:t>
      </w:r>
      <w:r>
        <w:rPr>
          <w:rFonts w:ascii="Times New Roman;sans-serif" w:hAnsi="Times New Roman;sans-serif"/>
          <w:b w:val="false"/>
          <w:color w:val="000000"/>
          <w:sz w:val="20"/>
        </w:rPr>
        <w:t xml:space="preserve">. During 2018, we made a strategic investment in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 Following InvestCloud's recapitalization in the first quarter of 2021, we re-invested $4.4 million of our proceeds into newly-issued shares of InvestCloud.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u w:val="single"/>
        </w:rPr>
        <w:t>Charis</w:t>
      </w:r>
      <w:r>
        <w:rPr>
          <w:rFonts w:ascii="Times New Roman;sans-serif" w:hAnsi="Times New Roman;sans-serif"/>
          <w:b w:val="false"/>
          <w:color w:val="000000"/>
          <w:sz w:val="20"/>
        </w:rPr>
        <w:t>. Our investment in Charis was included in “Noncurrent investments at fair value” on our December 31, 2022 Condensed Consolidated Balance Sheets and was measured at fair value on a recurring basis. On April 3, 2023, Charis was acquired by Vista Bank ("Vista") in a transaction in which the Company traded its shares in Charis for shares in Vista.</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u w:val="single"/>
        </w:rPr>
        <w:t>Vista</w:t>
      </w:r>
      <w:r>
        <w:rPr>
          <w:rFonts w:ascii="Times New Roman;sans-serif" w:hAnsi="Times New Roman;sans-serif"/>
          <w:b w:val="false"/>
          <w:color w:val="000000"/>
          <w:sz w:val="20"/>
        </w:rPr>
        <w:t>. Our investment in Vista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u w:val="single"/>
        </w:rPr>
        <w:t>Private Equity Funding</w:t>
      </w:r>
      <w:r>
        <w:rPr>
          <w:rFonts w:ascii="Times New Roman;sans-serif" w:hAnsi="Times New Roman;sans-serif"/>
          <w:b w:val="false"/>
          <w:color w:val="000000"/>
          <w:sz w:val="20"/>
        </w:rPr>
        <w:t>. In 2019, we made a $0.3 million investment in Westwood Hospitality. Our investment is included in “Noncurrent investments at fair value” on our Condensed Consolidated Balance Sheets, and it is measured at fair value on a recurring basis using net asset value ("NAV") as a practical expedient.</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u w:val="single"/>
        </w:rPr>
        <w:t>Zarvona Energy Fund GP, L.P. and Zarvona Energy Fund II-A, L.P.</w:t>
      </w:r>
      <w:r>
        <w:rPr>
          <w:color w:val="000000"/>
        </w:rPr>
        <w:t xml:space="preserve"> </w:t>
      </w:r>
      <w:r>
        <w:rPr>
          <w:rFonts w:ascii="Times New Roman;sans-serif" w:hAnsi="Times New Roman;sans-serif"/>
          <w:b w:val="false"/>
          <w:color w:val="000000"/>
          <w:sz w:val="20"/>
        </w:rPr>
        <w:t>These investments represent ownership interests in non-controlled partnerships. These investments are included in “Equity method investments” on our Condensed Consolidated Balance Sheets and are measured based on our share of the net earnings or losses of the investees.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u w:val="single"/>
        </w:rPr>
        <w:t>Broadmark Asset Management LLC</w:t>
      </w:r>
      <w:r>
        <w:rPr>
          <w:rFonts w:ascii="Times New Roman;sans-serif" w:hAnsi="Times New Roman;sans-serif"/>
          <w:b w:val="false"/>
          <w:color w:val="000000"/>
          <w:sz w:val="20"/>
        </w:rPr>
        <w:t>. This investment represented a 47.5% ownership interest in a non-controlled corporation prior to the Broadmark Acquisition in 2023. This investment is included in “Equity method investments” on our Condensed Consolidated Balance Sheets at December 31, 2022. In January 2023, as a result of the Broadmark Acquisition, we acquired additional equity interests in Broadmark and accounted for that investment as a consolidated subsidiary.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All other investments are carried at fair value on a recurring basis and are accounted for as trading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carried at fair value are presented in the table below (in thousands): </w:t>
      </w:r>
    </w:p>
    <w:tbl>
      <w:tblPr>
        <w:tblW w:w="9876" w:type="dxa"/>
        <w:jc w:val="left"/>
        <w:tblInd w:w="0" w:type="dxa"/>
        <w:tblLayout w:type="fixed"/>
        <w:tblCellMar>
          <w:top w:w="28" w:type="dxa"/>
          <w:left w:w="28" w:type="dxa"/>
          <w:bottom w:w="28" w:type="dxa"/>
          <w:right w:w="28" w:type="dxa"/>
        </w:tblCellMar>
      </w:tblPr>
      <w:tblGrid>
        <w:gridCol w:w="1627"/>
        <w:gridCol w:w="1426"/>
        <w:gridCol w:w="1446"/>
        <w:gridCol w:w="109"/>
        <w:gridCol w:w="109"/>
        <w:gridCol w:w="109"/>
        <w:gridCol w:w="211"/>
        <w:gridCol w:w="721"/>
        <w:gridCol w:w="109"/>
        <w:gridCol w:w="109"/>
        <w:gridCol w:w="109"/>
        <w:gridCol w:w="109"/>
        <w:gridCol w:w="249"/>
        <w:gridCol w:w="551"/>
        <w:gridCol w:w="131"/>
        <w:gridCol w:w="109"/>
        <w:gridCol w:w="109"/>
        <w:gridCol w:w="109"/>
        <w:gridCol w:w="211"/>
        <w:gridCol w:w="691"/>
        <w:gridCol w:w="109"/>
        <w:gridCol w:w="109"/>
        <w:gridCol w:w="109"/>
        <w:gridCol w:w="109"/>
        <w:gridCol w:w="211"/>
        <w:gridCol w:w="721"/>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w:t>
              <w:br/>
              <w:t>Value</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agency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Exchange-traded bond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carried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agency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Exchange-traded bond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investments shown below are included in our Condensed Consolidated Balance Sheets as Equity method investments, as follows (in thousands):</w:t>
      </w:r>
    </w:p>
    <w:tbl>
      <w:tblPr>
        <w:tblW w:w="8370" w:type="dxa"/>
        <w:jc w:val="left"/>
        <w:tblInd w:w="0" w:type="dxa"/>
        <w:tblLayout w:type="fixed"/>
        <w:tblCellMar>
          <w:top w:w="28" w:type="dxa"/>
          <w:left w:w="28" w:type="dxa"/>
          <w:bottom w:w="28" w:type="dxa"/>
          <w:right w:w="28" w:type="dxa"/>
        </w:tblCellMar>
      </w:tblPr>
      <w:tblGrid>
        <w:gridCol w:w="1221"/>
        <w:gridCol w:w="1073"/>
        <w:gridCol w:w="1080"/>
        <w:gridCol w:w="284"/>
        <w:gridCol w:w="829"/>
        <w:gridCol w:w="146"/>
        <w:gridCol w:w="255"/>
        <w:gridCol w:w="256"/>
        <w:gridCol w:w="533"/>
        <w:gridCol w:w="109"/>
        <w:gridCol w:w="109"/>
        <w:gridCol w:w="109"/>
        <w:gridCol w:w="284"/>
        <w:gridCol w:w="830"/>
        <w:gridCol w:w="145"/>
        <w:gridCol w:w="255"/>
        <w:gridCol w:w="256"/>
        <w:gridCol w:w="596"/>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Zarvona Energy Fund GP, L.P.</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Zarvona Energy Fund II-A, L.P.</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Broadmark Asset Management LLC</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MLP Total Return Fund, L.P.</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MLP Total Return TE Fund, L.P.</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7. FAIR VALUE MEASUREMENTS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ASC 820, Fair Value Measurements, defines fair value, establishes a framework for measuring fair value and requires disclosures regarding certain fair value measurements. ASC 820 establishes a three-tier hierarchy for measuring fair value, as follows: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Level 1 – quoted market prices in active markets for identical assets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Level 2 – inputs other than quoted prices that are directly or indirectly observable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Level 3 – significant unobservable inputs where there is little or no market activity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strategic investments in InvestCloud and Vista, discussed in Note 6 “Investments,” are excluded from the recurring fair value table shown below because we have elected to apply the measurement alternative for those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values of our investments measured at fair value on a recurring basis within the fair value hierarchy as of the dates indicated (in thousands): </w:t>
      </w:r>
    </w:p>
    <w:tbl>
      <w:tblPr>
        <w:tblW w:w="10205" w:type="dxa"/>
        <w:jc w:val="left"/>
        <w:tblInd w:w="0" w:type="dxa"/>
        <w:tblLayout w:type="fixed"/>
        <w:tblCellMar>
          <w:top w:w="28" w:type="dxa"/>
          <w:left w:w="28" w:type="dxa"/>
          <w:bottom w:w="28" w:type="dxa"/>
          <w:right w:w="28" w:type="dxa"/>
        </w:tblCellMar>
      </w:tblPr>
      <w:tblGrid>
        <w:gridCol w:w="1126"/>
        <w:gridCol w:w="662"/>
        <w:gridCol w:w="587"/>
        <w:gridCol w:w="243"/>
        <w:gridCol w:w="830"/>
        <w:gridCol w:w="125"/>
        <w:gridCol w:w="125"/>
        <w:gridCol w:w="125"/>
        <w:gridCol w:w="125"/>
        <w:gridCol w:w="243"/>
        <w:gridCol w:w="467"/>
        <w:gridCol w:w="125"/>
        <w:gridCol w:w="125"/>
        <w:gridCol w:w="125"/>
        <w:gridCol w:w="125"/>
        <w:gridCol w:w="243"/>
        <w:gridCol w:w="830"/>
        <w:gridCol w:w="125"/>
        <w:gridCol w:w="125"/>
        <w:gridCol w:w="125"/>
        <w:gridCol w:w="125"/>
        <w:gridCol w:w="492"/>
        <w:gridCol w:w="1088"/>
        <w:gridCol w:w="254"/>
        <w:gridCol w:w="125"/>
        <w:gridCol w:w="125"/>
        <w:gridCol w:w="125"/>
        <w:gridCol w:w="243"/>
        <w:gridCol w:w="830"/>
        <w:gridCol w:w="192"/>
      </w:tblGrid>
      <w:tr>
        <w:trPr/>
        <w:tc>
          <w:tcPr>
            <w:tcW w:w="11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Investments Measured at NAV</w:t>
            </w:r>
            <w:r>
              <w:rPr>
                <w:color w:val="000000"/>
              </w:rPr>
              <w:t xml:space="preserve"> </w:t>
            </w:r>
            <w:r>
              <w:rPr>
                <w:rFonts w:ascii="Times New Roman;sans-serif" w:hAnsi="Times New Roman;sans-serif"/>
                <w:b w:val="false"/>
                <w:color w:val="000000"/>
                <w:sz w:val="12"/>
              </w:rPr>
              <w:t>(1)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June 30, 2023:</w:t>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trading securities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22,894 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22,894 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23,153 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Acquisition contingent consideration</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7,763 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7,763 </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measured at fair value</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trading securities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15,342 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15,342 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18,369 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Acquisition contingent consideration</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measured at fair value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Comprised of certain investments measured at fair value using NAV as a practical expedient. The fair value amounts presented in this table are intended to permit reconciliation of the fair value hierarchy to the amounts presented on our Condensed Consolidated Balance Sheets. </w:t>
            </w:r>
          </w:p>
        </w:tc>
      </w:tr>
    </w:tbl>
    <w:p>
      <w:pPr>
        <w:pStyle w:val="TextBody"/>
        <w:bidi w:val="0"/>
        <w:spacing w:before="0" w:after="0"/>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Prior to our exchange of shares in Charis for shares in Vista, our investment in Charis was included within Level 3 of the fair value hierarchy as we valued it utilizing inputs not observable in the market. Historically, our investment was measured at fair value on a recurring basis using a market approach based on either a price to tangible book value multiple range determined to be reasonable in the current environment, or on market transactions. On April 3, 2023, Charis was acquired by Vista in a transaction in which the Company exchanged its shares in Charis for shares in Vista.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Level 3 investments measured at fair value on a recurring basis for the periods presented (in thousands):</w:t>
      </w:r>
    </w:p>
    <w:tbl>
      <w:tblPr>
        <w:tblW w:w="8372" w:type="dxa"/>
        <w:jc w:val="left"/>
        <w:tblInd w:w="0" w:type="dxa"/>
        <w:tblLayout w:type="fixed"/>
        <w:tblCellMar>
          <w:top w:w="28" w:type="dxa"/>
          <w:left w:w="28" w:type="dxa"/>
          <w:bottom w:w="28" w:type="dxa"/>
          <w:right w:w="28" w:type="dxa"/>
        </w:tblCellMar>
      </w:tblPr>
      <w:tblGrid>
        <w:gridCol w:w="1280"/>
        <w:gridCol w:w="1127"/>
        <w:gridCol w:w="113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 using Significant Unobservable Inputs (Level 3)</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 June 30,</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4,326 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of shares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gains (losses) on private investments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Ending balance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Level 3 liabilities measured at fair value on a recurring basis for the periods presented (in thousands):</w:t>
      </w:r>
    </w:p>
    <w:tbl>
      <w:tblPr>
        <w:tblW w:w="7696" w:type="dxa"/>
        <w:jc w:val="left"/>
        <w:tblInd w:w="0" w:type="dxa"/>
        <w:tblLayout w:type="fixed"/>
        <w:tblCellMar>
          <w:top w:w="28" w:type="dxa"/>
          <w:left w:w="28" w:type="dxa"/>
          <w:bottom w:w="28" w:type="dxa"/>
          <w:right w:w="28" w:type="dxa"/>
        </w:tblCellMar>
      </w:tblPr>
      <w:tblGrid>
        <w:gridCol w:w="1074"/>
        <w:gridCol w:w="946"/>
        <w:gridCol w:w="950"/>
        <w:gridCol w:w="228"/>
        <w:gridCol w:w="780"/>
        <w:gridCol w:w="117"/>
        <w:gridCol w:w="117"/>
        <w:gridCol w:w="117"/>
        <w:gridCol w:w="117"/>
        <w:gridCol w:w="228"/>
        <w:gridCol w:w="439"/>
        <w:gridCol w:w="117"/>
        <w:gridCol w:w="109"/>
        <w:gridCol w:w="109"/>
        <w:gridCol w:w="109"/>
        <w:gridCol w:w="211"/>
        <w:gridCol w:w="721"/>
        <w:gridCol w:w="109"/>
        <w:gridCol w:w="109"/>
        <w:gridCol w:w="109"/>
        <w:gridCol w:w="109"/>
        <w:gridCol w:w="211"/>
        <w:gridCol w:w="40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 using Significant Unobservable Inputs (Level 3)</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 June 30,</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(gains) losses included in earnings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(4,078)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Ending balance</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June 30, 2023 contingent consideration fair value of $7.8 million was valued based upon updated revenue growth projections following AUM outflows in 2023 and current volatility inputs. The fair value of contingent consideration related to both the revenue retention earn-out and the growth earn-out is measured using the Monte Carlo simulation model, which considered assumptions including revenue growth projections, revenue volatility, risk free rates and discount rates. The projected contingent payment is discounted back to the current period using a discounted cash flow model. Increases or decreases in projected revenues, probabilities of payment, discount rates, projected payment dates and other inputs may result in significantly higher or lower 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range of the unobservable inputs utilized in the fair value measurement of the contingent consideration classified as level 3:</w:t>
      </w:r>
    </w:p>
    <w:p>
      <w:pPr>
        <w:pStyle w:val="TextBody"/>
        <w:bidi w:val="0"/>
        <w:spacing w:before="120" w:after="283"/>
        <w:jc w:val="left"/>
        <w:rPr/>
      </w:pPr>
      <w:r>
        <w:rPr/>
      </w:r>
    </w:p>
    <w:tbl>
      <w:tblPr>
        <w:tblW w:w="8609"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554"/>
        <w:gridCol w:w="554"/>
        <w:gridCol w:w="556"/>
        <w:gridCol w:w="109"/>
        <w:gridCol w:w="109"/>
        <w:gridCol w:w="109"/>
        <w:gridCol w:w="208"/>
        <w:gridCol w:w="208"/>
        <w:gridCol w:w="213"/>
        <w:gridCol w:w="109"/>
        <w:gridCol w:w="109"/>
        <w:gridCol w:w="109"/>
        <w:gridCol w:w="209"/>
        <w:gridCol w:w="209"/>
        <w:gridCol w:w="211"/>
        <w:gridCol w:w="109"/>
        <w:gridCol w:w="109"/>
        <w:gridCol w:w="109"/>
        <w:gridCol w:w="574"/>
        <w:gridCol w:w="574"/>
        <w:gridCol w:w="816"/>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Rate</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Retention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13.25%</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r>
    </w:tbl>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222222"/>
          <w:sz w:val="20"/>
        </w:rPr>
      </w:pPr>
      <w:r>
        <w:rPr>
          <w:rFonts w:ascii="Times New Roman;sans-serif" w:hAnsi="Times New Roman;sans-serif"/>
          <w:b/>
          <w:color w:val="222222"/>
          <w:sz w:val="20"/>
        </w:rPr>
        <w:t>8. INCOME TAXES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income tax rate differed from the 21% statutory rate for the three and six months ended 2023 and 2022 due to permanent differences between book and tax restricted stock expense based on a decrease in our stock price between the restricted stock grant and vesting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9. EARNINGS (LOSS) PER SHARE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(loss) per common share is computed by dividing comprehensive income (loss) attributable to Westwood Holdings Group, Inc. by the weighted average number of shares outstanding for the applicable period. Diluted earnings (loss) per share is computed based on the weighted average number of shares outstanding plus the effect of any dilutive shares of restricted stock granted to employees and non-employee directors.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approximately 106,000 and 89,000 anti-dilutive restricted shares outstanding for the three months ended June 30, 2023 and June 30, 2022, respectively. There were approximately 108,000 and 87,000 anti-dilutive restricted shares outstanding for the six months ended June 30, 2023 and June 30, 2022, respectively.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(loss) per share (in thousands, except per share and share amounts):</w:t>
      </w:r>
    </w:p>
    <w:tbl>
      <w:tblPr>
        <w:tblW w:w="10205" w:type="dxa"/>
        <w:jc w:val="left"/>
        <w:tblInd w:w="0" w:type="dxa"/>
        <w:tblLayout w:type="fixed"/>
        <w:tblCellMar>
          <w:top w:w="28" w:type="dxa"/>
          <w:left w:w="28" w:type="dxa"/>
          <w:bottom w:w="28" w:type="dxa"/>
          <w:right w:w="28" w:type="dxa"/>
        </w:tblCellMar>
      </w:tblPr>
      <w:tblGrid>
        <w:gridCol w:w="1748"/>
        <w:gridCol w:w="1537"/>
        <w:gridCol w:w="1540"/>
        <w:gridCol w:w="249"/>
        <w:gridCol w:w="727"/>
        <w:gridCol w:w="111"/>
        <w:gridCol w:w="111"/>
        <w:gridCol w:w="111"/>
        <w:gridCol w:w="111"/>
        <w:gridCol w:w="279"/>
        <w:gridCol w:w="697"/>
        <w:gridCol w:w="111"/>
        <w:gridCol w:w="109"/>
        <w:gridCol w:w="109"/>
        <w:gridCol w:w="109"/>
        <w:gridCol w:w="249"/>
        <w:gridCol w:w="727"/>
        <w:gridCol w:w="109"/>
        <w:gridCol w:w="109"/>
        <w:gridCol w:w="109"/>
        <w:gridCol w:w="109"/>
        <w:gridCol w:w="279"/>
        <w:gridCol w:w="697"/>
        <w:gridCol w:w="158"/>
      </w:tblGrid>
      <w:tr>
        <w:trPr/>
        <w:tc>
          <w:tcPr>
            <w:tcW w:w="174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 June 30,</w:t>
            </w:r>
          </w:p>
        </w:tc>
      </w:tr>
      <w:tr>
        <w:trPr/>
        <w:tc>
          <w:tcPr>
            <w:tcW w:w="4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Comprehensive income (loss) attributable to Westwood Holdings Group, Inc.</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Weighted average shares outstanding - basic</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7,991,228 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7,944,212 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7,922,954 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7,904,911 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Dilutive potential shares from unvested restricted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140,105 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Weighted average shares outstanding - diluted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8,131,333 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7,944,212 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8,050,298 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7,904,911 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Earnings (loss) per share:</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10. GOODWILL AND OTHER INTANGIBLE ASSETS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cost of acquired assets over the fair value of the underlying identifiable assets at the date of acquisition. Goodwill is not amortized but is reviewed for impairment annually, or between annual assessments if a triggering event occurs or circumstances change that would more likely than not result in the fair value of a reporting unit below its carrying amount. We completed our most recent annual goodwill impairment assessment during the third quarter of 2022 and determined that no goodwill impairment related to the Trust segment was required. There was no goodwill impairment during the three and six months ended June 30, 2023 or June 30,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goodwill were as follows (in thousands):</w:t>
      </w:r>
    </w:p>
    <w:tbl>
      <w:tblPr>
        <w:tblW w:w="6431" w:type="dxa"/>
        <w:jc w:val="left"/>
        <w:tblInd w:w="0" w:type="dxa"/>
        <w:tblLayout w:type="fixed"/>
        <w:tblCellMar>
          <w:top w:w="28" w:type="dxa"/>
          <w:left w:w="28" w:type="dxa"/>
          <w:bottom w:w="28" w:type="dxa"/>
          <w:right w:w="28" w:type="dxa"/>
        </w:tblCellMar>
      </w:tblPr>
      <w:tblGrid>
        <w:gridCol w:w="1001"/>
        <w:gridCol w:w="877"/>
        <w:gridCol w:w="882"/>
        <w:gridCol w:w="355"/>
        <w:gridCol w:w="1216"/>
        <w:gridCol w:w="183"/>
        <w:gridCol w:w="109"/>
        <w:gridCol w:w="109"/>
        <w:gridCol w:w="109"/>
        <w:gridCol w:w="309"/>
        <w:gridCol w:w="1056"/>
        <w:gridCol w:w="225"/>
      </w:tblGrid>
      <w:tr>
        <w:trPr/>
        <w:tc>
          <w:tcPr>
            <w:tcW w:w="100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39,929 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35,732 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Broadmark Acquisition</w:t>
            </w:r>
            <w:r>
              <w:rPr>
                <w:rFonts w:ascii="Times New Roman;sans-serif" w:hAnsi="Times New Roman;sans-serif"/>
                <w:b w:val="false"/>
                <w:color w:val="000000"/>
                <w:sz w:val="13"/>
              </w:rPr>
              <w:t>1</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Salient Acquisition Adjustment</w:t>
            </w:r>
            <w:r>
              <w:rPr>
                <w:rFonts w:ascii="Times New Roman;sans-serif" w:hAnsi="Times New Roman;sans-serif"/>
                <w:b w:val="false"/>
                <w:color w:val="000000"/>
                <w:sz w:val="13"/>
              </w:rPr>
              <w:t>2</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39,501 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39,501 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$4.2 million of acquired goodwill is attributable to the Advisory segment.</w:t>
      </w:r>
    </w:p>
    <w:p>
      <w:pPr>
        <w:pStyle w:val="TextBody"/>
        <w:bidi w:val="0"/>
        <w:spacing w:lineRule="auto" w:line="288" w:before="120" w:after="283"/>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Represents subsequent purchase price adjustments for the 2022 Salient Acquisition.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six months ended June 30, 2023 or June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222222"/>
          <w:sz w:val="20"/>
        </w:rPr>
      </w:pPr>
      <w:r>
        <w:rPr>
          <w:rFonts w:ascii="Times New Roman;sans-serif" w:hAnsi="Times New Roman;sans-serif"/>
          <w:b/>
          <w:color w:val="222222"/>
          <w:sz w:val="20"/>
        </w:rPr>
        <w:t>11. 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have been no material changes outside the ordinary course of business to our leases since December 31, 2022. For information regarding our leases, refer to Note 12 “Leases” in Part IV, Item 15. “Exhibits, Financial Statement Schedules” in our Annual Report on Form 10-K for the fiscal year ended December 31, 2022.</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12. STOCKHOLDERS' EQUITY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are $1.9 million of shares that may yet be repurchased under our plan.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Company did not repurchase any shares of our common stock. During the three months ended June 30, 2022, the Company repurchased 57,984 shares of our common stock at an average price of $14.29 per share, including commissions, for an aggregate purchase price of $0.8 million under our share repurchase plan. During the six months ended June 30, 2022, the Company repurchased 70,186 shares of our common stock at an average price of $14.65 per share, including commissions, for an aggregate purchase price of $1.0 million under our share repurchase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13. VARIABLE INTEREST ENTITIES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evaluated (i) our relationship as sponsor of the Common Trust Funds (“CTFs”) and managing member of the private equity funds Westwood Hospitality and Westwood Technology Opportunities Fund I, LP (collectively the “Private Funds”), (ii) our advisory relationships with the Westwood Funds® and (iii) our investments in InvestCloud, Vista, Zarvona Energy Fund GP and Zarvona Energy Fund II-A as discussed in Note 6</w:t>
      </w:r>
      <w:r>
        <w:rPr>
          <w:color w:val="222222"/>
        </w:rPr>
        <w:t xml:space="preserve"> “</w:t>
      </w:r>
      <w:r>
        <w:rPr>
          <w:rFonts w:ascii="Times New Roman;sans-serif" w:hAnsi="Times New Roman;sans-serif"/>
          <w:b w:val="false"/>
          <w:color w:val="222222"/>
          <w:sz w:val="20"/>
        </w:rPr>
        <w:t>Investments”</w:t>
      </w:r>
      <w:r>
        <w:rPr>
          <w:color w:val="000000"/>
        </w:rPr>
        <w:t xml:space="preserve"> </w:t>
      </w:r>
      <w:r>
        <w:rPr>
          <w:rFonts w:ascii="Times New Roman;sans-serif" w:hAnsi="Times New Roman;sans-serif"/>
          <w:b w:val="false"/>
          <w:color w:val="000000"/>
          <w:sz w:val="20"/>
        </w:rPr>
        <w:t>(“Private Equity”) to determine whether each of these entities is a variable interest entity (“VIE”) or voting ownership entity (“VOE”).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analyses, we determined that the CTFs, Private Funds and Zarvona Energy Fund II-A were VIEs, as the at-risk equity holders do not have the ability to direct the activities that most significantly impact the entities'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and the Company and its representatives have a majority control of the entities' respective boards of directors and can influence the respective entities' management and affairs. As we do not qualify as primary beneficiaries for those entities, we have not consolidated our investments in those entities for the periods ending June 30, 2023 and December 31,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analyses, we determined the Westwood Funds®, InvestCloud, Vista and Zarvona Energy Fund GP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As we do not own controlling financial interests in those entities, we have not consolidated our investments in those entities for the periods ending June 30, 2023 and December 31,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fee revenue from the Westwood VIEs and Westwood VOEs as follows (in millions):</w:t>
      </w:r>
    </w:p>
    <w:tbl>
      <w:tblPr>
        <w:tblW w:w="6903" w:type="dxa"/>
        <w:jc w:val="left"/>
        <w:tblInd w:w="0" w:type="dxa"/>
        <w:tblLayout w:type="fixed"/>
        <w:tblCellMar>
          <w:top w:w="28" w:type="dxa"/>
          <w:left w:w="28" w:type="dxa"/>
          <w:bottom w:w="28" w:type="dxa"/>
          <w:right w:w="28" w:type="dxa"/>
        </w:tblCellMar>
      </w:tblPr>
      <w:tblGrid>
        <w:gridCol w:w="457"/>
        <w:gridCol w:w="400"/>
        <w:gridCol w:w="403"/>
        <w:gridCol w:w="335"/>
        <w:gridCol w:w="646"/>
        <w:gridCol w:w="173"/>
        <w:gridCol w:w="109"/>
        <w:gridCol w:w="109"/>
        <w:gridCol w:w="109"/>
        <w:gridCol w:w="335"/>
        <w:gridCol w:w="646"/>
        <w:gridCol w:w="173"/>
        <w:gridCol w:w="109"/>
        <w:gridCol w:w="109"/>
        <w:gridCol w:w="109"/>
        <w:gridCol w:w="293"/>
        <w:gridCol w:w="710"/>
        <w:gridCol w:w="151"/>
        <w:gridCol w:w="109"/>
        <w:gridCol w:w="109"/>
        <w:gridCol w:w="109"/>
        <w:gridCol w:w="289"/>
        <w:gridCol w:w="700"/>
        <w:gridCol w:w="211"/>
      </w:tblGrid>
      <w:tr>
        <w:trPr/>
        <w:tc>
          <w:tcPr>
            <w:tcW w:w="45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2022</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 Revenues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the AUM and the risk of loss in each vehicle (in millions):</w:t>
      </w:r>
    </w:p>
    <w:tbl>
      <w:tblPr>
        <w:tblW w:w="6895" w:type="dxa"/>
        <w:jc w:val="left"/>
        <w:tblInd w:w="0" w:type="dxa"/>
        <w:tblLayout w:type="fixed"/>
        <w:tblCellMar>
          <w:top w:w="28" w:type="dxa"/>
          <w:left w:w="28" w:type="dxa"/>
          <w:bottom w:w="28" w:type="dxa"/>
          <w:right w:w="28" w:type="dxa"/>
        </w:tblCellMar>
      </w:tblPr>
      <w:tblGrid>
        <w:gridCol w:w="1000"/>
        <w:gridCol w:w="875"/>
        <w:gridCol w:w="885"/>
        <w:gridCol w:w="228"/>
        <w:gridCol w:w="754"/>
        <w:gridCol w:w="129"/>
        <w:gridCol w:w="109"/>
        <w:gridCol w:w="109"/>
        <w:gridCol w:w="109"/>
        <w:gridCol w:w="269"/>
        <w:gridCol w:w="557"/>
        <w:gridCol w:w="150"/>
        <w:gridCol w:w="109"/>
        <w:gridCol w:w="109"/>
        <w:gridCol w:w="109"/>
        <w:gridCol w:w="361"/>
        <w:gridCol w:w="748"/>
        <w:gridCol w:w="285"/>
      </w:tblGrid>
      <w:tr>
        <w:trPr/>
        <w:tc>
          <w:tcPr>
            <w:tcW w:w="100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2023</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br/>
              <w:t>Under</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b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at Risk</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VIEs/VOEs: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Funds®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Trust Funds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Funds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assets: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Under Management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222222"/>
          <w:sz w:val="20"/>
        </w:rPr>
      </w:pPr>
      <w:r>
        <w:rPr>
          <w:rFonts w:ascii="Times New Roman;sans-serif" w:hAnsi="Times New Roman;sans-serif"/>
          <w:b/>
          <w:color w:val="222222"/>
          <w:sz w:val="20"/>
        </w:rPr>
        <w:t>14. RELATED PARTY TRANSACTIONS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and six months ended June 30, 2023 and June 30, 2022, the Company earned immaterial fees from the affiliated funds.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One of our directors serves as a consultant to the Company under a consulting agreement. We recorded immaterial expenses related to this agreement for the three and six months ended June 30, 2023 and June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 Declared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2023, the Board of Directors declared a quarterly cash dividend of $0.15 per share of common stock payable on October 2, 2023 to stockholders of record on September 1, 2023.</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Forward-Looking Statements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2022 and those risks set forth below: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composition and market value of our AUM and AUA;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our fee structure in light of competitive fee pressures;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associated with actions of activist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distributions to our common stockholders have included and may in the future include a return of capital;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inclusion of foreign company investments in our AUM;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regulations adversely affecting the financial services industry;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effective cyber security;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litigation risks;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develop and market new investment strategies successfully;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reputation and our relationships with current and potential customers;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attract and retain qualified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perform operational tasks;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select and oversee third-party vendors;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dependence on the operations and funds of our subsidiaries;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effective information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prevent misuse of assets and information in the possession of our employees and third-party vendors, which could damage our reputation and result in costly litigation and liability for our clients and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stock is thinly traded and may be subject to volatility;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competition in the investment management industry;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avoid termination of client agreements and the related investment redemptions;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significant concentration of our revenues in a small number of customers;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made and may continue to make business combinations as a part of our business strategy, which may present certain risks and uncertainties;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relationships with investment consulting firms;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identify and execute on our strategic initiatives;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declare and pay dividends;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fund future capital requirements on favorable terms;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properly address conflicts of interest;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adequate insurance coverage;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an effective system of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Overview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investment assets and provide services for our clients through our subsidiaries, Westwood Management Corp., Westwood Advisors, L.L.C., Salient Advisors, LP and Broadmark Asset Management LLC (each of which is an SEC-registered investment advisor ("RIA") and referred to hereinafter together as “Westwood Management”) and Westwood Trust.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Westwood Management provides investment advisory services to institutional investors, a family of mutual funds called the Westwood Funds®, other mutual funds, individuals and clients of Westwood Trust. Westwood Trust provides trust and custodial services and participation in common trust funds to institutions and high net worth individuals.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acquired an additional 32% interest in Broadmark for $1.6 million, increasing our ownership of Broadmark to approximately 80%. Broadmark's tactical absolute return strategies offer us an established client base and provide future growth potential. Prior to the Broadmark acquisition, we had a $2.4 million equity method investment in Broadmark, which we derecognized upon acquiring a controlling interest in January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are generally derived from fees based on a percentage of AUM and AUA, and Westwood Management and Westwood Trust collectively had AUM of approximately $15.0 billion and AUA of approximately $1.2 billion at June 30, 2023. We have established a track record of delivering competitive, risk-adjusted returns for our clients.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most of our client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with an average of over twenty years of investment experience among members.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other revenues primarily consist of investment income from seed money investments into new investment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Compensation and Benefits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 costs generally consist of salaries, sales commissions, incentive compensation, stock-based compensation expense and benefits.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relate to our marketing efforts, including travel and entertainment, direct marketing and advertising costs.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Westwood Mutual Funds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Expenses for Westwood mutual funds relate to our marketing, distribution and administration of the Westwood Funds</w:t>
      </w:r>
      <w:r>
        <w:rPr>
          <w:rFonts w:ascii="Times New Roman;sans-serif" w:hAnsi="Times New Roman;sans-serif"/>
          <w:b/>
          <w:i/>
          <w:color w:val="000000"/>
          <w:sz w:val="20"/>
        </w:rPr>
        <w:t>®</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Information Technology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 expenses include costs associated with proprietary investment research tools, maintenance and support, computing hardware, software licenses, telecommunications and other related costs.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expenses generally consist of costs associated with sub-advisory fees, audit, legal and other professional services.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loss from change in fair value of contingent consideration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contingent consideration consists of fair value adjustments related to contingent consideration from our 2022 acquisition of Salient.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expense consists of costs related to our 2022 acquisition of Salient.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change in unrealized appreciation (depreciation) on Private Investments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appreciation (depreciation) on private investments includes changes in the value of our private equity investments.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primarily includes interest and dividend income on fixed income securities and money market funds.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primarily consists of income from the sublease of a portion of our corporate 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Firm-wide Assets Under Management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Firm-wide assets under management of $16.2 billion at June 30, 2023 consisted of $15.0 billion of AUM and $1.2 billion of AUA.</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AUM increased $2.9 billion to $15.0 billion at June 30, 2023 compared with $12.1 billion at June 30, 2022. The average of beginning and ending AUM for the second quarter of 2023 was $15.0 billion compared to $13.0 billion for the second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The following tab</w:t>
      </w:r>
      <w:r>
        <w:rPr>
          <w:rFonts w:ascii="Times New Roman;sans-serif" w:hAnsi="Times New Roman;sans-serif"/>
          <w:b w:val="false"/>
          <w:color w:val="000000"/>
          <w:sz w:val="20"/>
        </w:rPr>
        <w:t xml:space="preserve">le displays AUM as of June 30, 2023 and 2022 (in millions): </w:t>
      </w:r>
    </w:p>
    <w:tbl>
      <w:tblPr>
        <w:tblW w:w="5822" w:type="dxa"/>
        <w:jc w:val="left"/>
        <w:tblInd w:w="0" w:type="dxa"/>
        <w:tblLayout w:type="fixed"/>
        <w:tblCellMar>
          <w:top w:w="28" w:type="dxa"/>
          <w:left w:w="28" w:type="dxa"/>
          <w:bottom w:w="28" w:type="dxa"/>
          <w:right w:w="28" w:type="dxa"/>
        </w:tblCellMar>
      </w:tblPr>
      <w:tblGrid>
        <w:gridCol w:w="717"/>
        <w:gridCol w:w="631"/>
        <w:gridCol w:w="632"/>
        <w:gridCol w:w="109"/>
        <w:gridCol w:w="109"/>
        <w:gridCol w:w="109"/>
        <w:gridCol w:w="211"/>
        <w:gridCol w:w="721"/>
        <w:gridCol w:w="109"/>
        <w:gridCol w:w="109"/>
        <w:gridCol w:w="109"/>
        <w:gridCol w:w="109"/>
        <w:gridCol w:w="211"/>
        <w:gridCol w:w="721"/>
        <w:gridCol w:w="109"/>
        <w:gridCol w:w="109"/>
        <w:gridCol w:w="109"/>
        <w:gridCol w:w="109"/>
        <w:gridCol w:w="180"/>
        <w:gridCol w:w="181"/>
        <w:gridCol w:w="418"/>
      </w:tblGrid>
      <w:tr>
        <w:trPr/>
        <w:tc>
          <w:tcPr>
            <w:tcW w:w="71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Institutional</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Wealth Management</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Total AUM</w:t>
            </w:r>
            <w:r>
              <w:rPr>
                <w:rFonts w:ascii="Times New Roman;sans-serif" w:hAnsi="Times New Roman;sans-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unaffiliated sub-advisors. For certain assets in this category Westwood Trust provides limited custodial services for a minimal or no fee, viewing these assets as potentially converting to fee-generating managed assets in the future.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(3)Mutual Funds include the Westwood Funds®, a family of mutual funds for which Westwood Management serves as advisor. These funds are available to individual investors, institutional investors and wealth management accounts.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(4)AUM excludes $1.2 billion and $246 million of AUA as of June 30, 2023 and 2022, respectively, related to our model portfolios for which we provide investment advice on a fee basis without having investment management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Roll-Forward of Assets Under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593" w:type="dxa"/>
        <w:jc w:val="left"/>
        <w:tblInd w:w="0" w:type="dxa"/>
        <w:tblLayout w:type="fixed"/>
        <w:tblCellMar>
          <w:top w:w="28" w:type="dxa"/>
          <w:left w:w="28" w:type="dxa"/>
          <w:bottom w:w="28" w:type="dxa"/>
          <w:right w:w="28" w:type="dxa"/>
        </w:tblCellMar>
      </w:tblPr>
      <w:tblGrid>
        <w:gridCol w:w="922"/>
        <w:gridCol w:w="811"/>
        <w:gridCol w:w="816"/>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Institutional</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Wealth Management</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Mutual Funds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Total AUM</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Certain assets under management acquired from Salient were reclassified from Mutual Funds to Institutional as of December 31, 2022 to be consistent with the classification of existing assets.</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June 30, 2023 compared to the three months ended June 30, 2022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AUM for the three months ended June 30, 2023 was due to market appreciation of $0.5 billion and net outflows of $0.5 billion. Net outflows were primarily related to our Income Opportunity strategy.</w:t>
      </w:r>
    </w:p>
    <w:p>
      <w:pPr>
        <w:pStyle w:val="TextBody"/>
        <w:bidi w:val="0"/>
        <w:spacing w:lineRule="auto" w:line="288" w:before="120" w:after="60"/>
        <w:ind w:left="0" w:right="0" w:firstLine="540"/>
        <w:jc w:val="left"/>
        <w:rPr/>
      </w:pPr>
      <w:r>
        <w:rPr>
          <w:rFonts w:ascii="Times New Roman;sans-serif" w:hAnsi="Times New Roman;sans-serif"/>
          <w:b w:val="false"/>
          <w:color w:val="000000"/>
          <w:sz w:val="20"/>
        </w:rPr>
        <w:t xml:space="preserve">The $1.7 billion decrease in AUM for the three months ended June 30, 2022 was due to market depreciation of $1.5 billion and net outflows of $0.2 billion. Net outflows </w:t>
      </w:r>
      <w:r>
        <w:rPr>
          <w:rFonts w:ascii="Times New Roman;sans-serif" w:hAnsi="Times New Roman;sans-serif"/>
          <w:b w:val="false"/>
          <w:color w:val="000000"/>
          <w:sz w:val="20"/>
          <w:shd w:fill="FFFFFF" w:val="clear"/>
        </w:rPr>
        <w:t>were primarily related to our SmallCap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Six months ended June 30, 2023 compared to the six months ended June 30, 2022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$0.2 billion increase in AUM for the six months ended June 30, 2023 was due to market appreciation of $0.8 billion and net outflows of $0.6 billion. Net outflows were primarily related to our Income Opportunity and Quality AllCap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$2.4 billion decrease in AUM for the six months ended June 30, 2022 was due to market depreciation of $2.1 billion and net outflows of $0.2 billion. Net outflows were primarily related to our SmallCap and Enhanced Balance strategies.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Roll-Forward of Assets Under Advisement</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AUA has historically been disclosed in totality due to its relative insignificance to our business. However, following our 2022 acquisition of</w:t>
      </w:r>
      <w:r>
        <w:rPr>
          <w:color w:val="000000"/>
        </w:rPr>
        <w:t xml:space="preserve"> </w:t>
      </w:r>
      <w:r>
        <w:rPr>
          <w:rFonts w:ascii="Times New Roman;sans-serif" w:hAnsi="Times New Roman;sans-serif"/>
          <w:b w:val="false"/>
          <w:color w:val="000000"/>
          <w:sz w:val="20"/>
        </w:rPr>
        <w:t>Salient's asset management business, AUA is now a more meaningful component of our business. Accordingly, we will present further AUA details going forward:</w:t>
      </w:r>
    </w:p>
    <w:tbl>
      <w:tblPr>
        <w:tblW w:w="7600" w:type="dxa"/>
        <w:jc w:val="left"/>
        <w:tblInd w:w="0" w:type="dxa"/>
        <w:tblLayout w:type="fixed"/>
        <w:tblCellMar>
          <w:top w:w="28" w:type="dxa"/>
          <w:left w:w="28" w:type="dxa"/>
          <w:bottom w:w="28" w:type="dxa"/>
          <w:right w:w="28" w:type="dxa"/>
        </w:tblCellMar>
      </w:tblPr>
      <w:tblGrid>
        <w:gridCol w:w="921"/>
        <w:gridCol w:w="810"/>
        <w:gridCol w:w="819"/>
        <w:gridCol w:w="556"/>
        <w:gridCol w:w="1579"/>
        <w:gridCol w:w="309"/>
        <w:gridCol w:w="109"/>
        <w:gridCol w:w="109"/>
        <w:gridCol w:w="109"/>
        <w:gridCol w:w="493"/>
        <w:gridCol w:w="1399"/>
        <w:gridCol w:w="387"/>
      </w:tblGrid>
      <w:tr>
        <w:trPr/>
        <w:tc>
          <w:tcPr>
            <w:tcW w:w="9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 Under Advisement</w:t>
            </w:r>
          </w:p>
        </w:tc>
        <w:tc>
          <w:tcPr>
            <w:tcW w:w="2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2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2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2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Results of Operations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(dollars in thousands) and discussion of our results of operations are based upon data derived from the Condensed Consolidated Statements of Comprehensive Income (Loss) contained in our Condensed Consolidated Financial Statements and should be read in conjunction with those statements included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5"/>
        <w:gridCol w:w="810"/>
        <w:gridCol w:w="815"/>
        <w:gridCol w:w="196"/>
        <w:gridCol w:w="646"/>
        <w:gridCol w:w="109"/>
        <w:gridCol w:w="109"/>
        <w:gridCol w:w="109"/>
        <w:gridCol w:w="109"/>
        <w:gridCol w:w="196"/>
        <w:gridCol w:w="646"/>
        <w:gridCol w:w="109"/>
        <w:gridCol w:w="109"/>
        <w:gridCol w:w="109"/>
        <w:gridCol w:w="109"/>
        <w:gridCol w:w="283"/>
        <w:gridCol w:w="283"/>
        <w:gridCol w:w="407"/>
        <w:gridCol w:w="109"/>
        <w:gridCol w:w="109"/>
        <w:gridCol w:w="109"/>
        <w:gridCol w:w="196"/>
        <w:gridCol w:w="646"/>
        <w:gridCol w:w="109"/>
        <w:gridCol w:w="109"/>
        <w:gridCol w:w="109"/>
        <w:gridCol w:w="109"/>
        <w:gridCol w:w="196"/>
        <w:gridCol w:w="646"/>
        <w:gridCol w:w="109"/>
        <w:gridCol w:w="109"/>
        <w:gridCol w:w="109"/>
        <w:gridCol w:w="109"/>
        <w:gridCol w:w="294"/>
        <w:gridCol w:w="297"/>
        <w:gridCol w:w="412"/>
      </w:tblGrid>
      <w:tr>
        <w:trPr/>
        <w:tc>
          <w:tcPr>
            <w:tcW w:w="116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Advisory fees: asset-based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Advisory fees: performance-based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fees: asset-based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compensation and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Westwood mutual funds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Information technology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from change in fair value of contingent consideration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operating income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appreciation (depreciation) on private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income (loss) attributable to noncontrolling interest</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(loss) attributable to Westwood Holdings Group, Inc.</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June 30, 2023 compared to three months ended June 30, 2022 </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Total revenues</w:t>
      </w:r>
      <w:r>
        <w:rPr>
          <w:rFonts w:ascii="Times New Roman;sans-serif" w:hAnsi="Times New Roman;sans-serif"/>
          <w:b w:val="false"/>
          <w:color w:val="000000"/>
          <w:sz w:val="20"/>
        </w:rPr>
        <w:t>. Total revenues increased $6.3 million, or 41%, to $21.9 million for the three months ended June 30, 2023 compared with $15.6 million for the three months ended June 30, 2022. Asset-based advisory fees increased $5.8 million, or 53%, reflecting higher average AUM following our 2022 acquisition of Salient.</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Employee compensation and benefits.</w:t>
      </w:r>
      <w:r>
        <w:rPr>
          <w:color w:val="000000"/>
        </w:rPr>
        <w:t xml:space="preserve"> </w:t>
      </w:r>
      <w:r>
        <w:rPr>
          <w:rFonts w:ascii="Times New Roman;sans-serif" w:hAnsi="Times New Roman;sans-serif"/>
          <w:b w:val="false"/>
          <w:color w:val="000000"/>
          <w:sz w:val="20"/>
        </w:rPr>
        <w:t>Employee compensation and benefits increased $4.6 million to $13.7 million compared with $9.1 million for 2022 due to additional headcount resulting from the Salient acquisition.</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Information Technology. </w:t>
      </w:r>
      <w:r>
        <w:rPr>
          <w:rFonts w:ascii="Times New Roman;sans-serif" w:hAnsi="Times New Roman;sans-serif"/>
          <w:b w:val="false"/>
          <w:color w:val="000000"/>
          <w:sz w:val="20"/>
        </w:rPr>
        <w:t>Information technology expenses increased $0.8 million, or 39%, to $2.6 million compared with $1.8 million for 2022 primarily due to additional software licenses and investment research expenses.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Professional services. </w:t>
      </w:r>
      <w:r>
        <w:rPr>
          <w:rFonts w:ascii="Times New Roman;sans-serif" w:hAnsi="Times New Roman;sans-serif"/>
          <w:b w:val="false"/>
          <w:color w:val="000000"/>
          <w:sz w:val="20"/>
        </w:rPr>
        <w:t>Professional services increased $0.6 million, or 63%, to $1.4 million compared with $0.8 million for 2022 primarily due to an increase in legal and advisory costs.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expenses increased $0.9 million, or 38%, to $3.2 million compared with $2.3 million for 2022 primarily due to increased intangible asset amortization following the Salient acquisition.</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(Gain) loss from change in fair value of contingent consideration. </w:t>
      </w:r>
      <w:r>
        <w:rPr>
          <w:rFonts w:ascii="Times New Roman;sans-serif" w:hAnsi="Times New Roman;sans-serif"/>
          <w:b w:val="false"/>
          <w:color w:val="000000"/>
          <w:sz w:val="20"/>
        </w:rPr>
        <w:t>We recorded a gain of approximately $4.1 million upon the remeasurement of contingent consideration of the 2022 Salient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Income tax provision</w:t>
      </w:r>
      <w:r>
        <w:rPr>
          <w:rFonts w:ascii="Times New Roman;sans-serif" w:hAnsi="Times New Roman;sans-serif"/>
          <w:b w:val="false"/>
          <w:color w:val="000000"/>
          <w:sz w:val="20"/>
        </w:rPr>
        <w:t>. Our effective tax rate differed from the 21% statutory rate for the second quarter of 2023 primarily due to permanent differences between book and tax restricted stock expense based on a decrease in our stock price between the restricted stock grant and vesting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Six months ended June 30, 2023 compared to six months ended June 30, 2022 </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Total revenues</w:t>
      </w:r>
      <w:r>
        <w:rPr>
          <w:rFonts w:ascii="Times New Roman;sans-serif" w:hAnsi="Times New Roman;sans-serif"/>
          <w:b w:val="false"/>
          <w:color w:val="000000"/>
          <w:sz w:val="20"/>
        </w:rPr>
        <w:t>. Total revenues increased $11.9 million, or 36%, to $44.7 million for the six months ended June 30, 2023 compared with $32.8 million for the six months ended June 30, 2022. Asset-based advisory fees increased $11.0 million, or 49%, reflecting higher average AUM following our 2022 acquisition of Salient. Trust fees decreased $1.0 million, or 9%, primarily related to lower average AUM.</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Employee compensation and benefits.</w:t>
      </w:r>
      <w:r>
        <w:rPr>
          <w:color w:val="000000"/>
        </w:rPr>
        <w:t xml:space="preserve"> </w:t>
      </w:r>
      <w:r>
        <w:rPr>
          <w:rFonts w:ascii="Times New Roman;sans-serif" w:hAnsi="Times New Roman;sans-serif"/>
          <w:b w:val="false"/>
          <w:color w:val="000000"/>
          <w:sz w:val="20"/>
        </w:rPr>
        <w:t>Employee compensation and benefits increased $8.4 million to $27.9 million compared with $19.5 million for 2022 due to additional headcount resulting from the Salient acquisition.</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increased $0.5 million, or 52%, to $1.5 million compared with $1.0 million for 2022 due to higher product placement fees.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Information Technology. </w:t>
      </w:r>
      <w:r>
        <w:rPr>
          <w:rFonts w:ascii="Times New Roman;sans-serif" w:hAnsi="Times New Roman;sans-serif"/>
          <w:b w:val="false"/>
          <w:color w:val="000000"/>
          <w:sz w:val="20"/>
        </w:rPr>
        <w:t>Information technology expenses increased $1.2 million, or 35%, to $4.9 million compared with $3.7 million for 2022 primarily due to additional software licenses and investment research expenses.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expenses increased $1.9 million, or 43%, to $6.3 million compared with $4.4 million for 2022 primarily due to increased intangible asset amortization following the Salient acquisition.</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(Gain) loss from change in fair value of contingent consideration. </w:t>
      </w:r>
      <w:r>
        <w:rPr>
          <w:rFonts w:ascii="Times New Roman;sans-serif" w:hAnsi="Times New Roman;sans-serif"/>
          <w:b w:val="false"/>
          <w:color w:val="000000"/>
          <w:sz w:val="20"/>
        </w:rPr>
        <w:t>We recorded a gain of approximately $5.2 million upon the remeasurement of contingent consideration of the 2022 Salient acquisition.</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Income tax provision</w:t>
      </w:r>
      <w:r>
        <w:rPr>
          <w:rFonts w:ascii="Times New Roman;sans-serif" w:hAnsi="Times New Roman;sans-serif"/>
          <w:b w:val="false"/>
          <w:color w:val="000000"/>
          <w:sz w:val="20"/>
        </w:rPr>
        <w:t>. The effective tax rate for the six months ended June 30, 2023 differed from the 21% statutory rate for 2023 primarily due to permanent differences between book and tax restricted stock expense based on a decrease in our stock price between the restricted stock grant and vesting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Supplemental Financial Information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supplemental information, we are providing non-GAAP performance measures that we refer to as Economic Earnings and Economic EPS. We provide these measures in addition to, not as a substitute for, comprehensive income (loss) attributable to Westwood Holdings Group, Inc.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comprehensive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Economic Earnings as comprehensive income (loss)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pStyle w:val="TextBody"/>
        <w:bidi w:val="0"/>
        <w:spacing w:lineRule="auto" w:line="288" w:before="12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reconciliation of net income to Economic Earnings and Economic Earnings by segment (in thousands, except share and per share amounts):</w:t>
      </w:r>
    </w:p>
    <w:p>
      <w:pPr>
        <w:pStyle w:val="TextBody"/>
        <w:bidi w:val="0"/>
        <w:spacing w:before="120" w:after="6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5"/>
        <w:gridCol w:w="717"/>
        <w:gridCol w:w="718"/>
        <w:gridCol w:w="249"/>
        <w:gridCol w:w="727"/>
        <w:gridCol w:w="110"/>
        <w:gridCol w:w="110"/>
        <w:gridCol w:w="110"/>
        <w:gridCol w:w="110"/>
        <w:gridCol w:w="249"/>
        <w:gridCol w:w="727"/>
        <w:gridCol w:w="110"/>
        <w:gridCol w:w="109"/>
        <w:gridCol w:w="109"/>
        <w:gridCol w:w="109"/>
        <w:gridCol w:w="244"/>
        <w:gridCol w:w="245"/>
        <w:gridCol w:w="392"/>
        <w:gridCol w:w="109"/>
        <w:gridCol w:w="109"/>
        <w:gridCol w:w="109"/>
        <w:gridCol w:w="249"/>
        <w:gridCol w:w="727"/>
        <w:gridCol w:w="109"/>
        <w:gridCol w:w="109"/>
        <w:gridCol w:w="109"/>
        <w:gridCol w:w="109"/>
        <w:gridCol w:w="249"/>
        <w:gridCol w:w="727"/>
        <w:gridCol w:w="109"/>
        <w:gridCol w:w="109"/>
        <w:gridCol w:w="109"/>
        <w:gridCol w:w="109"/>
        <w:gridCol w:w="319"/>
        <w:gridCol w:w="320"/>
        <w:gridCol w:w="455"/>
      </w:tblGrid>
      <w:tr>
        <w:trPr/>
        <w:tc>
          <w:tcPr>
            <w:tcW w:w="8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Westwood Holdings Group, Inc.</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goodwill amortization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Economic Earnings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share</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goodwill amortization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Economic Earnings per share</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8,131,333 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7,944,212 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8,050,298 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7,904,911 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Economic Earnings by Segment: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2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Liquidity and Capital Resources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fund our operations and cash requirements with cash generated from operating activities. We may also use cash from operations to pay dividends to our stockholders. We had no debt as of June 30, 2023 and December 31, 2022.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had cash and short-term investments of $38.1 million and $39.2 million as of June 30, 2023 and December 31, 2022, respectively. At June 30, 2023 and December 31, 2022, working capital aggregated $41.0 million and $40.6 million, respectively.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cash flow used in operating activities was $3.9 million, which included net sales of current investments of $7.1 million and a reduction in compensation and benefits payable of $3.3 million. During the six months ended June 30, 2022, cash flow provided by operating activities was $12.1 million, which included net sales of $12.4 million of current investments and a $1.9 million change in accounts receivable, partially offset by a reduction in compensation and benefits payable of $5.6 million.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flow used in investing activities during the six months ended June 30, 2023 was primarily for the Broadmark Acquisition. Cash flow used in investing activities during the six months ended June 30, 2022 was related to purchases of property and equipment.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used in financing activities of $3.9 million for the six months ended June 30, 2023 reflected the payment of dividends and restricted stock returned for the payment of taxes. Cash flows used in financing activities of $5.3 million for the six months ended June 30, 2022 reflected the payment of dividends, treasury stock repurchases and restricted stock returned for the payment of taxes.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Trust is required to maintain cash and investments in an amount equal to the minimum restricted capital of $4.0 million, as required by the Texas Finance Code. Restricted capital is included in Investments in the accompanying Condensed Consolidated Balance Sheets. At June 30, 2023, Westwood Trust had approximately $7.9 million in excess of its minimum capital requirement.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2022.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Contractual Obligations</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have been no material changes outside of the ordinary course of business to our contractual obligations since December 31, 2022. For information regarding our contractual obligations, refer to “Contractual Obligations” in Part II, Item 7. “Management's Discussion and Analysis of Financial Condition and Results of Operations” in our Annual Report on Form 10-K for the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Critical and Significant Accounting Policies and Estimates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or significant accounting policies and estimates since December 31, 2022.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Accounting Developments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2 “Summary of Significant Accounting Policies” in our Condensed Consolidated Financial Statements included in Part I, Item 1. “Financial Statements” of this Quarterly Report on Form 10-Q for a description of recently issued accounting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significant changes in our Quantitative and Qualitative Disclosures about Market Risk from those previously reported in our Annual Report on Form 10-K for the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June 30, 2023, there were no changes in our internal controls over financial reporting (as defined in Rule 13a-15(f) under the Exchange Act) that materially affected, or are reasonably likely to materially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Due to our significant investments in cloud-based systems, the impact of our employees working remotely did not hinder the execution of our internal control processes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2022 and the risks set forth below.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share repurchase program has no expiration date and may be discontinued at any time by the Board of Directors. During the three months ended June 30, 2023, the Company did not repurchase any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85"/>
        <w:gridCol w:w="162"/>
        <w:gridCol w:w="163"/>
        <w:gridCol w:w="109"/>
        <w:gridCol w:w="109"/>
        <w:gridCol w:w="109"/>
        <w:gridCol w:w="2885"/>
        <w:gridCol w:w="2680"/>
        <w:gridCol w:w="3803"/>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3exhibit311.htm">
              <w:r>
                <w:rPr>
                  <w:rStyle w:val="InternetLink"/>
                  <w:rFonts w:ascii="Times New Roman;sans-serif" w:hAnsi="Times New Roman;sans-serif"/>
                  <w:b w:val="false"/>
                  <w:color w:val="0000FF"/>
                  <w:sz w:val="20"/>
                  <w:u w:val="single"/>
                </w:rPr>
                <w:t>Certification of Chief Executive Officer Pursuant to Securities Exchange Act Rule 13a-14(a)</w:t>
              </w:r>
            </w:hyperlink>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3exhibit312.htm">
              <w:r>
                <w:rPr>
                  <w:rStyle w:val="InternetLink"/>
                  <w:rFonts w:ascii="Times New Roman;sans-serif" w:hAnsi="Times New Roman;sans-serif"/>
                  <w:b w:val="false"/>
                  <w:color w:val="0000FF"/>
                  <w:sz w:val="20"/>
                  <w:u w:val="single"/>
                </w:rPr>
                <w:t>Certification of Chief Financial Officer Pursuant to Securities Exchange Act Rule 13a-14(a)</w:t>
              </w:r>
            </w:hyperlink>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3exhibit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3exhibit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Westwood Holdings Group, Inc.'s Quarterly Report on Form 10-Q for the period ended June 30, 2023, formatted in Inline eXtensible Business Reporting Language (iXBRL): (i) Condensed Consolidated Balance Sheets as of June 30, 2023 and December 31, 2022; (ii) Condensed Consolidated Statements of Comprehensive Income (Loss) for the three and six months ended June 30, 2023 and 2022; (iii) Condensed Consolidated Statements of Stockholders' Equity; (iv) Condensed Consolidated Statements of Cash Flows for the six months ended June 30, 2023 and 2022; and (v) Notes to the Condensed Consolidated Financial Statements.</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iXBRL and contained in Exhibit 101)</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283"/>
        <w:ind w:left="0" w:right="0" w:firstLine="540"/>
        <w:jc w:val="left"/>
        <w:rPr/>
      </w:pPr>
      <w:r>
        <w:rPr/>
      </w:r>
    </w:p>
    <w:p>
      <w:pPr>
        <w:pStyle w:val="TextBody"/>
        <w:bidi w:val="0"/>
        <w:spacing w:lineRule="auto" w:line="288" w:before="0" w:after="0"/>
        <w:jc w:val="left"/>
        <w:rPr>
          <w:color w:val="000000"/>
        </w:rPr>
      </w:pPr>
      <w:r>
        <w:rPr>
          <w:color w:val="000000"/>
        </w:rPr>
        <w:t> </w:t>
      </w:r>
    </w:p>
    <w:tbl>
      <w:tblPr>
        <w:tblW w:w="7318"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360"/>
        <w:gridCol w:w="360"/>
        <w:gridCol w:w="360"/>
        <w:gridCol w:w="360"/>
        <w:gridCol w:w="360"/>
        <w:gridCol w:w="360"/>
        <w:gridCol w:w="904"/>
        <w:gridCol w:w="904"/>
        <w:gridCol w:w="134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53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O. Casey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O. Casey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Murray Forbes III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Forbes III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60" w:after="283"/>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CERTIFICATION OF CHIEF EXECUTIVE OFFICER</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EXCHANGE ACT RULES 13a-14(a)</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Brian O. Casey, certify that:</w:t>
      </w:r>
    </w:p>
    <w:p>
      <w:pPr>
        <w:pStyle w:val="TextBody"/>
        <w:bidi w:val="0"/>
        <w:spacing w:before="120" w:after="283"/>
        <w:jc w:val="left"/>
        <w:rPr/>
      </w:pPr>
      <w:r>
        <w:rPr/>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report on Form 10-Q of Westwood Holdings Group, Inc.;</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1844" w:type="dxa"/>
        <w:jc w:val="left"/>
        <w:tblInd w:w="0" w:type="dxa"/>
        <w:tblLayout w:type="fixed"/>
        <w:tblCellMar>
          <w:top w:w="28" w:type="dxa"/>
          <w:left w:w="28" w:type="dxa"/>
          <w:bottom w:w="28" w:type="dxa"/>
          <w:right w:w="28" w:type="dxa"/>
        </w:tblCellMar>
      </w:tblPr>
      <w:tblGrid>
        <w:gridCol w:w="590"/>
        <w:gridCol w:w="517"/>
        <w:gridCol w:w="737"/>
      </w:tblGrid>
      <w:tr>
        <w:trPr/>
        <w:tc>
          <w:tcPr>
            <w:tcW w:w="5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 August 2, 2023</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Brian O. Casey</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Brian O. Casey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bl>
    <w:p>
      <w:pPr>
        <w:pStyle w:val="TextBody"/>
        <w:bidi w:val="0"/>
        <w:spacing w:lineRule="auto" w:line="288" w:before="60" w:after="283"/>
        <w:jc w:val="righ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CERTIFICATION OF CHIEF FINANCIAL OFFICER</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EXCHANGE ACT RULES 13a-14(a)</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Murray Forbes III, certify that:</w:t>
      </w:r>
    </w:p>
    <w:p>
      <w:pPr>
        <w:pStyle w:val="TextBody"/>
        <w:bidi w:val="0"/>
        <w:spacing w:before="120" w:after="283"/>
        <w:jc w:val="left"/>
        <w:rPr/>
      </w:pPr>
      <w:r>
        <w:rPr/>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report on Form 10-Q of Westwood Holdings Group, Inc.;</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2819" w:type="dxa"/>
        <w:jc w:val="left"/>
        <w:tblInd w:w="0" w:type="dxa"/>
        <w:tblLayout w:type="fixed"/>
        <w:tblCellMar>
          <w:top w:w="28" w:type="dxa"/>
          <w:left w:w="28" w:type="dxa"/>
          <w:bottom w:w="28" w:type="dxa"/>
          <w:right w:w="28" w:type="dxa"/>
        </w:tblCellMar>
      </w:tblPr>
      <w:tblGrid>
        <w:gridCol w:w="902"/>
        <w:gridCol w:w="790"/>
        <w:gridCol w:w="1127"/>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 August 2, 2023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Murray Forbes III</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Murray Forbes III</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Treasurer</w:t>
            </w:r>
          </w:p>
        </w:tc>
      </w:tr>
    </w:tbl>
    <w:p>
      <w:pPr>
        <w:pStyle w:val="TextBody"/>
        <w:bidi w:val="0"/>
        <w:spacing w:lineRule="auto" w:line="288" w:before="6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Westwood Holdings Group, Inc. (the “Company”) on Form 10-Q for the period ended June 30, 2023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pStyle w:val="TextBody"/>
        <w:bidi w:val="0"/>
        <w:spacing w:lineRule="auto" w:line="288" w:before="12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(15 U.S.C.78m or 78o(d)); and</w:t>
      </w:r>
    </w:p>
    <w:p>
      <w:pPr>
        <w:pStyle w:val="TextBody"/>
        <w:bidi w:val="0"/>
        <w:spacing w:lineRule="auto" w:line="288" w:before="12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1844" w:type="dxa"/>
        <w:jc w:val="left"/>
        <w:tblInd w:w="0" w:type="dxa"/>
        <w:tblLayout w:type="fixed"/>
        <w:tblCellMar>
          <w:top w:w="28" w:type="dxa"/>
          <w:left w:w="28" w:type="dxa"/>
          <w:bottom w:w="28" w:type="dxa"/>
          <w:right w:w="28" w:type="dxa"/>
        </w:tblCellMar>
      </w:tblPr>
      <w:tblGrid>
        <w:gridCol w:w="590"/>
        <w:gridCol w:w="517"/>
        <w:gridCol w:w="737"/>
      </w:tblGrid>
      <w:tr>
        <w:trPr/>
        <w:tc>
          <w:tcPr>
            <w:tcW w:w="5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Dated: August 2, 2023</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Brian O. Casey</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Brian O. Casey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bl>
    <w:p>
      <w:pPr>
        <w:pStyle w:val="TextBody"/>
        <w:bidi w:val="0"/>
        <w:spacing w:lineRule="auto" w:line="288" w:before="24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Westwood Holdings Group, Inc. (the “Company”) on Form 10-Q for the period ended June 30, 2023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pStyle w:val="TextBody"/>
        <w:bidi w:val="0"/>
        <w:spacing w:lineRule="auto" w:line="288" w:before="12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(15 U.S.C. 78m or 78o(d)); and</w:t>
      </w:r>
    </w:p>
    <w:p>
      <w:pPr>
        <w:pStyle w:val="TextBody"/>
        <w:bidi w:val="0"/>
        <w:spacing w:lineRule="auto" w:line="288" w:before="12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19" w:type="dxa"/>
        <w:jc w:val="left"/>
        <w:tblInd w:w="0" w:type="dxa"/>
        <w:tblLayout w:type="fixed"/>
        <w:tblCellMar>
          <w:top w:w="28" w:type="dxa"/>
          <w:left w:w="28" w:type="dxa"/>
          <w:bottom w:w="28" w:type="dxa"/>
          <w:right w:w="28" w:type="dxa"/>
        </w:tblCellMar>
      </w:tblPr>
      <w:tblGrid>
        <w:gridCol w:w="902"/>
        <w:gridCol w:w="790"/>
        <w:gridCol w:w="1127"/>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Dated: August 2, 2023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Murray Forbes III</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Murray Forbes III</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Treasurer</w:t>
            </w:r>
          </w:p>
        </w:tc>
      </w:tr>
    </w:tbl>
    <w:p>
      <w:pPr>
        <w:pStyle w:val="TextBody"/>
        <w:bidi w:val="0"/>
        <w:spacing w:lineRule="auto" w:line="288" w:before="24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13877</Words>
  <Characters>78166</Characters>
  <CharactersWithSpaces>90790</CharactersWithSpaces>
  <Paragraphs>2732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