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February 1,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 &amp;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Ms. Aslynn Hogue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86"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Westwood Holdings Group, Inc. (the “Company”)</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001-31234</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Fiscal Year Ended December 31, 2011 (“2011 Form 10-K”)</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February 28,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Hogue and Ms. Hayes:</w:t>
      </w:r>
    </w:p>
    <w:p>
      <w:pPr>
        <w:spacing w:after="0" w:line="90"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As requested, the Company hereby submits the revised draft disclosure identified on the attached Exhibit I as a supplement to our letter dated January 14, 2013. Our response sets forth in regular print the language in our 2011 Form 10-K with additional underlined draft disclosures which are responsive to your comment letter dated January 22, 2013. The response is numbered to correspond to your most recent comment letter. Please note the proposed disclosure set forth in Exhibit I is based upon factual information that is available to us at this time, and that if the factual basis of the proposed disclosure changes, we may need to update or change the proposed disclosure to reflect the new factual basis.</w:t>
      </w:r>
    </w:p>
    <w:p>
      <w:pPr>
        <w:spacing w:after="0" w:line="116" w:lineRule="exact"/>
        <w:rPr>
          <w:sz w:val="24"/>
          <w:szCs w:val="24"/>
          <w:color w:val="auto"/>
        </w:rPr>
      </w:pPr>
    </w:p>
    <w:p>
      <w:pPr>
        <w:ind w:right="100"/>
        <w:spacing w:after="0" w:line="306" w:lineRule="auto"/>
        <w:rPr>
          <w:sz w:val="20"/>
          <w:szCs w:val="20"/>
          <w:color w:val="auto"/>
        </w:rPr>
      </w:pPr>
      <w:r>
        <w:rPr>
          <w:rFonts w:ascii="Arial" w:cs="Arial" w:eastAsia="Arial" w:hAnsi="Arial"/>
          <w:sz w:val="16"/>
          <w:szCs w:val="16"/>
          <w:color w:val="auto"/>
        </w:rPr>
        <w:t>The Company acknowledges that (i) the Company is responsible for the adequacy and accuracy of the disclosure in its filings,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Should you have any questions regarding the foregoing responses, please call the undersigned at (214) 756-6962.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 Mark Wallace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Mark Wallace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39"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Review and Approval of Related Party Transactions, page 44</w:t>
      </w:r>
    </w:p>
    <w:p>
      <w:pPr>
        <w:spacing w:after="0" w:line="90" w:lineRule="exact"/>
        <w:rPr>
          <w:sz w:val="20"/>
          <w:szCs w:val="20"/>
          <w:color w:val="auto"/>
        </w:rPr>
      </w:pPr>
    </w:p>
    <w:p>
      <w:pPr>
        <w:ind w:left="900" w:right="400" w:hanging="446"/>
        <w:spacing w:after="0" w:line="28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John Porter Montgomery, </w:t>
      </w:r>
      <w:r>
        <w:rPr>
          <w:rFonts w:ascii="Arial" w:cs="Arial" w:eastAsia="Arial" w:hAnsi="Arial"/>
          <w:sz w:val="16"/>
          <w:szCs w:val="16"/>
          <w:u w:val="single" w:color="auto"/>
          <w:color w:val="auto"/>
        </w:rPr>
        <w:t>who is the stepson to Ms. Byrne</w:t>
      </w:r>
      <w:r>
        <w:rPr>
          <w:rFonts w:ascii="Arial" w:cs="Arial" w:eastAsia="Arial" w:hAnsi="Arial"/>
          <w:sz w:val="16"/>
          <w:szCs w:val="16"/>
          <w:color w:val="auto"/>
        </w:rPr>
        <w:t xml:space="preserve">, Westwood’s Chairman, was </w:t>
      </w:r>
      <w:r>
        <w:rPr>
          <w:rFonts w:ascii="Arial" w:cs="Arial" w:eastAsia="Arial" w:hAnsi="Arial"/>
          <w:sz w:val="16"/>
          <w:szCs w:val="16"/>
          <w:u w:val="single" w:color="auto"/>
          <w:color w:val="auto"/>
        </w:rPr>
        <w:t>employed as Vice President-Trust and Investments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Westwood Trust, a wholly owned subsidiary of Westwood Holdings Group, Inc.</w:t>
      </w:r>
      <w:r>
        <w:rPr>
          <w:rFonts w:ascii="Arial" w:cs="Arial" w:eastAsia="Arial" w:hAnsi="Arial"/>
          <w:sz w:val="16"/>
          <w:szCs w:val="16"/>
          <w:color w:val="auto"/>
        </w:rPr>
        <w:t xml:space="preserve">, during 2012 and received </w:t>
      </w:r>
      <w:r>
        <w:rPr>
          <w:rFonts w:ascii="Arial" w:cs="Arial" w:eastAsia="Arial" w:hAnsi="Arial"/>
          <w:sz w:val="16"/>
          <w:szCs w:val="16"/>
          <w:u w:val="single" w:color="auto"/>
          <w:color w:val="auto"/>
        </w:rPr>
        <w:t>total compensation</w:t>
      </w:r>
      <w:r>
        <w:rPr>
          <w:rFonts w:ascii="Arial" w:cs="Arial" w:eastAsia="Arial" w:hAnsi="Arial"/>
          <w:sz w:val="16"/>
          <w:szCs w:val="16"/>
          <w:color w:val="auto"/>
        </w:rPr>
        <w:t xml:space="preserve"> of approximately</w:t>
      </w:r>
    </w:p>
    <w:p>
      <w:pPr>
        <w:ind w:left="9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Mr. Montgomery is compensated in a manner consistent with our policies that apply to all employees.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2019-12-07T03:23:03Z</dcterms:created>
  <dcterms:modified xsi:type="dcterms:W3CDTF">2019-12-07T03:23:03Z</dcterms:modified>
</cp:coreProperties>
</file>