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433350.xml.htm"/>
      <w:bookmarkStart w:id="1" w:name="kswkform4_17804333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BYRNE SUSAN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Director Emerita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4"/>
        <w:gridCol w:w="916"/>
        <w:gridCol w:w="785"/>
        <w:gridCol w:w="608"/>
        <w:gridCol w:w="348"/>
        <w:gridCol w:w="839"/>
        <w:gridCol w:w="445"/>
        <w:gridCol w:w="984"/>
        <w:gridCol w:w="1154"/>
        <w:gridCol w:w="993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6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1,124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16.4045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277,550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16.0238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276,250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406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16.3334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275,844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price reflects the weighted average sale price for shares sold in multiple transactions at prices ranging from $16.25 to $16.48.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price reflects the weighted average sale price for shares sold in multiple transactions at prices ranging from $16.00 to $16.08.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price reflects the weighted average sale price for shares sold in multiple transactions at prices ranging from $16.185 to $16.43.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reported transactions were effected pursuant to a Rule 10b5-1 trading plan adopted by the reporting person on 4/1/2026.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Richard Nahhat,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71441" TargetMode="External"/><Relationship Id="rId5" Type="http://schemas.openxmlformats.org/officeDocument/2006/relationships/hyperlink" Target="http://www.sec.gov/cgi-bin/browse-edgar?action=getcompany&amp;CIK=0001165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3892</Characters>
  <CharactersWithSpaces>4518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