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0" w:lineRule="exact"/>
        <w:rPr>
          <w:sz w:val="24"/>
          <w:szCs w:val="24"/>
          <w:color w:val="auto"/>
        </w:rPr>
      </w:pPr>
    </w:p>
    <w:p>
      <w:pPr>
        <w:spacing w:after="0" w:line="2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FORM 8-K</w:t>
      </w:r>
    </w:p>
    <w:p>
      <w:pPr>
        <w:spacing w:after="0" w:line="2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CURRENT REPORT</w:t>
      </w:r>
    </w:p>
    <w:p>
      <w:pPr>
        <w:spacing w:after="0" w:line="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Pursuant to Section 13 or 15(d) of the</w:t>
      </w:r>
    </w:p>
    <w:p>
      <w:pPr>
        <w:jc w:val="center"/>
        <w:ind w:right="-339"/>
        <w:spacing w:after="0"/>
        <w:rPr>
          <w:sz w:val="20"/>
          <w:szCs w:val="20"/>
          <w:color w:val="auto"/>
        </w:rPr>
      </w:pPr>
      <w:r>
        <w:rPr>
          <w:rFonts w:ascii="Times New Roman" w:cs="Times New Roman" w:eastAsia="Times New Roman" w:hAnsi="Times New Roman"/>
          <w:sz w:val="20"/>
          <w:szCs w:val="20"/>
          <w:color w:val="auto"/>
        </w:rPr>
        <w:t>Securities Exchange Act of 1934</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Date of Report (Date of earliest event reported): February 6, 2019</w:t>
      </w:r>
    </w:p>
    <w:p>
      <w:pPr>
        <w:spacing w:after="0" w:line="22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WESTWOOD HOLDINGS GROUP, INC.</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pacing w:after="0" w:line="200" w:lineRule="exact"/>
        <w:rPr>
          <w:sz w:val="24"/>
          <w:szCs w:val="24"/>
          <w:color w:val="auto"/>
        </w:rPr>
      </w:pPr>
    </w:p>
    <w:p>
      <w:pPr>
        <w:spacing w:after="0" w:line="237" w:lineRule="exact"/>
        <w:rPr>
          <w:sz w:val="24"/>
          <w:szCs w:val="24"/>
          <w:color w:val="auto"/>
        </w:rPr>
      </w:pPr>
    </w:p>
    <w:p>
      <w:pPr>
        <w:ind w:left="500"/>
        <w:spacing w:after="0"/>
        <w:tabs>
          <w:tab w:leader="none" w:pos="1440" w:val="left"/>
          <w:tab w:leader="none" w:pos="2480" w:val="left"/>
        </w:tabs>
        <w:rPr>
          <w:sz w:val="20"/>
          <w:szCs w:val="20"/>
          <w:color w:val="auto"/>
        </w:rPr>
      </w:pPr>
      <w:r>
        <w:rPr>
          <w:rFonts w:ascii="Times New Roman" w:cs="Times New Roman" w:eastAsia="Times New Roman" w:hAnsi="Times New Roman"/>
          <w:sz w:val="20"/>
          <w:szCs w:val="20"/>
          <w:color w:val="auto"/>
        </w:rPr>
        <w:t>Delaware</w:t>
        <w:tab/>
        <w:t>001-31234</w:t>
      </w:r>
      <w:r>
        <w:rPr>
          <w:sz w:val="20"/>
          <w:szCs w:val="20"/>
          <w:color w:val="auto"/>
        </w:rPr>
        <w:tab/>
      </w:r>
      <w:r>
        <w:rPr>
          <w:rFonts w:ascii="Times New Roman" w:cs="Times New Roman" w:eastAsia="Times New Roman" w:hAnsi="Times New Roman"/>
          <w:sz w:val="19"/>
          <w:szCs w:val="19"/>
          <w:color w:val="auto"/>
        </w:rPr>
        <w:t>75-2969997</w:t>
      </w:r>
    </w:p>
    <w:p>
      <w:pPr>
        <w:spacing w:after="0" w:line="21" w:lineRule="exact"/>
        <w:rPr>
          <w:sz w:val="24"/>
          <w:szCs w:val="24"/>
          <w:color w:val="auto"/>
        </w:rPr>
      </w:pPr>
    </w:p>
    <w:p>
      <w:pPr>
        <w:spacing w:after="0"/>
        <w:tabs>
          <w:tab w:leader="none" w:pos="2260" w:val="left"/>
          <w:tab w:leader="none" w:pos="3540" w:val="left"/>
        </w:tabs>
        <w:rPr>
          <w:sz w:val="20"/>
          <w:szCs w:val="20"/>
          <w:color w:val="auto"/>
        </w:rPr>
      </w:pPr>
      <w:r>
        <w:rPr>
          <w:rFonts w:ascii="Times New Roman" w:cs="Times New Roman" w:eastAsia="Times New Roman" w:hAnsi="Times New Roman"/>
          <w:sz w:val="20"/>
          <w:szCs w:val="20"/>
          <w:color w:val="auto"/>
        </w:rPr>
        <w:t>(State or other jurisdiction</w:t>
        <w:tab/>
        <w:t>(Commission</w:t>
      </w:r>
      <w:r>
        <w:rPr>
          <w:sz w:val="20"/>
          <w:szCs w:val="20"/>
          <w:color w:val="auto"/>
        </w:rPr>
        <w:tab/>
      </w:r>
      <w:r>
        <w:rPr>
          <w:rFonts w:ascii="Times New Roman" w:cs="Times New Roman" w:eastAsia="Times New Roman" w:hAnsi="Times New Roman"/>
          <w:sz w:val="19"/>
          <w:szCs w:val="19"/>
          <w:color w:val="auto"/>
        </w:rPr>
        <w:t>(IRS Employer</w:t>
      </w:r>
    </w:p>
    <w:p>
      <w:pPr>
        <w:ind w:left="340"/>
        <w:spacing w:after="0"/>
        <w:tabs>
          <w:tab w:leader="none" w:pos="1900" w:val="left"/>
          <w:tab w:leader="none" w:pos="3180" w:val="left"/>
        </w:tabs>
        <w:rPr>
          <w:sz w:val="20"/>
          <w:szCs w:val="20"/>
          <w:color w:val="auto"/>
        </w:rPr>
      </w:pPr>
      <w:r>
        <w:rPr>
          <w:rFonts w:ascii="Times New Roman" w:cs="Times New Roman" w:eastAsia="Times New Roman" w:hAnsi="Times New Roman"/>
          <w:sz w:val="20"/>
          <w:szCs w:val="20"/>
          <w:color w:val="auto"/>
        </w:rPr>
        <w:t>of incorporation)</w:t>
        <w:tab/>
        <w:t>File Number)</w:t>
      </w:r>
      <w:r>
        <w:rPr>
          <w:sz w:val="20"/>
          <w:szCs w:val="20"/>
          <w:color w:val="auto"/>
        </w:rPr>
        <w:tab/>
      </w:r>
      <w:r>
        <w:rPr>
          <w:rFonts w:ascii="Times New Roman" w:cs="Times New Roman" w:eastAsia="Times New Roman" w:hAnsi="Times New Roman"/>
          <w:sz w:val="19"/>
          <w:szCs w:val="19"/>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200 Crescent Court, Suite 1200</w:t>
      </w:r>
    </w:p>
    <w:p>
      <w:pPr>
        <w:spacing w:after="0" w:line="2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Dallas, Texas 75201</w:t>
      </w:r>
    </w:p>
    <w:p>
      <w:pPr>
        <w:jc w:val="center"/>
        <w:ind w:right="-339"/>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(214) 756-6900</w:t>
      </w:r>
    </w:p>
    <w:p>
      <w:pPr>
        <w:spacing w:after="0" w:line="2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0" w:lineRule="exact"/>
        <w:rPr>
          <w:sz w:val="24"/>
          <w:szCs w:val="24"/>
          <w:color w:val="auto"/>
        </w:rPr>
      </w:pPr>
    </w:p>
    <w:p>
      <w:pPr>
        <w:spacing w:after="0" w:line="277" w:lineRule="exact"/>
        <w:rPr>
          <w:sz w:val="24"/>
          <w:szCs w:val="24"/>
          <w:color w:val="auto"/>
        </w:rPr>
      </w:pPr>
    </w:p>
    <w:p>
      <w:pPr>
        <w:ind w:firstLine="324"/>
        <w:spacing w:after="0" w:line="297"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20"/>
          <w:szCs w:val="20"/>
          <w:i w:val="1"/>
          <w:iCs w:val="1"/>
          <w:color w:val="auto"/>
        </w:rPr>
        <w:t>see</w:t>
      </w:r>
      <w:r>
        <w:rPr>
          <w:rFonts w:ascii="Times New Roman" w:cs="Times New Roman" w:eastAsia="Times New Roman" w:hAnsi="Times New Roman"/>
          <w:sz w:val="20"/>
          <w:szCs w:val="20"/>
          <w:color w:val="auto"/>
        </w:rPr>
        <w:t xml:space="preserve"> General Instruction A.2. below):</w:t>
      </w:r>
    </w:p>
    <w:p>
      <w:pPr>
        <w:spacing w:after="0" w:line="214" w:lineRule="exact"/>
        <w:rPr>
          <w:sz w:val="24"/>
          <w:szCs w:val="24"/>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73"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ectPr>
          <w:pgSz w:w="11900" w:h="16838" w:orient="portrait"/>
          <w:cols w:equalWidth="0" w:num="1">
            <w:col w:w="11100"/>
          </w:cols>
          <w:pgMar w:left="240" w:top="684" w:right="55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18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On February 6, 2019, Westwood Holdings Group, Inc. (“Westwood”) issued a press release entitled “Westwood Holdings Group, Inc. Reports Fourth Quarter and Fiscal Year 2018 Results”, a copy of which is furnished with this Current Report on Form 8-K as Exhibit 99.1.</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19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229"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$0.72 per common share, payable on April 1, 2019 to stockholders of record on March 8, 2019.</w:t>
      </w:r>
    </w:p>
    <w:p>
      <w:pPr>
        <w:spacing w:after="0" w:line="17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The following exhibit is furnished with this report:</w:t>
      </w:r>
    </w:p>
    <w:p>
      <w:pPr>
        <w:sectPr>
          <w:pgSz w:w="11900" w:h="16838" w:orient="portrait"/>
          <w:cols w:equalWidth="0" w:num="1">
            <w:col w:w="11380"/>
          </w:cols>
          <w:pgMar w:left="240" w:top="576" w:right="27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Description</w:t>
      </w:r>
    </w:p>
    <w:p>
      <w:pPr>
        <w:spacing w:after="0" w:line="200" w:lineRule="exact"/>
        <w:rPr>
          <w:sz w:val="20"/>
          <w:szCs w:val="20"/>
          <w:color w:val="auto"/>
        </w:rPr>
      </w:pPr>
    </w:p>
    <w:p>
      <w:pPr>
        <w:sectPr>
          <w:pgSz w:w="11900" w:h="16838" w:orient="portrait"/>
          <w:cols w:equalWidth="0" w:num="2">
            <w:col w:w="1560" w:space="720"/>
            <w:col w:w="9100"/>
          </w:cols>
          <w:pgMar w:left="240" w:top="576" w:right="279" w:bottom="1440" w:gutter="0" w:footer="0" w:header="0"/>
          <w:type w:val="continuous"/>
        </w:sectPr>
      </w:pPr>
    </w:p>
    <w:p>
      <w:pPr>
        <w:spacing w:after="0" w:line="41" w:lineRule="exact"/>
        <w:rPr>
          <w:sz w:val="20"/>
          <w:szCs w:val="20"/>
          <w:color w:val="auto"/>
        </w:rPr>
      </w:pPr>
    </w:p>
    <w:p>
      <w:pPr>
        <w:ind w:left="1300" w:right="100" w:hanging="1296"/>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20"/>
          <w:szCs w:val="20"/>
          <w:color w:val="auto"/>
        </w:rPr>
        <w:t>Press Release dated February 6, 2019, entitled “Westwood Holdings Group, Inc. Reports Fourth Quarter and Fiscal Year 2018 Results”.</w:t>
      </w:r>
    </w:p>
    <w:p>
      <w:pPr>
        <w:sectPr>
          <w:pgSz w:w="11900" w:h="16838" w:orient="portrait"/>
          <w:cols w:equalWidth="0" w:num="1">
            <w:col w:w="11380"/>
          </w:cols>
          <w:pgMar w:left="240" w:top="576" w:right="2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color w:val="auto"/>
        </w:rPr>
        <w:t>SIGNATURES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6, 2019</w:t>
      </w:r>
    </w:p>
    <w:p>
      <w:pPr>
        <w:spacing w:after="0" w:line="200" w:lineRule="exact"/>
        <w:rPr>
          <w:sz w:val="20"/>
          <w:szCs w:val="20"/>
          <w:color w:val="auto"/>
        </w:rPr>
      </w:pPr>
    </w:p>
    <w:p>
      <w:pPr>
        <w:spacing w:after="0" w:line="25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WESTWOOD HOLDINGS GROUP, INC.</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-10795</wp:posOffset>
            </wp:positionV>
            <wp:extent cx="130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735"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Murray Forbes III</w:t>
      </w:r>
    </w:p>
    <w:p>
      <w:pPr>
        <w:ind w:left="454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ectPr>
          <w:pgSz w:w="11900" w:h="16838" w:orient="portrait"/>
          <w:cols w:equalWidth="0" w:num="1">
            <w:col w:w="11420"/>
          </w:cols>
          <w:pgMar w:left="240" w:top="57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INDEX</w:t>
            </w:r>
          </w:p>
        </w:tc>
      </w:tr>
      <w:tr>
        <w:trPr>
          <w:trHeight w:val="439"/>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140" w:type="dxa"/>
            <w:vAlign w:val="bottom"/>
            <w:gridSpan w:val="3"/>
          </w:tcPr>
          <w:p>
            <w:pPr>
              <w:spacing w:after="0" w:line="20" w:lineRule="exact"/>
              <w:rPr>
                <w:sz w:val="1"/>
                <w:szCs w:val="1"/>
                <w:color w:val="auto"/>
              </w:rPr>
            </w:pPr>
          </w:p>
        </w:tc>
      </w:tr>
      <w:tr>
        <w:trPr>
          <w:trHeight w:val="466"/>
        </w:trPr>
        <w:tc>
          <w:tcPr>
            <w:tcW w:w="148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80" w:type="dxa"/>
            <w:vAlign w:val="bottom"/>
            <w:tcBorders>
              <w:bottom w:val="single" w:sz="8" w:color="0000FF"/>
            </w:tcBorders>
            <w:gridSpan w:val="5"/>
          </w:tcPr>
          <w:p>
            <w:pPr>
              <w:spacing w:after="0"/>
              <w:rPr>
                <w:rFonts w:ascii="Times New Roman" w:cs="Times New Roman" w:eastAsia="Times New Roman" w:hAnsi="Times New Roman"/>
                <w:sz w:val="22"/>
                <w:szCs w:val="22"/>
                <w:color w:val="0000FF"/>
                <w:w w:val="97"/>
              </w:rPr>
            </w:pPr>
            <w:hyperlink w:anchor="page5">
              <w:r>
                <w:rPr>
                  <w:rFonts w:ascii="Times New Roman" w:cs="Times New Roman" w:eastAsia="Times New Roman" w:hAnsi="Times New Roman"/>
                  <w:sz w:val="22"/>
                  <w:szCs w:val="22"/>
                  <w:color w:val="0000FF"/>
                  <w:w w:val="97"/>
                </w:rPr>
                <w:t>Press Release dated February 6, 2019, entitled “Westwood Holdings Group, Inc. Reports Fourth Quarter and</w:t>
              </w:r>
            </w:hyperlink>
          </w:p>
        </w:tc>
      </w:tr>
      <w:tr>
        <w:trPr>
          <w:trHeight w:val="237"/>
        </w:trPr>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Borders>
              <w:bottom w:val="single" w:sz="8" w:color="0000FF"/>
            </w:tcBorders>
            <w:gridSpan w:val="2"/>
          </w:tcPr>
          <w:p>
            <w:pPr>
              <w:spacing w:after="0" w:line="237" w:lineRule="exact"/>
              <w:rPr>
                <w:rFonts w:ascii="Times New Roman" w:cs="Times New Roman" w:eastAsia="Times New Roman" w:hAnsi="Times New Roman"/>
                <w:sz w:val="22"/>
                <w:szCs w:val="22"/>
                <w:color w:val="0000FF"/>
                <w:w w:val="96"/>
              </w:rPr>
            </w:pPr>
            <w:hyperlink w:anchor="page5">
              <w:r>
                <w:rPr>
                  <w:rFonts w:ascii="Times New Roman" w:cs="Times New Roman" w:eastAsia="Times New Roman" w:hAnsi="Times New Roman"/>
                  <w:sz w:val="22"/>
                  <w:szCs w:val="22"/>
                  <w:color w:val="0000FF"/>
                  <w:w w:val="96"/>
                </w:rPr>
                <w:t>Fiscal Year 2018 Results”</w:t>
              </w:r>
            </w:hyperlink>
          </w:p>
        </w:tc>
        <w:tc>
          <w:tcPr>
            <w:tcW w:w="7140" w:type="dxa"/>
            <w:vAlign w:val="bottom"/>
            <w:gridSpan w:val="3"/>
          </w:tcPr>
          <w:p>
            <w:pPr>
              <w:spacing w:after="0"/>
              <w:rPr>
                <w:sz w:val="20"/>
                <w:szCs w:val="20"/>
                <w:color w:val="auto"/>
              </w:rPr>
            </w:pPr>
          </w:p>
        </w:tc>
      </w:tr>
    </w:tbl>
    <w:p>
      <w:pPr>
        <w:sectPr>
          <w:pgSz w:w="11900" w:h="16838" w:orient="portrait"/>
          <w:cols w:equalWidth="0" w:num="1">
            <w:col w:w="11340"/>
          </w:cols>
          <w:pgMar w:left="240" w:top="787"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568960</wp:posOffset>
            </wp:positionV>
            <wp:extent cx="227266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272665" cy="7200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Westwood Holdings Group, Inc. Reports Fourth Quarter and Fiscal Year 2018 Results</w:t>
      </w:r>
    </w:p>
    <w:p>
      <w:pPr>
        <w:spacing w:after="0" w:line="26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Dallas, TX, February 6, 2019 – Westwood Holdings Group, Inc. (NYSE: WHG) today reported fourth quarter earnings. Highlights from the quarter include:</w:t>
      </w:r>
    </w:p>
    <w:p>
      <w:pPr>
        <w:spacing w:after="0" w:line="1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of $26.1 million compared with $33.9 million a year ago and $29.9 million in the third quarter.</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$5.4 million compared with $2.9 million in 2017's fourth quarter and was flat with the third quarter.</w:t>
      </w:r>
    </w:p>
    <w:p>
      <w:pPr>
        <w:spacing w:after="0" w:line="165" w:lineRule="exact"/>
        <w:rPr>
          <w:rFonts w:ascii="Times New Roman" w:cs="Times New Roman" w:eastAsia="Times New Roman" w:hAnsi="Times New Roman"/>
          <w:sz w:val="22"/>
          <w:szCs w:val="22"/>
          <w:color w:val="auto"/>
        </w:rPr>
      </w:pPr>
    </w:p>
    <w:p>
      <w:pPr>
        <w:ind w:left="660" w:right="40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LargeCap, SMidCap, Emerging Markets, Emerging Markets Plus and Emerging Markets SMid strategies beat their primary benchmarks.</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108,289 shares of our common stock for an aggregate purchase price of $4.0 million.</w:t>
      </w:r>
    </w:p>
    <w:p>
      <w:pPr>
        <w:spacing w:after="0" w:line="165" w:lineRule="exact"/>
        <w:rPr>
          <w:rFonts w:ascii="Times New Roman" w:cs="Times New Roman" w:eastAsia="Times New Roman" w:hAnsi="Times New Roman"/>
          <w:sz w:val="22"/>
          <w:szCs w:val="22"/>
          <w:color w:val="auto"/>
        </w:rPr>
      </w:pPr>
    </w:p>
    <w:p>
      <w:pPr>
        <w:ind w:left="660" w:right="200" w:hanging="328"/>
        <w:spacing w:after="0" w:line="271"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year-end, Westwood had $118.2 million in cash and short-term investments, stockholders' equity of $161.1 million and no debt.</w:t>
      </w:r>
    </w:p>
    <w:p>
      <w:pPr>
        <w:spacing w:after="0" w:line="104"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2"/>
          <w:szCs w:val="22"/>
          <w:color w:val="auto"/>
        </w:rPr>
        <w:t>Revenues of $26.1 million decreased $7.8 million from last year's fourth quarter on lower average assets (AUM) due to net outflows, market depreciation and the sale of the Omaha-based component of our Private Wealth business. Revenues decreased $3.7 million from the third quarter on lower average AUM.</w:t>
      </w:r>
    </w:p>
    <w:p>
      <w:pPr>
        <w:spacing w:after="0" w:line="14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AUM at December 31, 2018 totaled $16.6 billion, compared to $24.2 billion at December 31, 2017 and $20.8 billion at September 30, 2018.</w:t>
      </w:r>
    </w:p>
    <w:p>
      <w:pPr>
        <w:spacing w:after="0" w:line="13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Fourth quarter net income of $5.4 million compared with $2.9 million in 2017's fourth quarter primarily due to non-recurrence of a $3.4 million incremental tax expense as a result of tax reform, and current quarter foreign currency transaction gains, lower incentive compensation costs and a lower federal tax rate, partially offset by lower revenues. Diluted earnings per share (EPS) of $0.64 compared to $0.34 for the fourth quarter of 2017. Non-GAAP Economic Earnings increased from $7.6 million, or $0.89 per share, in 2017's fourth quarter to $9.5 million, or $1.12 per share.</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Fourth quarter net income of $5.4 million was flat with the third quarter. The current quarter benefited from foreign currency transaction gains and lower incentive compensation expense, offset by lower revenues. Diluted EPS of $0.64 compared to $0.62 for the third quarter. Non-GAAP Economic Earnings were flat at $9.5 million, or $1.12 per share, compared with $1.11 per share for the third quarter.</w:t>
      </w:r>
    </w:p>
    <w:p>
      <w:pPr>
        <w:spacing w:after="0" w:line="15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Total revenues for 2018 of $122.3 million compared with $133.8 million in 2017 due to a $9.8 million decrease in asset-based advisory fees and a $2.7 million decrease in Trust fees reflecting lower average AUM, partially offset by a $1.6 million increase in performance-based advisory fees earned in 2018.</w:t>
      </w:r>
    </w:p>
    <w:p>
      <w:pPr>
        <w:sectPr>
          <w:pgSz w:w="11900" w:h="16838" w:orient="portrait"/>
          <w:cols w:equalWidth="0" w:num="1">
            <w:col w:w="11400"/>
          </w:cols>
          <w:pgMar w:left="240" w:top="1440" w:right="259" w:bottom="1440" w:gutter="0" w:footer="0" w:header="0"/>
        </w:sectPr>
      </w:pPr>
    </w:p>
    <w:bookmarkStart w:id="5" w:name="page6"/>
    <w:bookmarkEnd w:id="5"/>
    <w:p>
      <w:pPr>
        <w:ind w:right="320"/>
        <w:spacing w:after="0" w:line="275" w:lineRule="auto"/>
        <w:rPr>
          <w:sz w:val="20"/>
          <w:szCs w:val="20"/>
          <w:color w:val="auto"/>
        </w:rPr>
      </w:pPr>
      <w:r>
        <w:rPr>
          <w:rFonts w:ascii="Times New Roman" w:cs="Times New Roman" w:eastAsia="Times New Roman" w:hAnsi="Times New Roman"/>
          <w:sz w:val="21"/>
          <w:szCs w:val="21"/>
          <w:color w:val="auto"/>
        </w:rPr>
        <w:t>Net income for 2018 of $26.8 million compared with $20.0 million in 2017. The current year benefited from foreign currency transaction gains, lower incentive compensation expense and a lower federal tax rate as a result of tax reform, partially offset by lower revenues. Diluted EPS was $3.13 compared with $2.38 for 2017. Economic EPS was $5.14 compared with $4.63 in 2017.</w:t>
      </w:r>
    </w:p>
    <w:p>
      <w:pPr>
        <w:spacing w:after="0" w:line="156"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2"/>
          <w:szCs w:val="22"/>
          <w:color w:val="auto"/>
        </w:rPr>
        <w:t>Brian Casey, Westwood’s President &amp; CEO, commented, “Our long-standing focus on holding high-quality companies that are better positioned to withstand severe downturns proved rewarding for our clients. The fourth quarter turned out to be one of the worst on record for nearly all asset classes. Of course, our actively managed strategies were not immune to downward market pressures; however, they held up relatively well when compared to the performance of purely passive funds.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Naturally we are disappointed with the net outflows this year, but we are not standing still. Our investment teams are working hard to deliver competitive results in all market environments, and we continue to build our retail and institutional distribution teams. We are excited to introduce our LargeCap Select product this quarter following five years of incubation, and our Flexible Income product was launched as a new mutual fund late last year.”</w:t>
      </w:r>
    </w:p>
    <w:p>
      <w:pPr>
        <w:spacing w:after="0" w:line="220"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Westwood’s Board of Directors declared a quarterly cash dividend of $0.72 per common share, payable on April 1, 2019 to stockholders of record on March 8, 2019.</w:t>
      </w:r>
    </w:p>
    <w:p>
      <w:pPr>
        <w:spacing w:after="0" w:line="198"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22"/>
          <w:szCs w:val="22"/>
          <w:color w:val="auto"/>
        </w:rPr>
        <w:t>Economic Earnings and Economic EPS are non-GAAP performance measures and are explained and reconciled with the most comparable GAAP numbers in the attached tables.</w:t>
      </w:r>
    </w:p>
    <w:p>
      <w:pPr>
        <w:spacing w:after="0" w:line="19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Westwood will host a conference call to discuss fourth quarter and fiscal year 2018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February 13, 2019 by dialing 855-859-2056 (U.S. and Canada) or 404-537-3406 (international) and entering the passcode 7483568.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w:t>
      </w:r>
    </w:p>
    <w:p>
      <w:pPr>
        <w:spacing w:after="0" w:line="26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2"/>
          <w:szCs w:val="22"/>
          <w:color w:val="auto"/>
        </w:rPr>
        <w:t>Westwood Holdings Group, Inc. provides investment management services to institutional investors, private wealth clients and financial intermediaries. The firm has $16.6 billion in assets under management, of which $3.0 billion are in values-based and socially responsible investment mandates as of December 31, 2018. Westwood offers a range of investment strategies including U.S. equities, Multi-Asset,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Westwood also maintains offices in Toronto, Boston and Houston.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ectPr>
          <w:pgSz w:w="11900" w:h="16838" w:orient="portrait"/>
          <w:cols w:equalWidth="0" w:num="1">
            <w:col w:w="11420"/>
          </w:cols>
          <w:pgMar w:left="240" w:top="625"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6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 investments in foreign companies; our ability to develop and market new investment strategies successfully; our relationships with current and potential customers; our ability to retain qualified personnel; our ability to perform operational tasks; our ability to maintain effective cyber security; our ability to identify and execute on our strategic initiatives; our ability to select and oversee third party vendors; our ability to maintain effective information systems;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 filings, including, but not limited to, its annual report on Form 10-K for the year ended December 31, 2017 and its quarterly reports on Form 10-Q for the quarters ended March 31, 2018, June 30, 2018, and September 30, 2018.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360"/>
          </w:cols>
          <w:pgMar w:left="240" w:top="62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ind w:right="3460"/>
        <w:spacing w:after="0" w:line="248" w:lineRule="auto"/>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7"/>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Advisory fees: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Asset-based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25,576</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Performance-based</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Trust fees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8,051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33,914</w:t>
            </w:r>
          </w:p>
        </w:tc>
      </w:tr>
      <w:tr>
        <w:trPr>
          <w:trHeight w:val="264"/>
        </w:trPr>
        <w:tc>
          <w:tcPr>
            <w:tcW w:w="67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16,080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Westwood mutual funds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1,189</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Information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2,291</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1,421</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24,126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9,788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2,897</w:t>
            </w:r>
          </w:p>
        </w:tc>
      </w:tr>
      <w:tr>
        <w:trPr>
          <w:trHeight w:val="67"/>
        </w:trPr>
        <w:tc>
          <w:tcPr>
            <w:tcW w:w="67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3,356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0.34</w:t>
            </w:r>
          </w:p>
        </w:tc>
      </w:tr>
      <w:tr>
        <w:trPr>
          <w:trHeight w:val="297"/>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8,383,972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8,402,697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8,181,546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8,503,522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8,598,230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8,546,936</w:t>
            </w:r>
          </w:p>
        </w:tc>
      </w:tr>
      <w:tr>
        <w:trPr>
          <w:trHeight w:val="297"/>
        </w:trPr>
        <w:tc>
          <w:tcPr>
            <w:tcW w:w="6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Economic EPS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0.89</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r>
    </w:tbl>
    <w:p>
      <w:pPr>
        <w:sectPr>
          <w:pgSz w:w="11900" w:h="16838" w:orient="portrait"/>
          <w:cols w:equalWidth="0" w:num="1">
            <w:col w:w="11420"/>
          </w:cols>
          <w:pgMar w:left="240" w:top="62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ind w:right="3460"/>
        <w:spacing w:after="0" w:line="248" w:lineRule="auto"/>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Advisory fees: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Asset-based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99,201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Performance-based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Trust fees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31,621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122,300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133,785</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Westwood mutual funds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Information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Legal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86,362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99,892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33,893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23,632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22,512</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8,365,360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8,147,742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8,547,370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8,400,022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43,943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1" w:right="239" w:bottom="1440" w:gutter="0" w:footer="0" w:header="0"/>
        </w:sectPr>
      </w:pPr>
    </w:p>
    <w:bookmarkStart w:id="9" w:name="page10"/>
    <w:bookmarkEnd w:id="9"/>
    <w:p>
      <w:pPr>
        <w:ind w:right="5380"/>
        <w:spacing w:after="0" w:line="252" w:lineRule="auto"/>
        <w:rPr>
          <w:sz w:val="20"/>
          <w:szCs w:val="20"/>
          <w:color w:val="auto"/>
        </w:rPr>
      </w:pPr>
      <w:r>
        <w:rPr>
          <w:rFonts w:ascii="Times New Roman" w:cs="Times New Roman" w:eastAsia="Times New Roman" w:hAnsi="Times New Roman"/>
          <w:sz w:val="22"/>
          <w:szCs w:val="22"/>
          <w:b w:val="1"/>
          <w:bCs w:val="1"/>
          <w:color w:val="auto"/>
        </w:rPr>
        <w:t>WESTWOOD HOLDINGS GROUP, INC. AND SUBSIDIARIES CONDENSED CONSOLIDATED BALANCE SHEETS (in thousands, except par value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54,249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21,660</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51,324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income taxes</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4,269</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6,612</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139,739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138,114</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27,144</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19,804</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$6,462 and $5,673</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4,190</w:t>
            </w:r>
          </w:p>
        </w:tc>
      </w:tr>
      <w:tr>
        <w:trPr>
          <w:trHeight w:val="297"/>
        </w:trPr>
        <w:tc>
          <w:tcPr>
            <w:tcW w:w="834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190,485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192,659</w:t>
            </w:r>
          </w:p>
        </w:tc>
      </w:tr>
      <w:tr>
        <w:trPr>
          <w:trHeight w:val="284"/>
        </w:trPr>
        <w:tc>
          <w:tcPr>
            <w:tcW w:w="8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3,501</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payable</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19,075</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25,695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31,531</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dividends</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tax payable</w:t>
            </w:r>
          </w:p>
        </w:tc>
        <w:tc>
          <w:tcPr>
            <w:tcW w:w="4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1,017</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rent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29,336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36,263</w:t>
            </w:r>
          </w:p>
        </w:tc>
      </w:tr>
      <w:tr>
        <w:trPr>
          <w:trHeight w:val="27"/>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$0.01 par value, authorized 25,000,000 shares, issued 10,182,583 and outstanding 8,904,902</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at December 31, 2018; issued 9,980,827 and outstanding 8,899,587 shares at December 31, 2017</w:t>
            </w:r>
          </w:p>
        </w:tc>
        <w:tc>
          <w:tcPr>
            <w:tcW w:w="4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194,116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179,241</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at cost – 1,277,681 shares at December 31, 2018; 1,081,240 shares at December 31, 2017</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28,607</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161,149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156,396</w:t>
            </w:r>
          </w:p>
        </w:tc>
      </w:tr>
      <w:tr>
        <w:trPr>
          <w:trHeight w:val="27"/>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192,659</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13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26,751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19,989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1,872</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Unrealized (gains) losses on trading investments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16,430</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7,542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Gain on sale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(purchases) sales of investments – trading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5,778</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2,262</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7"/>
        </w:trPr>
        <w:tc>
          <w:tcPr>
            <w:tcW w:w="83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31,484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48,009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property, equipment and other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Omaha divestiture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Purchases of treasury stock</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Purchases of treasury stock for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Net cash used in financing activities</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Effect of currency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(21,923)</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(28,577)</w:t>
            </w:r>
          </w:p>
        </w:tc>
      </w:tr>
      <w:tr>
        <w:trPr>
          <w:trHeight w:val="270"/>
        </w:trPr>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2,305</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20,570</w:t>
            </w:r>
          </w:p>
        </w:tc>
      </w:tr>
      <w:tr>
        <w:trPr>
          <w:trHeight w:val="270"/>
        </w:trPr>
        <w:tc>
          <w:tcPr>
            <w:tcW w:w="50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54,249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33,679</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52,449</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54,249</w:t>
            </w:r>
          </w:p>
        </w:tc>
      </w:tr>
      <w:tr>
        <w:trPr>
          <w:trHeight w:val="33"/>
        </w:trPr>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621" w:right="239" w:bottom="1440" w:gutter="0" w:footer="0" w:header="0"/>
          <w:type w:val="continuous"/>
        </w:sectPr>
      </w:pP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Supplemental cash flow information: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27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9,766</w:t>
            </w:r>
          </w:p>
        </w:tc>
        <w:tc>
          <w:tcPr>
            <w:tcW w:w="6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10,770</w:t>
            </w:r>
          </w:p>
        </w:tc>
      </w:tr>
      <w:tr>
        <w:trPr>
          <w:trHeight w:val="33"/>
        </w:trPr>
        <w:tc>
          <w:tcPr>
            <w:tcW w:w="6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dividends</w:t>
            </w:r>
          </w:p>
        </w:tc>
        <w:tc>
          <w:tcPr>
            <w:tcW w:w="278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9,286</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9,074</w:t>
            </w:r>
          </w:p>
        </w:tc>
      </w:tr>
      <w:tr>
        <w:trPr>
          <w:trHeight w:val="237"/>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Tenant allowance included in Property and equipment</w:t>
            </w:r>
          </w:p>
        </w:tc>
        <w:tc>
          <w:tcPr>
            <w:tcW w:w="278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237</w:t>
            </w:r>
          </w:p>
        </w:tc>
        <w:tc>
          <w:tcPr>
            <w:tcW w:w="6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Non-cash accrued Property and equipment</w:t>
            </w:r>
          </w:p>
        </w:tc>
        <w:tc>
          <w:tcPr>
            <w:tcW w:w="27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r>
      <w:tr>
        <w:trPr>
          <w:trHeight w:val="33"/>
        </w:trPr>
        <w:tc>
          <w:tcPr>
            <w:tcW w:w="612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1" w:right="239" w:bottom="1440" w:gutter="0" w:footer="0" w:header="0"/>
          <w:type w:val="continuous"/>
        </w:sectPr>
      </w:pPr>
    </w:p>
    <w:bookmarkStart w:id="11" w:name="page12"/>
    <w:bookmarkEnd w:id="11"/>
    <w:p>
      <w:pPr>
        <w:ind w:right="5380"/>
        <w:spacing w:after="0" w:line="252" w:lineRule="auto"/>
        <w:rPr>
          <w:sz w:val="20"/>
          <w:szCs w:val="20"/>
          <w:color w:val="auto"/>
        </w:rPr>
      </w:pPr>
      <w:r>
        <w:rPr>
          <w:rFonts w:ascii="Times New Roman" w:cs="Times New Roman" w:eastAsia="Times New Roman" w:hAnsi="Times New Roman"/>
          <w:sz w:val="22"/>
          <w:szCs w:val="22"/>
          <w:b w:val="1"/>
          <w:bCs w:val="1"/>
          <w:color w:val="auto"/>
        </w:rPr>
        <w:t>WESTWOOD HOLDINGS GROUP, INC. AND SUBSIDIARIES Reconciliation of Net Income to Economic Earnings (in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7"/>
        </w:trPr>
        <w:tc>
          <w:tcPr>
            <w:tcW w:w="70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07"/>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5,413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2,897</w:t>
            </w:r>
          </w:p>
        </w:tc>
      </w:tr>
      <w:tr>
        <w:trPr>
          <w:trHeight w:val="243"/>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4,132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9,515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8,503,522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8,598,230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8,546,936</w:t>
            </w:r>
          </w:p>
        </w:tc>
      </w:tr>
      <w:tr>
        <w:trPr>
          <w:trHeight w:val="243"/>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Economic EPS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0.89</w:t>
            </w:r>
          </w:p>
        </w:tc>
      </w:tr>
      <w:tr>
        <w:trPr>
          <w:trHeight w:val="65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33"/>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19,989</w:t>
            </w:r>
          </w:p>
        </w:tc>
      </w:tr>
      <w:tr>
        <w:trPr>
          <w:trHeight w:val="243"/>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16,430</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1,872</w:t>
            </w:r>
          </w:p>
        </w:tc>
      </w:tr>
      <w:tr>
        <w:trPr>
          <w:trHeight w:val="243"/>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43,943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38,917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8,547,370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8,400,022</w:t>
            </w:r>
          </w:p>
        </w:tc>
      </w:tr>
      <w:tr>
        <w:trPr>
          <w:trHeight w:val="243"/>
        </w:trPr>
        <w:tc>
          <w:tcPr>
            <w:tcW w:w="7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Economic EPS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4.63</w:t>
            </w:r>
          </w:p>
        </w:tc>
      </w:tr>
    </w:tbl>
    <w:p>
      <w:pPr>
        <w:spacing w:after="0" w:line="16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22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2019-12-28T16:59:04Z</dcterms:created>
  <dcterms:modified xsi:type="dcterms:W3CDTF">2019-12-28T16:59:04Z</dcterms:modified>
</cp:coreProperties>
</file>