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12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20" w:lineRule="exact"/>
        <w:rPr>
          <w:sz w:val="24"/>
          <w:szCs w:val="24"/>
          <w:color w:val="auto"/>
        </w:rPr>
      </w:pPr>
    </w:p>
    <w:p>
      <w:pPr>
        <w:ind w:left="480" w:hanging="344"/>
        <w:spacing w:after="0"/>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9" w:lineRule="exact"/>
        <w:rPr>
          <w:sz w:val="24"/>
          <w:szCs w:val="24"/>
          <w:color w:val="auto"/>
        </w:rPr>
      </w:pPr>
    </w:p>
    <w:tbl>
      <w:tblPr>
        <w:tblLayout w:type="fixed"/>
        <w:tblInd w:w="37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3140" w:type="dxa"/>
            <w:vAlign w:val="bottom"/>
            <w:gridSpan w:val="3"/>
          </w:tcPr>
          <w:p>
            <w:pPr>
              <w:ind w:left="600"/>
              <w:spacing w:after="0"/>
              <w:rPr>
                <w:sz w:val="20"/>
                <w:szCs w:val="20"/>
                <w:color w:val="auto"/>
              </w:rPr>
            </w:pPr>
            <w:r>
              <w:rPr>
                <w:rFonts w:ascii="Arial" w:cs="Arial" w:eastAsia="Arial" w:hAnsi="Arial"/>
                <w:sz w:val="18"/>
                <w:szCs w:val="18"/>
                <w:b w:val="1"/>
                <w:bCs w:val="1"/>
                <w:color w:val="auto"/>
                <w:w w:val="89"/>
              </w:rPr>
              <w:t>Commission file number 1-31234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132"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WESTWOOD HOLDINGS GROUP, INC.</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31" w:lineRule="exact"/>
        <w:rPr>
          <w:sz w:val="24"/>
          <w:szCs w:val="24"/>
          <w:color w:val="auto"/>
        </w:rPr>
      </w:pPr>
    </w:p>
    <w:tbl>
      <w:tblPr>
        <w:tblLayout w:type="fixed"/>
        <w:tblInd w:w="420" w:type="dxa"/>
        <w:tblCellMar>
          <w:top w:w="0" w:type="dxa"/>
          <w:left w:w="0" w:type="dxa"/>
          <w:bottom w:w="0" w:type="dxa"/>
          <w:right w:w="0" w:type="dxa"/>
        </w:tblCellMar>
      </w:tblPr>
      <w:tr>
        <w:trPr>
          <w:trHeight w:val="229"/>
        </w:trPr>
        <w:tc>
          <w:tcPr>
            <w:tcW w:w="3560" w:type="dxa"/>
            <w:vAlign w:val="bottom"/>
          </w:tcPr>
          <w:p>
            <w:pPr>
              <w:jc w:val="center"/>
              <w:ind w:right="17"/>
              <w:spacing w:after="0"/>
              <w:rPr>
                <w:sz w:val="20"/>
                <w:szCs w:val="20"/>
                <w:color w:val="auto"/>
              </w:rPr>
            </w:pPr>
            <w:r>
              <w:rPr>
                <w:rFonts w:ascii="Arial" w:cs="Arial" w:eastAsia="Arial" w:hAnsi="Arial"/>
                <w:sz w:val="18"/>
                <w:szCs w:val="18"/>
                <w:b w:val="1"/>
                <w:bCs w:val="1"/>
                <w:color w:val="auto"/>
                <w:w w:val="93"/>
              </w:rPr>
              <w:t>Delaware</w:t>
            </w:r>
          </w:p>
        </w:tc>
        <w:tc>
          <w:tcPr>
            <w:tcW w:w="6100" w:type="dxa"/>
            <w:vAlign w:val="bottom"/>
          </w:tcPr>
          <w:p>
            <w:pPr>
              <w:jc w:val="right"/>
              <w:ind w:right="479"/>
              <w:spacing w:after="0"/>
              <w:rPr>
                <w:sz w:val="20"/>
                <w:szCs w:val="20"/>
                <w:color w:val="auto"/>
              </w:rPr>
            </w:pPr>
            <w:r>
              <w:rPr>
                <w:rFonts w:ascii="Arial" w:cs="Arial" w:eastAsia="Arial" w:hAnsi="Arial"/>
                <w:sz w:val="18"/>
                <w:szCs w:val="18"/>
                <w:b w:val="1"/>
                <w:bCs w:val="1"/>
                <w:color w:val="auto"/>
              </w:rPr>
              <w:t>75-2969997</w:t>
            </w:r>
          </w:p>
        </w:tc>
      </w:tr>
      <w:tr>
        <w:trPr>
          <w:trHeight w:val="182"/>
        </w:trPr>
        <w:tc>
          <w:tcPr>
            <w:tcW w:w="3560" w:type="dxa"/>
            <w:vAlign w:val="bottom"/>
          </w:tcPr>
          <w:p>
            <w:pPr>
              <w:jc w:val="center"/>
              <w:ind w:right="3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6100" w:type="dxa"/>
            <w:vAlign w:val="bottom"/>
          </w:tcPr>
          <w:p>
            <w:pPr>
              <w:jc w:val="center"/>
              <w:ind w:left="4019"/>
              <w:spacing w:after="0"/>
              <w:rPr>
                <w:sz w:val="20"/>
                <w:szCs w:val="20"/>
                <w:color w:val="auto"/>
              </w:rPr>
            </w:pPr>
            <w:r>
              <w:rPr>
                <w:rFonts w:ascii="Arial" w:cs="Arial" w:eastAsia="Arial" w:hAnsi="Arial"/>
                <w:sz w:val="14"/>
                <w:szCs w:val="14"/>
                <w:color w:val="auto"/>
                <w:w w:val="98"/>
              </w:rPr>
              <w:t>(IRS Employer Identification No.)</w:t>
            </w:r>
          </w:p>
        </w:tc>
      </w:tr>
      <w:tr>
        <w:trPr>
          <w:trHeight w:val="439"/>
        </w:trPr>
        <w:tc>
          <w:tcPr>
            <w:tcW w:w="3560" w:type="dxa"/>
            <w:vAlign w:val="bottom"/>
          </w:tcPr>
          <w:p>
            <w:pPr>
              <w:jc w:val="center"/>
              <w:ind w:right="17"/>
              <w:spacing w:after="0"/>
              <w:rPr>
                <w:sz w:val="20"/>
                <w:szCs w:val="20"/>
                <w:color w:val="auto"/>
              </w:rPr>
            </w:pPr>
            <w:r>
              <w:rPr>
                <w:rFonts w:ascii="Arial" w:cs="Arial" w:eastAsia="Arial" w:hAnsi="Arial"/>
                <w:sz w:val="18"/>
                <w:szCs w:val="18"/>
                <w:b w:val="1"/>
                <w:bCs w:val="1"/>
                <w:color w:val="auto"/>
                <w:w w:val="97"/>
              </w:rPr>
              <w:t>200 CRESCENT COURT, SUITE 1200</w:t>
            </w:r>
          </w:p>
        </w:tc>
        <w:tc>
          <w:tcPr>
            <w:tcW w:w="6100" w:type="dxa"/>
            <w:vAlign w:val="bottom"/>
          </w:tcPr>
          <w:p>
            <w:pPr>
              <w:spacing w:after="0"/>
              <w:rPr>
                <w:sz w:val="24"/>
                <w:szCs w:val="24"/>
                <w:color w:val="auto"/>
              </w:rPr>
            </w:pPr>
          </w:p>
        </w:tc>
      </w:tr>
      <w:tr>
        <w:trPr>
          <w:trHeight w:val="229"/>
        </w:trPr>
        <w:tc>
          <w:tcPr>
            <w:tcW w:w="3560" w:type="dxa"/>
            <w:vAlign w:val="bottom"/>
          </w:tcPr>
          <w:p>
            <w:pPr>
              <w:ind w:left="920"/>
              <w:spacing w:after="0"/>
              <w:rPr>
                <w:sz w:val="20"/>
                <w:szCs w:val="20"/>
                <w:color w:val="auto"/>
              </w:rPr>
            </w:pPr>
            <w:r>
              <w:rPr>
                <w:rFonts w:ascii="Arial" w:cs="Arial" w:eastAsia="Arial" w:hAnsi="Arial"/>
                <w:sz w:val="18"/>
                <w:szCs w:val="18"/>
                <w:b w:val="1"/>
                <w:bCs w:val="1"/>
                <w:color w:val="auto"/>
              </w:rPr>
              <w:t>DALLAS, Texas</w:t>
            </w:r>
          </w:p>
        </w:tc>
        <w:tc>
          <w:tcPr>
            <w:tcW w:w="6100" w:type="dxa"/>
            <w:vAlign w:val="bottom"/>
          </w:tcPr>
          <w:p>
            <w:pPr>
              <w:jc w:val="right"/>
              <w:ind w:right="699"/>
              <w:spacing w:after="0"/>
              <w:rPr>
                <w:sz w:val="20"/>
                <w:szCs w:val="20"/>
                <w:color w:val="auto"/>
              </w:rPr>
            </w:pPr>
            <w:r>
              <w:rPr>
                <w:rFonts w:ascii="Arial" w:cs="Arial" w:eastAsia="Arial" w:hAnsi="Arial"/>
                <w:sz w:val="18"/>
                <w:szCs w:val="18"/>
                <w:b w:val="1"/>
                <w:bCs w:val="1"/>
                <w:color w:val="auto"/>
              </w:rPr>
              <w:t>75201</w:t>
            </w:r>
          </w:p>
        </w:tc>
      </w:tr>
      <w:tr>
        <w:trPr>
          <w:trHeight w:val="182"/>
        </w:trPr>
        <w:tc>
          <w:tcPr>
            <w:tcW w:w="3560" w:type="dxa"/>
            <w:vAlign w:val="bottom"/>
          </w:tcPr>
          <w:p>
            <w:pPr>
              <w:jc w:val="center"/>
              <w:ind w:right="17"/>
              <w:spacing w:after="0"/>
              <w:rPr>
                <w:sz w:val="20"/>
                <w:szCs w:val="20"/>
                <w:color w:val="auto"/>
              </w:rPr>
            </w:pPr>
            <w:r>
              <w:rPr>
                <w:rFonts w:ascii="Arial" w:cs="Arial" w:eastAsia="Arial" w:hAnsi="Arial"/>
                <w:sz w:val="14"/>
                <w:szCs w:val="14"/>
                <w:color w:val="auto"/>
                <w:w w:val="95"/>
              </w:rPr>
              <w:t>(Address of principal executive office)</w:t>
            </w:r>
          </w:p>
        </w:tc>
        <w:tc>
          <w:tcPr>
            <w:tcW w:w="6100" w:type="dxa"/>
            <w:vAlign w:val="bottom"/>
          </w:tcPr>
          <w:p>
            <w:pPr>
              <w:jc w:val="center"/>
              <w:ind w:left="4019"/>
              <w:spacing w:after="0"/>
              <w:rPr>
                <w:sz w:val="20"/>
                <w:szCs w:val="20"/>
                <w:color w:val="auto"/>
              </w:rPr>
            </w:pPr>
            <w:r>
              <w:rPr>
                <w:rFonts w:ascii="Arial" w:cs="Arial" w:eastAsia="Arial" w:hAnsi="Arial"/>
                <w:sz w:val="14"/>
                <w:szCs w:val="14"/>
                <w:color w:val="auto"/>
                <w:w w:val="96"/>
              </w:rPr>
              <w:t>(Zip Code)</w:t>
            </w:r>
          </w:p>
        </w:tc>
      </w:tr>
      <w:tr>
        <w:trPr>
          <w:trHeight w:val="358"/>
        </w:trPr>
        <w:tc>
          <w:tcPr>
            <w:tcW w:w="3560" w:type="dxa"/>
            <w:vAlign w:val="bottom"/>
          </w:tcPr>
          <w:p>
            <w:pPr>
              <w:spacing w:after="0"/>
              <w:rPr>
                <w:sz w:val="24"/>
                <w:szCs w:val="24"/>
                <w:color w:val="auto"/>
              </w:rPr>
            </w:pPr>
          </w:p>
        </w:tc>
        <w:tc>
          <w:tcPr>
            <w:tcW w:w="6100" w:type="dxa"/>
            <w:vAlign w:val="bottom"/>
          </w:tcPr>
          <w:p>
            <w:pPr>
              <w:jc w:val="right"/>
              <w:ind w:right="3819"/>
              <w:spacing w:after="0"/>
              <w:rPr>
                <w:sz w:val="20"/>
                <w:szCs w:val="20"/>
                <w:color w:val="auto"/>
              </w:rPr>
            </w:pPr>
            <w:r>
              <w:rPr>
                <w:rFonts w:ascii="Arial" w:cs="Arial" w:eastAsia="Arial" w:hAnsi="Arial"/>
                <w:sz w:val="18"/>
                <w:szCs w:val="18"/>
                <w:b w:val="1"/>
                <w:bCs w:val="1"/>
                <w:color w:val="auto"/>
              </w:rPr>
              <w:t>(214) 756-6900</w:t>
            </w:r>
          </w:p>
        </w:tc>
      </w:tr>
      <w:tr>
        <w:trPr>
          <w:trHeight w:val="182"/>
        </w:trPr>
        <w:tc>
          <w:tcPr>
            <w:tcW w:w="3560" w:type="dxa"/>
            <w:vAlign w:val="bottom"/>
          </w:tcPr>
          <w:p>
            <w:pPr>
              <w:spacing w:after="0"/>
              <w:rPr>
                <w:sz w:val="15"/>
                <w:szCs w:val="15"/>
                <w:color w:val="auto"/>
              </w:rPr>
            </w:pPr>
          </w:p>
        </w:tc>
        <w:tc>
          <w:tcPr>
            <w:tcW w:w="6100" w:type="dxa"/>
            <w:vAlign w:val="bottom"/>
          </w:tcPr>
          <w:p>
            <w:pPr>
              <w:jc w:val="center"/>
              <w:ind w:right="2739"/>
              <w:spacing w:after="0"/>
              <w:rPr>
                <w:sz w:val="20"/>
                <w:szCs w:val="20"/>
                <w:color w:val="auto"/>
              </w:rPr>
            </w:pPr>
            <w:r>
              <w:rPr>
                <w:rFonts w:ascii="Arial" w:cs="Arial" w:eastAsia="Arial" w:hAnsi="Arial"/>
                <w:sz w:val="14"/>
                <w:szCs w:val="14"/>
                <w:color w:val="auto"/>
                <w:w w:val="92"/>
              </w:rPr>
              <w:t>(Registrant’s telephone number, including area code)</w:t>
            </w:r>
          </w:p>
        </w:tc>
      </w:tr>
    </w:tbl>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9" w:lineRule="exact"/>
        <w:rPr>
          <w:sz w:val="24"/>
          <w:szCs w:val="24"/>
          <w:color w:val="auto"/>
        </w:rPr>
      </w:pPr>
    </w:p>
    <w:tbl>
      <w:tblPr>
        <w:tblLayout w:type="fixed"/>
        <w:tblInd w:w="86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40" w:type="dxa"/>
            <w:vAlign w:val="bottom"/>
            <w:gridSpan w:val="3"/>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74"/>
        </w:trPr>
        <w:tc>
          <w:tcPr>
            <w:tcW w:w="6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Title of Each Class</w:t>
            </w: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198"/>
        </w:trPr>
        <w:tc>
          <w:tcPr>
            <w:tcW w:w="2760" w:type="dxa"/>
            <w:vAlign w:val="bottom"/>
            <w:gridSpan w:val="3"/>
          </w:tcPr>
          <w:p>
            <w:pPr>
              <w:jc w:val="center"/>
              <w:ind w:right="360"/>
              <w:spacing w:after="0"/>
              <w:rPr>
                <w:sz w:val="20"/>
                <w:szCs w:val="20"/>
                <w:color w:val="auto"/>
              </w:rPr>
            </w:pPr>
            <w:r>
              <w:rPr>
                <w:rFonts w:ascii="Arial" w:cs="Arial" w:eastAsia="Arial" w:hAnsi="Arial"/>
                <w:sz w:val="14"/>
                <w:szCs w:val="14"/>
                <w:color w:val="auto"/>
                <w:w w:val="92"/>
              </w:rPr>
              <w:t>Common stock, par value $0.01 per share</w:t>
            </w:r>
          </w:p>
        </w:tc>
        <w:tc>
          <w:tcPr>
            <w:tcW w:w="1520" w:type="dxa"/>
            <w:vAlign w:val="bottom"/>
          </w:tcPr>
          <w:p>
            <w:pPr>
              <w:spacing w:after="0"/>
              <w:rPr>
                <w:sz w:val="17"/>
                <w:szCs w:val="17"/>
                <w:color w:val="auto"/>
              </w:rPr>
            </w:pPr>
          </w:p>
        </w:tc>
        <w:tc>
          <w:tcPr>
            <w:tcW w:w="2420" w:type="dxa"/>
            <w:vAlign w:val="bottom"/>
            <w:gridSpan w:val="2"/>
          </w:tcPr>
          <w:p>
            <w:pPr>
              <w:ind w:left="300"/>
              <w:spacing w:after="0"/>
              <w:rPr>
                <w:sz w:val="20"/>
                <w:szCs w:val="20"/>
                <w:color w:val="auto"/>
              </w:rPr>
            </w:pPr>
            <w:r>
              <w:rPr>
                <w:rFonts w:ascii="Arial" w:cs="Arial" w:eastAsia="Arial" w:hAnsi="Arial"/>
                <w:sz w:val="14"/>
                <w:szCs w:val="14"/>
                <w:color w:val="auto"/>
              </w:rPr>
              <w:t>WHG</w:t>
            </w:r>
          </w:p>
        </w:tc>
        <w:tc>
          <w:tcPr>
            <w:tcW w:w="2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128" w:lineRule="exact"/>
        <w:rPr>
          <w:sz w:val="24"/>
          <w:szCs w:val="24"/>
          <w:color w:val="auto"/>
        </w:rPr>
      </w:pPr>
    </w:p>
    <w:p>
      <w:pPr>
        <w:ind w:right="1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6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3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4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8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960" w:type="dxa"/>
            <w:vAlign w:val="bottom"/>
          </w:tcPr>
          <w:p>
            <w:pPr>
              <w:ind w:left="264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2" w:lineRule="exact"/>
        <w:rPr>
          <w:sz w:val="24"/>
          <w:szCs w:val="24"/>
          <w:color w:val="auto"/>
        </w:rPr>
      </w:pPr>
    </w:p>
    <w:p>
      <w:pPr>
        <w:ind w:right="42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3620"/>
        <w:spacing w:after="0" w:line="21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$0.01 per share, outstanding as of April 20, 2022: 8,578,015.</w:t>
      </w:r>
    </w:p>
    <w:p>
      <w:pPr>
        <w:ind w:left="158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62"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PART I</w:t>
            </w:r>
          </w:p>
        </w:tc>
        <w:tc>
          <w:tcPr>
            <w:tcW w:w="8420" w:type="dxa"/>
            <w:vAlign w:val="bottom"/>
            <w:gridSpan w:val="14"/>
          </w:tcPr>
          <w:p>
            <w:pPr>
              <w:spacing w:after="0"/>
              <w:rPr>
                <w:sz w:val="20"/>
                <w:szCs w:val="20"/>
                <w:color w:val="auto"/>
              </w:rPr>
            </w:pPr>
            <w:r>
              <w:rPr>
                <w:rFonts w:ascii="Arial" w:cs="Arial" w:eastAsia="Arial" w:hAnsi="Arial"/>
                <w:sz w:val="16"/>
                <w:szCs w:val="16"/>
                <w:color w:val="auto"/>
              </w:rPr>
              <w:t>FINANCIAL INFORMATION</w:t>
            </w:r>
          </w:p>
        </w:tc>
        <w:tc>
          <w:tcPr>
            <w:tcW w:w="1660" w:type="dxa"/>
            <w:vAlign w:val="bottom"/>
          </w:tcPr>
          <w:p>
            <w:pPr>
              <w:jc w:val="right"/>
              <w:ind w:right="459"/>
              <w:spacing w:after="0"/>
              <w:rPr>
                <w:sz w:val="20"/>
                <w:szCs w:val="20"/>
                <w:color w:val="auto"/>
              </w:rPr>
            </w:pPr>
            <w:r>
              <w:rPr>
                <w:rFonts w:ascii="Arial" w:cs="Arial" w:eastAsia="Arial" w:hAnsi="Arial"/>
                <w:sz w:val="16"/>
                <w:szCs w:val="16"/>
                <w:color w:val="auto"/>
              </w:rPr>
              <w:t>PAGE</w:t>
            </w:r>
          </w:p>
        </w:tc>
      </w:tr>
      <w:tr>
        <w:trPr>
          <w:trHeight w:val="324"/>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1.</w:t>
            </w:r>
          </w:p>
        </w:tc>
        <w:tc>
          <w:tcPr>
            <w:tcW w:w="8420" w:type="dxa"/>
            <w:vAlign w:val="bottom"/>
            <w:gridSpan w:val="14"/>
          </w:tcPr>
          <w:p>
            <w:pPr>
              <w:spacing w:after="0"/>
              <w:rPr>
                <w:sz w:val="20"/>
                <w:szCs w:val="20"/>
                <w:color w:val="auto"/>
              </w:rPr>
            </w:pPr>
            <w:r>
              <w:rPr>
                <w:rFonts w:ascii="Arial" w:cs="Arial" w:eastAsia="Arial" w:hAnsi="Arial"/>
                <w:sz w:val="16"/>
                <w:szCs w:val="16"/>
                <w:color w:val="auto"/>
              </w:rPr>
              <w:t>Financial Statements</w:t>
            </w:r>
          </w:p>
        </w:tc>
        <w:tc>
          <w:tcPr>
            <w:tcW w:w="1660" w:type="dxa"/>
            <w:vAlign w:val="bottom"/>
          </w:tcPr>
          <w:p>
            <w:pPr>
              <w:spacing w:after="0"/>
              <w:rPr>
                <w:sz w:val="24"/>
                <w:szCs w:val="24"/>
                <w:color w:val="auto"/>
              </w:rPr>
            </w:pPr>
          </w:p>
        </w:tc>
      </w:tr>
      <w:tr>
        <w:trPr>
          <w:trHeight w:val="289"/>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60" w:type="dxa"/>
            <w:vAlign w:val="bottom"/>
            <w:tcBorders>
              <w:bottom w:val="single" w:sz="8" w:color="0000FF"/>
            </w:tcBorders>
            <w:gridSpan w:val="9"/>
          </w:tcPr>
          <w:p>
            <w:pP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 xml:space="preserve">Condensed Consolidated Balance Sheets as of March 31, </w:t>
              </w:r>
            </w:hyperlink>
            <w:r>
              <w:rPr>
                <w:rFonts w:ascii="Arial" w:cs="Arial" w:eastAsia="Arial" w:hAnsi="Arial"/>
                <w:sz w:val="16"/>
                <w:szCs w:val="16"/>
                <w:color w:val="0000FF"/>
                <w:w w:val="89"/>
              </w:rPr>
              <w:t xml:space="preserve">2022 </w:t>
            </w:r>
            <w:hyperlink w:anchor="page3">
              <w:r>
                <w:rPr>
                  <w:rFonts w:ascii="Arial" w:cs="Arial" w:eastAsia="Arial" w:hAnsi="Arial"/>
                  <w:sz w:val="16"/>
                  <w:szCs w:val="16"/>
                  <w:color w:val="0000FF"/>
                  <w:w w:val="89"/>
                </w:rPr>
                <w:t xml:space="preserve">and December 31, </w:t>
              </w:r>
            </w:hyperlink>
            <w:r>
              <w:rPr>
                <w:rFonts w:ascii="Arial" w:cs="Arial" w:eastAsia="Arial" w:hAnsi="Arial"/>
                <w:sz w:val="16"/>
                <w:szCs w:val="16"/>
                <w:color w:val="0000FF"/>
                <w:w w:val="89"/>
              </w:rPr>
              <w:t>2021</w:t>
            </w:r>
          </w:p>
        </w:tc>
        <w:tc>
          <w:tcPr>
            <w:tcW w:w="2760" w:type="dxa"/>
            <w:vAlign w:val="bottom"/>
            <w:gridSpan w:val="5"/>
          </w:tcPr>
          <w:p>
            <w:pPr>
              <w:spacing w:after="0"/>
              <w:rPr>
                <w:sz w:val="24"/>
                <w:szCs w:val="24"/>
                <w:color w:val="auto"/>
              </w:rPr>
            </w:pPr>
          </w:p>
        </w:tc>
        <w:tc>
          <w:tcPr>
            <w:tcW w:w="1660" w:type="dxa"/>
            <w:vAlign w:val="bottom"/>
          </w:tcPr>
          <w:p>
            <w:pPr>
              <w:jc w:val="right"/>
              <w:ind w:right="299"/>
              <w:spacing w:after="0"/>
              <w:rPr>
                <w:rFonts w:ascii="Arial" w:cs="Arial" w:eastAsia="Arial" w:hAnsi="Arial"/>
                <w:sz w:val="16"/>
                <w:szCs w:val="16"/>
                <w:color w:val="0000FF"/>
              </w:rPr>
            </w:pPr>
            <w:hyperlink w:anchor="page3">
              <w:r>
                <w:rPr>
                  <w:rFonts w:ascii="Arial" w:cs="Arial" w:eastAsia="Arial" w:hAnsi="Arial"/>
                  <w:sz w:val="16"/>
                  <w:szCs w:val="16"/>
                  <w:color w:val="0000FF"/>
                </w:rPr>
                <w:t>1</w:t>
              </w:r>
            </w:hyperlink>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720" w:type="dxa"/>
            <w:vAlign w:val="bottom"/>
            <w:tcBorders>
              <w:bottom w:val="single" w:sz="8" w:color="0000FF"/>
            </w:tcBorders>
            <w:gridSpan w:val="13"/>
          </w:tcPr>
          <w:p>
            <w:pPr>
              <w:spacing w:after="0"/>
              <w:rPr>
                <w:rFonts w:ascii="Arial" w:cs="Arial" w:eastAsia="Arial" w:hAnsi="Arial"/>
                <w:sz w:val="16"/>
                <w:szCs w:val="16"/>
                <w:color w:val="0000FF"/>
                <w:w w:val="90"/>
              </w:rPr>
            </w:pPr>
            <w:hyperlink w:anchor="page3">
              <w:r>
                <w:rPr>
                  <w:rFonts w:ascii="Arial" w:cs="Arial" w:eastAsia="Arial" w:hAnsi="Arial"/>
                  <w:sz w:val="16"/>
                  <w:szCs w:val="16"/>
                  <w:color w:val="0000FF"/>
                  <w:w w:val="90"/>
                </w:rPr>
                <w:t>Condensed Consolidated Statements of Comprehensive Income for the Three Months Ended March 31, 2022 and 2021</w:t>
              </w:r>
            </w:hyperlink>
          </w:p>
        </w:tc>
        <w:tc>
          <w:tcPr>
            <w:tcW w:w="700" w:type="dxa"/>
            <w:vAlign w:val="bottom"/>
          </w:tcPr>
          <w:p>
            <w:pPr>
              <w:spacing w:after="0"/>
              <w:rPr>
                <w:sz w:val="21"/>
                <w:szCs w:val="21"/>
                <w:color w:val="auto"/>
              </w:rPr>
            </w:pPr>
          </w:p>
        </w:tc>
        <w:tc>
          <w:tcPr>
            <w:tcW w:w="1660" w:type="dxa"/>
            <w:vAlign w:val="bottom"/>
          </w:tcPr>
          <w:p>
            <w:pPr>
              <w:jc w:val="right"/>
              <w:ind w:right="299"/>
              <w:spacing w:after="0"/>
              <w:rPr>
                <w:rFonts w:ascii="Arial" w:cs="Arial" w:eastAsia="Arial" w:hAnsi="Arial"/>
                <w:sz w:val="16"/>
                <w:szCs w:val="16"/>
                <w:color w:val="0000FF"/>
              </w:rPr>
            </w:pPr>
            <w:hyperlink w:anchor="page3">
              <w:r>
                <w:rPr>
                  <w:rFonts w:ascii="Arial" w:cs="Arial" w:eastAsia="Arial" w:hAnsi="Arial"/>
                  <w:sz w:val="16"/>
                  <w:szCs w:val="16"/>
                  <w:color w:val="0000FF"/>
                </w:rPr>
                <w:t>2</w:t>
              </w:r>
            </w:hyperlink>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80" w:type="dxa"/>
            <w:vAlign w:val="bottom"/>
            <w:tcBorders>
              <w:bottom w:val="single" w:sz="8" w:color="0000FF"/>
            </w:tcBorders>
            <w:gridSpan w:val="12"/>
          </w:tcPr>
          <w:p>
            <w:pPr>
              <w:spacing w:after="0"/>
              <w:rPr>
                <w:rFonts w:ascii="Arial" w:cs="Arial" w:eastAsia="Arial" w:hAnsi="Arial"/>
                <w:sz w:val="16"/>
                <w:szCs w:val="16"/>
                <w:color w:val="0000FF"/>
                <w:w w:val="91"/>
              </w:rPr>
            </w:pPr>
            <w:hyperlink w:anchor="page4">
              <w:r>
                <w:rPr>
                  <w:rFonts w:ascii="Arial" w:cs="Arial" w:eastAsia="Arial" w:hAnsi="Arial"/>
                  <w:sz w:val="16"/>
                  <w:szCs w:val="16"/>
                  <w:color w:val="0000FF"/>
                  <w:w w:val="91"/>
                </w:rPr>
                <w:t xml:space="preserve">Condensed Consolidated Statement of Stockholders’ Equity for the Three Months Ended March 31, </w:t>
              </w:r>
            </w:hyperlink>
            <w:r>
              <w:rPr>
                <w:rFonts w:ascii="Arial" w:cs="Arial" w:eastAsia="Arial" w:hAnsi="Arial"/>
                <w:sz w:val="16"/>
                <w:szCs w:val="16"/>
                <w:color w:val="0000FF"/>
                <w:w w:val="91"/>
              </w:rPr>
              <w:t xml:space="preserve">2022 </w:t>
            </w:r>
            <w:hyperlink w:anchor="page4">
              <w:r>
                <w:rPr>
                  <w:rFonts w:ascii="Arial" w:cs="Arial" w:eastAsia="Arial" w:hAnsi="Arial"/>
                  <w:sz w:val="16"/>
                  <w:szCs w:val="16"/>
                  <w:color w:val="0000FF"/>
                  <w:w w:val="91"/>
                </w:rPr>
                <w:t>and 2021</w:t>
              </w:r>
            </w:hyperlink>
          </w:p>
        </w:tc>
        <w:tc>
          <w:tcPr>
            <w:tcW w:w="940" w:type="dxa"/>
            <w:vAlign w:val="bottom"/>
            <w:gridSpan w:val="2"/>
          </w:tcPr>
          <w:p>
            <w:pPr>
              <w:spacing w:after="0"/>
              <w:rPr>
                <w:sz w:val="21"/>
                <w:szCs w:val="21"/>
                <w:color w:val="auto"/>
              </w:rPr>
            </w:pPr>
          </w:p>
        </w:tc>
        <w:tc>
          <w:tcPr>
            <w:tcW w:w="1660" w:type="dxa"/>
            <w:vAlign w:val="bottom"/>
          </w:tcPr>
          <w:p>
            <w:pPr>
              <w:jc w:val="right"/>
              <w:ind w:right="299"/>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20" w:type="dxa"/>
            <w:vAlign w:val="bottom"/>
            <w:gridSpan w:val="14"/>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 xml:space="preserve">Condensed Consolidated Statements of Cash Flows for the Three </w:t>
              </w:r>
            </w:hyperlink>
            <w:r>
              <w:rPr>
                <w:rFonts w:ascii="Arial" w:cs="Arial" w:eastAsia="Arial" w:hAnsi="Arial"/>
                <w:sz w:val="16"/>
                <w:szCs w:val="16"/>
                <w:color w:val="0000FF"/>
              </w:rPr>
              <w:t xml:space="preserve">Months </w:t>
            </w:r>
            <w:hyperlink w:anchor="page5">
              <w:r>
                <w:rPr>
                  <w:rFonts w:ascii="Arial" w:cs="Arial" w:eastAsia="Arial" w:hAnsi="Arial"/>
                  <w:sz w:val="16"/>
                  <w:szCs w:val="16"/>
                  <w:color w:val="0000FF"/>
                </w:rPr>
                <w:t>Ended March 31, 2022 and 2021</w:t>
              </w:r>
            </w:hyperlink>
          </w:p>
        </w:tc>
        <w:tc>
          <w:tcPr>
            <w:tcW w:w="1660" w:type="dxa"/>
            <w:vAlign w:val="bottom"/>
          </w:tcPr>
          <w:p>
            <w:pPr>
              <w:jc w:val="right"/>
              <w:ind w:right="299"/>
              <w:spacing w:after="0"/>
              <w:rPr>
                <w:rFonts w:ascii="Arial" w:cs="Arial" w:eastAsia="Arial" w:hAnsi="Arial"/>
                <w:sz w:val="16"/>
                <w:szCs w:val="16"/>
                <w:color w:val="0000FF"/>
              </w:rPr>
            </w:pPr>
            <w:hyperlink w:anchor="page5">
              <w:r>
                <w:rPr>
                  <w:rFonts w:ascii="Arial" w:cs="Arial" w:eastAsia="Arial" w:hAnsi="Arial"/>
                  <w:sz w:val="16"/>
                  <w:szCs w:val="16"/>
                  <w:color w:val="0000FF"/>
                </w:rPr>
                <w:t>4</w:t>
              </w:r>
            </w:hyperlink>
          </w:p>
        </w:tc>
      </w:tr>
      <w:tr>
        <w:trPr>
          <w:trHeight w:val="250"/>
        </w:trPr>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0"/>
              </w:rPr>
            </w:pPr>
            <w:hyperlink w:anchor="page6">
              <w:r>
                <w:rPr>
                  <w:rFonts w:ascii="Arial" w:cs="Arial" w:eastAsia="Arial" w:hAnsi="Arial"/>
                  <w:sz w:val="16"/>
                  <w:szCs w:val="16"/>
                  <w:color w:val="0000FF"/>
                  <w:w w:val="90"/>
                </w:rPr>
                <w:t>Notes to Condensed Consolidated Financial Statements</w:t>
              </w:r>
            </w:hyperlink>
          </w:p>
        </w:tc>
        <w:tc>
          <w:tcPr>
            <w:tcW w:w="3320" w:type="dxa"/>
            <w:vAlign w:val="bottom"/>
            <w:tcBorders>
              <w:top w:val="single" w:sz="8" w:color="0000FF"/>
            </w:tcBorders>
            <w:gridSpan w:val="5"/>
          </w:tcPr>
          <w:p>
            <w:pPr>
              <w:spacing w:after="0"/>
              <w:rPr>
                <w:sz w:val="21"/>
                <w:szCs w:val="21"/>
                <w:color w:val="auto"/>
              </w:rPr>
            </w:pPr>
          </w:p>
        </w:tc>
        <w:tc>
          <w:tcPr>
            <w:tcW w:w="1500" w:type="dxa"/>
            <w:vAlign w:val="bottom"/>
            <w:gridSpan w:val="3"/>
          </w:tcPr>
          <w:p>
            <w:pPr>
              <w:spacing w:after="0"/>
              <w:rPr>
                <w:sz w:val="21"/>
                <w:szCs w:val="21"/>
                <w:color w:val="auto"/>
              </w:rPr>
            </w:pPr>
          </w:p>
        </w:tc>
        <w:tc>
          <w:tcPr>
            <w:tcW w:w="1660" w:type="dxa"/>
            <w:vAlign w:val="bottom"/>
          </w:tcPr>
          <w:p>
            <w:pPr>
              <w:jc w:val="right"/>
              <w:ind w:right="299"/>
              <w:spacing w:after="0"/>
              <w:rPr>
                <w:rFonts w:ascii="Arial" w:cs="Arial" w:eastAsia="Arial" w:hAnsi="Arial"/>
                <w:sz w:val="16"/>
                <w:szCs w:val="16"/>
                <w:color w:val="0000FF"/>
              </w:rPr>
            </w:pPr>
            <w:hyperlink w:anchor="page6">
              <w:r>
                <w:rPr>
                  <w:rFonts w:ascii="Arial" w:cs="Arial" w:eastAsia="Arial" w:hAnsi="Arial"/>
                  <w:sz w:val="16"/>
                  <w:szCs w:val="16"/>
                  <w:color w:val="0000FF"/>
                </w:rPr>
                <w:t>5</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FF"/>
            </w:tcBorders>
            <w:gridSpan w:val="10"/>
          </w:tcPr>
          <w:p>
            <w:pPr>
              <w:spacing w:after="0"/>
              <w:rPr>
                <w:rFonts w:ascii="Arial" w:cs="Arial" w:eastAsia="Arial" w:hAnsi="Arial"/>
                <w:sz w:val="16"/>
                <w:szCs w:val="16"/>
                <w:color w:val="0000FF"/>
                <w:w w:val="92"/>
              </w:rPr>
            </w:pPr>
            <w:hyperlink w:anchor="page14">
              <w:r>
                <w:rPr>
                  <w:rFonts w:ascii="Arial" w:cs="Arial" w:eastAsia="Arial" w:hAnsi="Arial"/>
                  <w:sz w:val="16"/>
                  <w:szCs w:val="16"/>
                  <w:color w:val="0000FF"/>
                  <w:w w:val="92"/>
                </w:rPr>
                <w:t>Management’s Discussion and Analysis of Financial Condition and Results of Operations</w:t>
              </w:r>
            </w:hyperlink>
          </w:p>
        </w:tc>
        <w:tc>
          <w:tcPr>
            <w:tcW w:w="2600" w:type="dxa"/>
            <w:vAlign w:val="bottom"/>
            <w:gridSpan w:val="4"/>
          </w:tcPr>
          <w:p>
            <w:pPr>
              <w:spacing w:after="0"/>
              <w:rPr>
                <w:sz w:val="21"/>
                <w:szCs w:val="21"/>
                <w:color w:val="auto"/>
              </w:rPr>
            </w:pPr>
          </w:p>
        </w:tc>
        <w:tc>
          <w:tcPr>
            <w:tcW w:w="1660" w:type="dxa"/>
            <w:vAlign w:val="bottom"/>
          </w:tcPr>
          <w:p>
            <w:pPr>
              <w:jc w:val="right"/>
              <w:ind w:right="299"/>
              <w:spacing w:after="0"/>
              <w:rPr>
                <w:rFonts w:ascii="Arial" w:cs="Arial" w:eastAsia="Arial" w:hAnsi="Arial"/>
                <w:sz w:val="16"/>
                <w:szCs w:val="16"/>
                <w:color w:val="0000FF"/>
              </w:rPr>
            </w:pPr>
            <w:hyperlink w:anchor="page14">
              <w:r>
                <w:rPr>
                  <w:rFonts w:ascii="Arial" w:cs="Arial" w:eastAsia="Arial" w:hAnsi="Arial"/>
                  <w:sz w:val="16"/>
                  <w:szCs w:val="16"/>
                  <w:color w:val="0000FF"/>
                </w:rPr>
                <w:t>13</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3.</w:t>
            </w:r>
          </w:p>
        </w:tc>
        <w:tc>
          <w:tcPr>
            <w:tcW w:w="3940" w:type="dxa"/>
            <w:vAlign w:val="bottom"/>
            <w:tcBorders>
              <w:bottom w:val="single" w:sz="8" w:color="0000FF"/>
            </w:tcBorders>
            <w:gridSpan w:val="8"/>
          </w:tcPr>
          <w:p>
            <w:pPr>
              <w:spacing w:after="0"/>
              <w:rPr>
                <w:rFonts w:ascii="Arial" w:cs="Arial" w:eastAsia="Arial" w:hAnsi="Arial"/>
                <w:sz w:val="16"/>
                <w:szCs w:val="16"/>
                <w:color w:val="0000FF"/>
                <w:w w:val="93"/>
              </w:rPr>
            </w:pPr>
            <w:hyperlink w:anchor="page21">
              <w:r>
                <w:rPr>
                  <w:rFonts w:ascii="Arial" w:cs="Arial" w:eastAsia="Arial" w:hAnsi="Arial"/>
                  <w:sz w:val="16"/>
                  <w:szCs w:val="16"/>
                  <w:color w:val="0000FF"/>
                  <w:w w:val="93"/>
                </w:rPr>
                <w:t>Quantitative and Qualitative Disclosures About Market Risk</w:t>
              </w:r>
            </w:hyperlink>
          </w:p>
        </w:tc>
        <w:tc>
          <w:tcPr>
            <w:tcW w:w="4480" w:type="dxa"/>
            <w:vAlign w:val="bottom"/>
            <w:gridSpan w:val="6"/>
          </w:tcPr>
          <w:p>
            <w:pPr>
              <w:spacing w:after="0"/>
              <w:rPr>
                <w:sz w:val="21"/>
                <w:szCs w:val="21"/>
                <w:color w:val="auto"/>
              </w:rPr>
            </w:pPr>
          </w:p>
        </w:tc>
        <w:tc>
          <w:tcPr>
            <w:tcW w:w="1660" w:type="dxa"/>
            <w:vAlign w:val="bottom"/>
          </w:tcPr>
          <w:p>
            <w:pPr>
              <w:jc w:val="right"/>
              <w:ind w:right="299"/>
              <w:spacing w:after="0"/>
              <w:rPr>
                <w:rFonts w:ascii="Arial" w:cs="Arial" w:eastAsia="Arial" w:hAnsi="Arial"/>
                <w:sz w:val="16"/>
                <w:szCs w:val="16"/>
                <w:color w:val="0000FF"/>
              </w:rPr>
            </w:pPr>
            <w:hyperlink w:anchor="page21">
              <w:r>
                <w:rPr>
                  <w:rFonts w:ascii="Arial" w:cs="Arial" w:eastAsia="Arial" w:hAnsi="Arial"/>
                  <w:sz w:val="16"/>
                  <w:szCs w:val="16"/>
                  <w:color w:val="0000FF"/>
                </w:rPr>
                <w:t>19</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4.</w:t>
            </w:r>
          </w:p>
        </w:tc>
        <w:tc>
          <w:tcPr>
            <w:tcW w:w="1600" w:type="dxa"/>
            <w:vAlign w:val="bottom"/>
            <w:tcBorders>
              <w:bottom w:val="single" w:sz="8" w:color="0000FF"/>
            </w:tcBorders>
            <w:gridSpan w:val="4"/>
          </w:tcPr>
          <w:p>
            <w:pPr>
              <w:spacing w:after="0"/>
              <w:rPr>
                <w:rFonts w:ascii="Arial" w:cs="Arial" w:eastAsia="Arial" w:hAnsi="Arial"/>
                <w:sz w:val="16"/>
                <w:szCs w:val="16"/>
                <w:color w:val="0000FF"/>
                <w:w w:val="89"/>
              </w:rPr>
            </w:pPr>
            <w:hyperlink w:anchor="page22">
              <w:r>
                <w:rPr>
                  <w:rFonts w:ascii="Arial" w:cs="Arial" w:eastAsia="Arial" w:hAnsi="Arial"/>
                  <w:sz w:val="16"/>
                  <w:szCs w:val="16"/>
                  <w:color w:val="0000FF"/>
                  <w:w w:val="89"/>
                </w:rPr>
                <w:t>Controls and Procedures</w:t>
              </w:r>
            </w:hyperlink>
          </w:p>
        </w:tc>
        <w:tc>
          <w:tcPr>
            <w:tcW w:w="6820" w:type="dxa"/>
            <w:vAlign w:val="bottom"/>
            <w:gridSpan w:val="10"/>
          </w:tcPr>
          <w:p>
            <w:pPr>
              <w:spacing w:after="0"/>
              <w:rPr>
                <w:sz w:val="21"/>
                <w:szCs w:val="21"/>
                <w:color w:val="auto"/>
              </w:rPr>
            </w:pPr>
          </w:p>
        </w:tc>
        <w:tc>
          <w:tcPr>
            <w:tcW w:w="1660" w:type="dxa"/>
            <w:vAlign w:val="bottom"/>
          </w:tcPr>
          <w:p>
            <w:pPr>
              <w:jc w:val="right"/>
              <w:ind w:right="299"/>
              <w:spacing w:after="0"/>
              <w:rPr>
                <w:rFonts w:ascii="Arial" w:cs="Arial" w:eastAsia="Arial" w:hAnsi="Arial"/>
                <w:sz w:val="16"/>
                <w:szCs w:val="16"/>
                <w:color w:val="0000FF"/>
              </w:rPr>
            </w:pPr>
            <w:hyperlink w:anchor="page22">
              <w:r>
                <w:rPr>
                  <w:rFonts w:ascii="Arial" w:cs="Arial" w:eastAsia="Arial" w:hAnsi="Arial"/>
                  <w:sz w:val="16"/>
                  <w:szCs w:val="16"/>
                  <w:color w:val="0000FF"/>
                </w:rPr>
                <w:t>20</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PART II</w:t>
            </w:r>
          </w:p>
        </w:tc>
        <w:tc>
          <w:tcPr>
            <w:tcW w:w="1700" w:type="dxa"/>
            <w:vAlign w:val="bottom"/>
            <w:tcBorders>
              <w:bottom w:val="single" w:sz="8" w:color="0000FF"/>
            </w:tcBorders>
            <w:gridSpan w:val="5"/>
          </w:tcPr>
          <w:p>
            <w:pPr>
              <w:spacing w:after="0"/>
              <w:rPr>
                <w:rFonts w:ascii="Arial" w:cs="Arial" w:eastAsia="Arial" w:hAnsi="Arial"/>
                <w:sz w:val="16"/>
                <w:szCs w:val="16"/>
                <w:color w:val="0000FF"/>
                <w:w w:val="97"/>
              </w:rPr>
            </w:pPr>
            <w:hyperlink w:anchor="page22">
              <w:r>
                <w:rPr>
                  <w:rFonts w:ascii="Arial" w:cs="Arial" w:eastAsia="Arial" w:hAnsi="Arial"/>
                  <w:sz w:val="16"/>
                  <w:szCs w:val="16"/>
                  <w:color w:val="0000FF"/>
                  <w:w w:val="97"/>
                </w:rPr>
                <w:t>OTHER INFORMATION</w:t>
              </w:r>
            </w:hyperlink>
          </w:p>
        </w:tc>
        <w:tc>
          <w:tcPr>
            <w:tcW w:w="6720" w:type="dxa"/>
            <w:vAlign w:val="bottom"/>
            <w:gridSpan w:val="9"/>
          </w:tcPr>
          <w:p>
            <w:pPr>
              <w:spacing w:after="0"/>
              <w:rPr>
                <w:sz w:val="21"/>
                <w:szCs w:val="21"/>
                <w:color w:val="auto"/>
              </w:rPr>
            </w:pPr>
          </w:p>
        </w:tc>
        <w:tc>
          <w:tcPr>
            <w:tcW w:w="1660" w:type="dxa"/>
            <w:vAlign w:val="bottom"/>
          </w:tcPr>
          <w:p>
            <w:pPr>
              <w:jc w:val="right"/>
              <w:ind w:right="299"/>
              <w:spacing w:after="0"/>
              <w:rPr>
                <w:rFonts w:ascii="Arial" w:cs="Arial" w:eastAsia="Arial" w:hAnsi="Arial"/>
                <w:sz w:val="16"/>
                <w:szCs w:val="16"/>
                <w:color w:val="0000FF"/>
              </w:rPr>
            </w:pPr>
            <w:hyperlink w:anchor="page22">
              <w:r>
                <w:rPr>
                  <w:rFonts w:ascii="Arial" w:cs="Arial" w:eastAsia="Arial" w:hAnsi="Arial"/>
                  <w:sz w:val="16"/>
                  <w:szCs w:val="16"/>
                  <w:color w:val="0000FF"/>
                </w:rPr>
                <w:t>21</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1.</w:t>
            </w:r>
          </w:p>
        </w:tc>
        <w:tc>
          <w:tcPr>
            <w:tcW w:w="8420" w:type="dxa"/>
            <w:vAlign w:val="bottom"/>
            <w:gridSpan w:val="14"/>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Legal Proceedings</w:t>
              </w:r>
            </w:hyperlink>
          </w:p>
        </w:tc>
        <w:tc>
          <w:tcPr>
            <w:tcW w:w="1660" w:type="dxa"/>
            <w:vAlign w:val="bottom"/>
          </w:tcPr>
          <w:p>
            <w:pPr>
              <w:jc w:val="right"/>
              <w:ind w:right="299"/>
              <w:spacing w:after="0"/>
              <w:rPr>
                <w:rFonts w:ascii="Arial" w:cs="Arial" w:eastAsia="Arial" w:hAnsi="Arial"/>
                <w:sz w:val="16"/>
                <w:szCs w:val="16"/>
                <w:color w:val="0000FF"/>
              </w:rPr>
            </w:pPr>
            <w:hyperlink w:anchor="page23">
              <w:r>
                <w:rPr>
                  <w:rFonts w:ascii="Arial" w:cs="Arial" w:eastAsia="Arial" w:hAnsi="Arial"/>
                  <w:sz w:val="16"/>
                  <w:szCs w:val="16"/>
                  <w:color w:val="0000FF"/>
                </w:rPr>
                <w:t>21</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1A.</w:t>
            </w:r>
          </w:p>
        </w:tc>
        <w:tc>
          <w:tcPr>
            <w:tcW w:w="82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23">
              <w:r>
                <w:rPr>
                  <w:rFonts w:ascii="Arial" w:cs="Arial" w:eastAsia="Arial" w:hAnsi="Arial"/>
                  <w:sz w:val="16"/>
                  <w:szCs w:val="16"/>
                  <w:color w:val="0000FF"/>
                  <w:w w:val="89"/>
                </w:rPr>
                <w:t>Risk Factors</w:t>
              </w:r>
            </w:hyperlink>
          </w:p>
        </w:tc>
        <w:tc>
          <w:tcPr>
            <w:tcW w:w="380" w:type="dxa"/>
            <w:vAlign w:val="bottom"/>
            <w:tcBorders>
              <w:top w:val="single" w:sz="8" w:color="0000FF"/>
            </w:tcBorders>
          </w:tcPr>
          <w:p>
            <w:pPr>
              <w:spacing w:after="0"/>
              <w:rPr>
                <w:sz w:val="21"/>
                <w:szCs w:val="21"/>
                <w:color w:val="auto"/>
              </w:rPr>
            </w:pPr>
          </w:p>
        </w:tc>
        <w:tc>
          <w:tcPr>
            <w:tcW w:w="7220" w:type="dxa"/>
            <w:vAlign w:val="bottom"/>
            <w:gridSpan w:val="11"/>
          </w:tcPr>
          <w:p>
            <w:pPr>
              <w:spacing w:after="0"/>
              <w:rPr>
                <w:sz w:val="21"/>
                <w:szCs w:val="21"/>
                <w:color w:val="auto"/>
              </w:rPr>
            </w:pPr>
          </w:p>
        </w:tc>
        <w:tc>
          <w:tcPr>
            <w:tcW w:w="1660" w:type="dxa"/>
            <w:vAlign w:val="bottom"/>
          </w:tcPr>
          <w:p>
            <w:pPr>
              <w:jc w:val="right"/>
              <w:ind w:right="299"/>
              <w:spacing w:after="0"/>
              <w:rPr>
                <w:rFonts w:ascii="Arial" w:cs="Arial" w:eastAsia="Arial" w:hAnsi="Arial"/>
                <w:sz w:val="16"/>
                <w:szCs w:val="16"/>
                <w:color w:val="0000FF"/>
              </w:rPr>
            </w:pPr>
            <w:hyperlink w:anchor="page23">
              <w:r>
                <w:rPr>
                  <w:rFonts w:ascii="Arial" w:cs="Arial" w:eastAsia="Arial" w:hAnsi="Arial"/>
                  <w:sz w:val="16"/>
                  <w:szCs w:val="16"/>
                  <w:color w:val="0000FF"/>
                </w:rPr>
                <w:t>21</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2.</w:t>
            </w:r>
          </w:p>
        </w:tc>
        <w:tc>
          <w:tcPr>
            <w:tcW w:w="3920" w:type="dxa"/>
            <w:vAlign w:val="bottom"/>
            <w:tcBorders>
              <w:bottom w:val="single" w:sz="8" w:color="0000FF"/>
            </w:tcBorders>
            <w:gridSpan w:val="7"/>
          </w:tcPr>
          <w:p>
            <w:pPr>
              <w:spacing w:after="0"/>
              <w:rPr>
                <w:rFonts w:ascii="Arial" w:cs="Arial" w:eastAsia="Arial" w:hAnsi="Arial"/>
                <w:sz w:val="16"/>
                <w:szCs w:val="16"/>
                <w:color w:val="0000FF"/>
                <w:w w:val="90"/>
              </w:rPr>
            </w:pPr>
            <w:hyperlink w:anchor="page23">
              <w:r>
                <w:rPr>
                  <w:rFonts w:ascii="Arial" w:cs="Arial" w:eastAsia="Arial" w:hAnsi="Arial"/>
                  <w:sz w:val="16"/>
                  <w:szCs w:val="16"/>
                  <w:color w:val="0000FF"/>
                  <w:w w:val="90"/>
                </w:rPr>
                <w:t>Unregistered Sales of Equity Securities and Use of Proceeds</w:t>
              </w:r>
            </w:hyperlink>
          </w:p>
        </w:tc>
        <w:tc>
          <w:tcPr>
            <w:tcW w:w="4500" w:type="dxa"/>
            <w:vAlign w:val="bottom"/>
            <w:gridSpan w:val="7"/>
          </w:tcPr>
          <w:p>
            <w:pPr>
              <w:spacing w:after="0"/>
              <w:rPr>
                <w:sz w:val="21"/>
                <w:szCs w:val="21"/>
                <w:color w:val="auto"/>
              </w:rPr>
            </w:pPr>
          </w:p>
        </w:tc>
        <w:tc>
          <w:tcPr>
            <w:tcW w:w="1660" w:type="dxa"/>
            <w:vAlign w:val="bottom"/>
          </w:tcPr>
          <w:p>
            <w:pPr>
              <w:jc w:val="right"/>
              <w:ind w:right="299"/>
              <w:spacing w:after="0"/>
              <w:rPr>
                <w:rFonts w:ascii="Arial" w:cs="Arial" w:eastAsia="Arial" w:hAnsi="Arial"/>
                <w:sz w:val="16"/>
                <w:szCs w:val="16"/>
                <w:color w:val="0000FF"/>
              </w:rPr>
            </w:pPr>
            <w:hyperlink w:anchor="page23">
              <w:r>
                <w:rPr>
                  <w:rFonts w:ascii="Arial" w:cs="Arial" w:eastAsia="Arial" w:hAnsi="Arial"/>
                  <w:sz w:val="16"/>
                  <w:szCs w:val="16"/>
                  <w:color w:val="0000FF"/>
                </w:rPr>
                <w:t>21</w:t>
              </w:r>
            </w:hyperlink>
          </w:p>
        </w:tc>
      </w:tr>
      <w:tr>
        <w:trPr>
          <w:trHeight w:val="250"/>
        </w:trPr>
        <w:tc>
          <w:tcPr>
            <w:tcW w:w="1160" w:type="dxa"/>
            <w:vAlign w:val="bottom"/>
            <w:gridSpan w:val="3"/>
          </w:tcPr>
          <w:p>
            <w:pPr>
              <w:ind w:left="120"/>
              <w:spacing w:after="0"/>
              <w:rPr>
                <w:sz w:val="20"/>
                <w:szCs w:val="20"/>
                <w:color w:val="auto"/>
              </w:rPr>
            </w:pPr>
            <w:r>
              <w:rPr>
                <w:rFonts w:ascii="Arial" w:cs="Arial" w:eastAsia="Arial" w:hAnsi="Arial"/>
                <w:sz w:val="16"/>
                <w:szCs w:val="16"/>
                <w:color w:val="auto"/>
              </w:rPr>
              <w:t>Item 6.</w:t>
            </w:r>
          </w:p>
        </w:tc>
        <w:tc>
          <w:tcPr>
            <w:tcW w:w="8420" w:type="dxa"/>
            <w:vAlign w:val="bottom"/>
            <w:gridSpan w:val="14"/>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Exhibits</w:t>
              </w:r>
            </w:hyperlink>
          </w:p>
        </w:tc>
        <w:tc>
          <w:tcPr>
            <w:tcW w:w="1660" w:type="dxa"/>
            <w:vAlign w:val="bottom"/>
          </w:tcPr>
          <w:p>
            <w:pPr>
              <w:jc w:val="right"/>
              <w:ind w:right="299"/>
              <w:spacing w:after="0"/>
              <w:rPr>
                <w:rFonts w:ascii="Arial" w:cs="Arial" w:eastAsia="Arial" w:hAnsi="Arial"/>
                <w:sz w:val="16"/>
                <w:szCs w:val="16"/>
                <w:color w:val="0000FF"/>
              </w:rPr>
            </w:pPr>
            <w:hyperlink w:anchor="page23">
              <w:r>
                <w:rPr>
                  <w:rFonts w:ascii="Arial" w:cs="Arial" w:eastAsia="Arial" w:hAnsi="Arial"/>
                  <w:sz w:val="16"/>
                  <w:szCs w:val="16"/>
                  <w:color w:val="0000FF"/>
                </w:rPr>
                <w:t>22</w:t>
              </w:r>
            </w:hyperlink>
          </w:p>
        </w:tc>
      </w:tr>
      <w:tr>
        <w:trPr>
          <w:trHeight w:val="250"/>
        </w:trPr>
        <w:tc>
          <w:tcPr>
            <w:tcW w:w="1160" w:type="dxa"/>
            <w:vAlign w:val="bottom"/>
            <w:gridSpan w:val="3"/>
          </w:tcPr>
          <w:p>
            <w:pPr>
              <w:ind w:left="120"/>
              <w:spacing w:after="0"/>
              <w:rPr>
                <w:rFonts w:ascii="Arial" w:cs="Arial" w:eastAsia="Arial" w:hAnsi="Arial"/>
                <w:sz w:val="16"/>
                <w:szCs w:val="16"/>
                <w:color w:val="0000FF"/>
              </w:rPr>
            </w:pPr>
            <w:hyperlink w:anchor="page24">
              <w:r>
                <w:rPr>
                  <w:rFonts w:ascii="Arial" w:cs="Arial" w:eastAsia="Arial" w:hAnsi="Arial"/>
                  <w:sz w:val="16"/>
                  <w:szCs w:val="16"/>
                  <w:color w:val="0000FF"/>
                </w:rPr>
                <w:t>Signatures</w:t>
              </w:r>
            </w:hyperlink>
          </w:p>
        </w:tc>
        <w:tc>
          <w:tcPr>
            <w:tcW w:w="54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jc w:val="right"/>
              <w:ind w:right="299"/>
              <w:spacing w:after="0"/>
              <w:rPr>
                <w:rFonts w:ascii="Arial" w:cs="Arial" w:eastAsia="Arial" w:hAnsi="Arial"/>
                <w:sz w:val="16"/>
                <w:szCs w:val="16"/>
                <w:color w:val="0000FF"/>
              </w:rPr>
            </w:pPr>
            <w:hyperlink w:anchor="page24">
              <w:r>
                <w:rPr>
                  <w:rFonts w:ascii="Arial" w:cs="Arial" w:eastAsia="Arial" w:hAnsi="Arial"/>
                  <w:sz w:val="16"/>
                  <w:szCs w:val="16"/>
                  <w:color w:val="0000FF"/>
                </w:rPr>
                <w:t>23</w:t>
              </w:r>
            </w:hyperlink>
          </w:p>
        </w:tc>
      </w:tr>
      <w:tr>
        <w:trPr>
          <w:trHeight w:val="2795"/>
        </w:trPr>
        <w:tc>
          <w:tcPr>
            <w:tcW w:w="120" w:type="dxa"/>
            <w:vAlign w:val="bottom"/>
            <w:tcBorders>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8100" w:type="dxa"/>
            <w:vAlign w:val="bottom"/>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15,206</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11,152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Investments, at fair value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65,024</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Prepaid income taxes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0" w:type="dxa"/>
            <w:vAlign w:val="bottom"/>
          </w:tcPr>
          <w:p>
            <w:pPr>
              <w:spacing w:after="0"/>
              <w:rPr>
                <w:sz w:val="1"/>
                <w:szCs w:val="1"/>
                <w:color w:val="auto"/>
              </w:rPr>
            </w:pPr>
          </w:p>
        </w:tc>
      </w:tr>
      <w:tr>
        <w:trPr>
          <w:trHeight w:val="206"/>
        </w:trPr>
        <w:tc>
          <w:tcPr>
            <w:tcW w:w="81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85,871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93,861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Noncurrent investments at fair value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4,513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4,868</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11,911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$8,822 and $8,637</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34"/>
        </w:trPr>
        <w:tc>
          <w:tcPr>
            <w:tcW w:w="8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139,605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30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2,337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2,637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Dividends payable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Compensation and benefits payable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9,530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Income taxes payable</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15,842</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Accrued dividends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0" w:type="dxa"/>
            <w:vAlign w:val="bottom"/>
          </w:tcPr>
          <w:p>
            <w:pPr>
              <w:spacing w:after="0"/>
              <w:rPr>
                <w:sz w:val="1"/>
                <w:szCs w:val="1"/>
                <w:color w:val="auto"/>
              </w:rPr>
            </w:pPr>
          </w:p>
        </w:tc>
      </w:tr>
      <w:tr>
        <w:trPr>
          <w:trHeight w:val="207"/>
        </w:trPr>
        <w:tc>
          <w:tcPr>
            <w:tcW w:w="81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long-term liabilities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5,857</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21,699</w:t>
            </w:r>
          </w:p>
        </w:tc>
        <w:tc>
          <w:tcPr>
            <w:tcW w:w="0" w:type="dxa"/>
            <w:vAlign w:val="bottom"/>
          </w:tcPr>
          <w:p>
            <w:pPr>
              <w:spacing w:after="0"/>
              <w:rPr>
                <w:sz w:val="1"/>
                <w:szCs w:val="1"/>
                <w:color w:val="auto"/>
              </w:rPr>
            </w:pPr>
          </w:p>
        </w:tc>
      </w:tr>
      <w:tr>
        <w:trPr>
          <w:trHeight w:val="193"/>
        </w:trPr>
        <w:tc>
          <w:tcPr>
            <w:tcW w:w="81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100" w:type="dxa"/>
            <w:vAlign w:val="bottom"/>
          </w:tcPr>
          <w:p>
            <w:pPr>
              <w:ind w:left="480"/>
              <w:spacing w:after="0" w:line="166" w:lineRule="exact"/>
              <w:rPr>
                <w:sz w:val="20"/>
                <w:szCs w:val="20"/>
                <w:color w:val="auto"/>
              </w:rPr>
            </w:pPr>
            <w:r>
              <w:rPr>
                <w:rFonts w:ascii="Arial" w:cs="Arial" w:eastAsia="Arial" w:hAnsi="Arial"/>
                <w:sz w:val="16"/>
                <w:szCs w:val="16"/>
                <w:color w:val="auto"/>
                <w:w w:val="91"/>
              </w:rPr>
              <w:t>Common stock, $0.01 par value, authorized 25,000,000 shares, issued 11,030,410 and outstanding 8,575,451 shares</w:t>
            </w:r>
          </w:p>
        </w:tc>
        <w:tc>
          <w:tcPr>
            <w:tcW w:w="2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9"/>
        </w:trPr>
        <w:tc>
          <w:tcPr>
            <w:tcW w:w="8100" w:type="dxa"/>
            <w:vAlign w:val="bottom"/>
          </w:tcPr>
          <w:p>
            <w:pPr>
              <w:ind w:left="640"/>
              <w:spacing w:after="0"/>
              <w:rPr>
                <w:sz w:val="20"/>
                <w:szCs w:val="20"/>
                <w:color w:val="auto"/>
              </w:rPr>
            </w:pPr>
            <w:r>
              <w:rPr>
                <w:rFonts w:ascii="Arial" w:cs="Arial" w:eastAsia="Arial" w:hAnsi="Arial"/>
                <w:sz w:val="16"/>
                <w:szCs w:val="16"/>
                <w:color w:val="auto"/>
              </w:rPr>
              <w:t>at March 31, 2022; issued 10,658,644 and outstanding 8,253,491 shares at December 31, 2021</w:t>
            </w:r>
          </w:p>
        </w:tc>
        <w:tc>
          <w:tcPr>
            <w:tcW w:w="2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195,187</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Arial" w:cs="Arial" w:eastAsia="Arial" w:hAnsi="Arial"/>
                <w:sz w:val="16"/>
                <w:szCs w:val="16"/>
                <w:color w:val="auto"/>
              </w:rPr>
              <w:t>Treasury stock, at cost - 2,454,959 shares at March 31, 2022; 2,405,154 shares at December 31, 2021</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(82,576)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(81,750)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4,362</w:t>
            </w:r>
          </w:p>
        </w:tc>
        <w:tc>
          <w:tcPr>
            <w:tcW w:w="0" w:type="dxa"/>
            <w:vAlign w:val="bottom"/>
          </w:tcPr>
          <w:p>
            <w:pPr>
              <w:spacing w:after="0"/>
              <w:rPr>
                <w:sz w:val="1"/>
                <w:szCs w:val="1"/>
                <w:color w:val="auto"/>
              </w:rPr>
            </w:pPr>
          </w:p>
        </w:tc>
      </w:tr>
      <w:tr>
        <w:trPr>
          <w:trHeight w:val="206"/>
        </w:trPr>
        <w:tc>
          <w:tcPr>
            <w:tcW w:w="81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117,260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117,906</w:t>
            </w:r>
          </w:p>
        </w:tc>
        <w:tc>
          <w:tcPr>
            <w:tcW w:w="0" w:type="dxa"/>
            <w:vAlign w:val="bottom"/>
          </w:tcPr>
          <w:p>
            <w:pPr>
              <w:spacing w:after="0"/>
              <w:rPr>
                <w:sz w:val="1"/>
                <w:szCs w:val="1"/>
                <w:color w:val="auto"/>
              </w:rPr>
            </w:pPr>
          </w:p>
        </w:tc>
      </w:tr>
      <w:tr>
        <w:trPr>
          <w:trHeight w:val="235"/>
        </w:trPr>
        <w:tc>
          <w:tcPr>
            <w:tcW w:w="8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139,605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left="340" w:right="2300"/>
        <w:spacing w:after="0" w:line="263" w:lineRule="auto"/>
        <w:rPr>
          <w:sz w:val="20"/>
          <w:szCs w:val="20"/>
          <w:color w:val="auto"/>
        </w:rPr>
      </w:pPr>
      <w:r>
        <w:rPr>
          <w:rFonts w:ascii="Arial" w:cs="Arial" w:eastAsia="Arial" w:hAnsi="Arial"/>
          <w:sz w:val="18"/>
          <w:szCs w:val="18"/>
          <w:b w:val="1"/>
          <w:bCs w:val="1"/>
          <w:color w:val="auto"/>
        </w:rPr>
        <w:t>WESTWOOD HOLDINGS GROUP, INC. AND SUBSIDIARIES CONDENSED CONSOLIDATED STATEMENTS OF COMPREHENSIVE INCOME (In thousands, except per share data and share amounts) (Unaudited)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220" w:type="dxa"/>
            <w:vAlign w:val="bottom"/>
          </w:tcPr>
          <w:p>
            <w:pPr>
              <w:ind w:left="360"/>
              <w:spacing w:after="0"/>
              <w:rPr>
                <w:sz w:val="20"/>
                <w:szCs w:val="20"/>
                <w:color w:val="auto"/>
              </w:rPr>
            </w:pPr>
            <w:r>
              <w:rPr>
                <w:rFonts w:ascii="Arial" w:cs="Arial" w:eastAsia="Arial" w:hAnsi="Arial"/>
                <w:sz w:val="15"/>
                <w:szCs w:val="15"/>
                <w:color w:val="auto"/>
              </w:rPr>
              <w:t>Advisory fees: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Asset-based</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11,790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10,450</w:t>
            </w:r>
          </w:p>
        </w:tc>
        <w:tc>
          <w:tcPr>
            <w:tcW w:w="0" w:type="dxa"/>
            <w:vAlign w:val="bottom"/>
          </w:tcPr>
          <w:p>
            <w:pPr>
              <w:spacing w:after="0"/>
              <w:rPr>
                <w:sz w:val="1"/>
                <w:szCs w:val="1"/>
                <w:color w:val="auto"/>
              </w:rPr>
            </w:pPr>
          </w:p>
        </w:tc>
      </w:tr>
      <w:tr>
        <w:trPr>
          <w:trHeight w:val="198"/>
        </w:trPr>
        <w:tc>
          <w:tcPr>
            <w:tcW w:w="8220" w:type="dxa"/>
            <w:vAlign w:val="bottom"/>
          </w:tcPr>
          <w:p>
            <w:pPr>
              <w:ind w:left="680"/>
              <w:spacing w:after="0"/>
              <w:rPr>
                <w:sz w:val="20"/>
                <w:szCs w:val="20"/>
                <w:color w:val="auto"/>
              </w:rPr>
            </w:pPr>
            <w:r>
              <w:rPr>
                <w:rFonts w:ascii="Arial" w:cs="Arial" w:eastAsia="Arial" w:hAnsi="Arial"/>
                <w:sz w:val="15"/>
                <w:szCs w:val="15"/>
                <w:color w:val="auto"/>
              </w:rPr>
              <w:t>Performance-based</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1,959</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Trust fees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6,065</w:t>
            </w:r>
          </w:p>
        </w:tc>
        <w:tc>
          <w:tcPr>
            <w:tcW w:w="0" w:type="dxa"/>
            <w:vAlign w:val="bottom"/>
          </w:tcPr>
          <w:p>
            <w:pPr>
              <w:spacing w:after="0"/>
              <w:rPr>
                <w:sz w:val="1"/>
                <w:szCs w:val="1"/>
                <w:color w:val="auto"/>
              </w:rPr>
            </w:pPr>
          </w:p>
        </w:tc>
      </w:tr>
      <w:tr>
        <w:trPr>
          <w:trHeight w:val="198"/>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net</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200"/>
        </w:trPr>
        <w:tc>
          <w:tcPr>
            <w:tcW w:w="8220" w:type="dxa"/>
            <w:vAlign w:val="bottom"/>
            <w:shd w:val="clear" w:color="auto" w:fill="CCEEFF"/>
          </w:tcPr>
          <w:p>
            <w:pPr>
              <w:ind w:left="880"/>
              <w:spacing w:after="0"/>
              <w:rPr>
                <w:sz w:val="20"/>
                <w:szCs w:val="20"/>
                <w:color w:val="auto"/>
              </w:rPr>
            </w:pPr>
            <w:r>
              <w:rPr>
                <w:rFonts w:ascii="Arial" w:cs="Arial" w:eastAsia="Arial" w:hAnsi="Arial"/>
                <w:sz w:val="15"/>
                <w:szCs w:val="15"/>
                <w:color w:val="auto"/>
              </w:rPr>
              <w:t>Total revenues</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17,216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18,319</w:t>
            </w:r>
          </w:p>
        </w:tc>
        <w:tc>
          <w:tcPr>
            <w:tcW w:w="0" w:type="dxa"/>
            <w:vAlign w:val="bottom"/>
          </w:tcPr>
          <w:p>
            <w:pPr>
              <w:spacing w:after="0"/>
              <w:rPr>
                <w:sz w:val="1"/>
                <w:szCs w:val="1"/>
                <w:color w:val="auto"/>
              </w:rPr>
            </w:pPr>
          </w:p>
        </w:tc>
      </w:tr>
      <w:tr>
        <w:trPr>
          <w:trHeight w:val="180"/>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EXPENSES:</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2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Employee compensation and benefits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10,334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11,548</w:t>
            </w:r>
          </w:p>
        </w:tc>
        <w:tc>
          <w:tcPr>
            <w:tcW w:w="0" w:type="dxa"/>
            <w:vAlign w:val="bottom"/>
          </w:tcPr>
          <w:p>
            <w:pPr>
              <w:spacing w:after="0"/>
              <w:rPr>
                <w:sz w:val="1"/>
                <w:szCs w:val="1"/>
                <w:color w:val="auto"/>
              </w:rPr>
            </w:pPr>
          </w:p>
        </w:tc>
      </w:tr>
      <w:tr>
        <w:trPr>
          <w:trHeight w:val="198"/>
        </w:trPr>
        <w:tc>
          <w:tcPr>
            <w:tcW w:w="8220" w:type="dxa"/>
            <w:vAlign w:val="bottom"/>
          </w:tcPr>
          <w:p>
            <w:pPr>
              <w:ind w:left="360"/>
              <w:spacing w:after="0"/>
              <w:rPr>
                <w:sz w:val="20"/>
                <w:szCs w:val="20"/>
                <w:color w:val="auto"/>
              </w:rPr>
            </w:pPr>
            <w:r>
              <w:rPr>
                <w:rFonts w:ascii="Arial" w:cs="Arial" w:eastAsia="Arial" w:hAnsi="Arial"/>
                <w:sz w:val="15"/>
                <w:szCs w:val="15"/>
                <w:color w:val="auto"/>
              </w:rPr>
              <w:t>Sales and marketing</w:t>
            </w:r>
          </w:p>
        </w:tc>
        <w:tc>
          <w:tcPr>
            <w:tcW w:w="30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482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230</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Westwood mutual funds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198"/>
        </w:trPr>
        <w:tc>
          <w:tcPr>
            <w:tcW w:w="8220" w:type="dxa"/>
            <w:vAlign w:val="bottom"/>
          </w:tcPr>
          <w:p>
            <w:pPr>
              <w:ind w:left="360"/>
              <w:spacing w:after="0"/>
              <w:rPr>
                <w:sz w:val="20"/>
                <w:szCs w:val="20"/>
                <w:color w:val="auto"/>
              </w:rPr>
            </w:pPr>
            <w:r>
              <w:rPr>
                <w:rFonts w:ascii="Arial" w:cs="Arial" w:eastAsia="Arial" w:hAnsi="Arial"/>
                <w:sz w:val="15"/>
                <w:szCs w:val="15"/>
                <w:color w:val="auto"/>
              </w:rPr>
              <w:t>Information technology</w:t>
            </w:r>
          </w:p>
        </w:tc>
        <w:tc>
          <w:tcPr>
            <w:tcW w:w="30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1,829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1,992</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Professional services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1,317</w:t>
            </w:r>
          </w:p>
        </w:tc>
        <w:tc>
          <w:tcPr>
            <w:tcW w:w="0" w:type="dxa"/>
            <w:vAlign w:val="bottom"/>
          </w:tcPr>
          <w:p>
            <w:pPr>
              <w:spacing w:after="0"/>
              <w:rPr>
                <w:sz w:val="1"/>
                <w:szCs w:val="1"/>
                <w:color w:val="auto"/>
              </w:rPr>
            </w:pPr>
          </w:p>
        </w:tc>
      </w:tr>
      <w:tr>
        <w:trPr>
          <w:trHeight w:val="198"/>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General and administrative</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2,040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2,072</w:t>
            </w:r>
          </w:p>
        </w:tc>
        <w:tc>
          <w:tcPr>
            <w:tcW w:w="0" w:type="dxa"/>
            <w:vAlign w:val="bottom"/>
          </w:tcPr>
          <w:p>
            <w:pPr>
              <w:spacing w:after="0"/>
              <w:rPr>
                <w:sz w:val="1"/>
                <w:szCs w:val="1"/>
                <w:color w:val="auto"/>
              </w:rPr>
            </w:pPr>
          </w:p>
        </w:tc>
      </w:tr>
      <w:tr>
        <w:trPr>
          <w:trHeight w:val="200"/>
        </w:trPr>
        <w:tc>
          <w:tcPr>
            <w:tcW w:w="8220" w:type="dxa"/>
            <w:vAlign w:val="bottom"/>
            <w:shd w:val="clear" w:color="auto" w:fill="CCEEFF"/>
          </w:tcPr>
          <w:p>
            <w:pPr>
              <w:ind w:left="880"/>
              <w:spacing w:after="0"/>
              <w:rPr>
                <w:sz w:val="20"/>
                <w:szCs w:val="20"/>
                <w:color w:val="auto"/>
              </w:rPr>
            </w:pPr>
            <w:r>
              <w:rPr>
                <w:rFonts w:ascii="Arial" w:cs="Arial" w:eastAsia="Arial" w:hAnsi="Arial"/>
                <w:sz w:val="15"/>
                <w:szCs w:val="15"/>
                <w:color w:val="auto"/>
              </w:rPr>
              <w:t>Total expenses</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16,801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17,550</w:t>
            </w: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operating income</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769</w:t>
            </w:r>
          </w:p>
        </w:tc>
        <w:tc>
          <w:tcPr>
            <w:tcW w:w="0" w:type="dxa"/>
            <w:vAlign w:val="bottom"/>
          </w:tcPr>
          <w:p>
            <w:pPr>
              <w:spacing w:after="0"/>
              <w:rPr>
                <w:sz w:val="1"/>
                <w:szCs w:val="1"/>
                <w:color w:val="auto"/>
              </w:rPr>
            </w:pPr>
          </w:p>
        </w:tc>
      </w:tr>
      <w:tr>
        <w:trPr>
          <w:trHeight w:val="200"/>
        </w:trPr>
        <w:tc>
          <w:tcPr>
            <w:tcW w:w="82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Realized gains on private investments</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8,325</w:t>
            </w:r>
          </w:p>
        </w:tc>
        <w:tc>
          <w:tcPr>
            <w:tcW w:w="0" w:type="dxa"/>
            <w:vAlign w:val="bottom"/>
          </w:tcPr>
          <w:p>
            <w:pPr>
              <w:spacing w:after="0"/>
              <w:rPr>
                <w:sz w:val="1"/>
                <w:szCs w:val="1"/>
                <w:color w:val="auto"/>
              </w:rPr>
            </w:pPr>
          </w:p>
        </w:tc>
      </w:tr>
      <w:tr>
        <w:trPr>
          <w:trHeight w:val="198"/>
        </w:trPr>
        <w:tc>
          <w:tcPr>
            <w:tcW w:w="8220" w:type="dxa"/>
            <w:vAlign w:val="bottom"/>
          </w:tcPr>
          <w:p>
            <w:pPr>
              <w:ind w:left="360"/>
              <w:spacing w:after="0"/>
              <w:rPr>
                <w:sz w:val="20"/>
                <w:szCs w:val="20"/>
                <w:color w:val="auto"/>
              </w:rPr>
            </w:pPr>
            <w:r>
              <w:rPr>
                <w:rFonts w:ascii="Arial" w:cs="Arial" w:eastAsia="Arial" w:hAnsi="Arial"/>
                <w:sz w:val="15"/>
                <w:szCs w:val="15"/>
                <w:color w:val="auto"/>
              </w:rPr>
              <w:t>Net change in unrealized appreciation (depreciation) on private investments</w:t>
            </w:r>
          </w:p>
        </w:tc>
        <w:tc>
          <w:tcPr>
            <w:tcW w:w="30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(2,326)</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Investment income</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w:t>
            </w:r>
          </w:p>
        </w:tc>
        <w:tc>
          <w:tcPr>
            <w:tcW w:w="0" w:type="dxa"/>
            <w:vAlign w:val="bottom"/>
          </w:tcPr>
          <w:p>
            <w:pPr>
              <w:spacing w:after="0"/>
              <w:rPr>
                <w:sz w:val="1"/>
                <w:szCs w:val="1"/>
                <w:color w:val="auto"/>
              </w:rPr>
            </w:pPr>
          </w:p>
        </w:tc>
      </w:tr>
      <w:tr>
        <w:trPr>
          <w:trHeight w:val="198"/>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income</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0"/>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Income before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594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7,014</w:t>
            </w: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Income tax expense</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544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2,913</w:t>
            </w:r>
          </w:p>
        </w:tc>
        <w:tc>
          <w:tcPr>
            <w:tcW w:w="0" w:type="dxa"/>
            <w:vAlign w:val="bottom"/>
          </w:tcPr>
          <w:p>
            <w:pPr>
              <w:spacing w:after="0"/>
              <w:rPr>
                <w:sz w:val="1"/>
                <w:szCs w:val="1"/>
                <w:color w:val="auto"/>
              </w:rPr>
            </w:pPr>
          </w:p>
        </w:tc>
      </w:tr>
      <w:tr>
        <w:trPr>
          <w:trHeight w:val="19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4,101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22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4,101</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82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8220" w:type="dxa"/>
            <w:vAlign w:val="bottom"/>
          </w:tcPr>
          <w:p>
            <w:pPr>
              <w:ind w:left="20"/>
              <w:spacing w:after="0"/>
              <w:rPr>
                <w:sz w:val="20"/>
                <w:szCs w:val="20"/>
                <w:color w:val="auto"/>
              </w:rPr>
            </w:pPr>
            <w:r>
              <w:rPr>
                <w:rFonts w:ascii="Arial" w:cs="Arial" w:eastAsia="Arial" w:hAnsi="Arial"/>
                <w:sz w:val="15"/>
                <w:szCs w:val="15"/>
                <w:b w:val="1"/>
                <w:bCs w:val="1"/>
                <w:color w:val="auto"/>
              </w:rPr>
              <w:t>Earnings per share:</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Basic</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0.52</w:t>
            </w:r>
          </w:p>
        </w:tc>
        <w:tc>
          <w:tcPr>
            <w:tcW w:w="0" w:type="dxa"/>
            <w:vAlign w:val="bottom"/>
          </w:tcPr>
          <w:p>
            <w:pPr>
              <w:spacing w:after="0"/>
              <w:rPr>
                <w:sz w:val="1"/>
                <w:szCs w:val="1"/>
                <w:color w:val="auto"/>
              </w:rPr>
            </w:pPr>
          </w:p>
        </w:tc>
      </w:tr>
      <w:tr>
        <w:trPr>
          <w:trHeight w:val="198"/>
        </w:trPr>
        <w:tc>
          <w:tcPr>
            <w:tcW w:w="8220" w:type="dxa"/>
            <w:vAlign w:val="bottom"/>
          </w:tcPr>
          <w:p>
            <w:pPr>
              <w:ind w:left="360"/>
              <w:spacing w:after="0"/>
              <w:rPr>
                <w:sz w:val="20"/>
                <w:szCs w:val="20"/>
                <w:color w:val="auto"/>
              </w:rPr>
            </w:pPr>
            <w:r>
              <w:rPr>
                <w:rFonts w:ascii="Arial" w:cs="Arial" w:eastAsia="Arial" w:hAnsi="Arial"/>
                <w:sz w:val="15"/>
                <w:szCs w:val="15"/>
                <w:color w:val="auto"/>
              </w:rPr>
              <w:t>Diluted</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0.52</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Weighted average shares outstanding:</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20" w:type="dxa"/>
            <w:vAlign w:val="bottom"/>
          </w:tcPr>
          <w:p>
            <w:pPr>
              <w:ind w:left="360"/>
              <w:spacing w:after="0"/>
              <w:rPr>
                <w:sz w:val="20"/>
                <w:szCs w:val="20"/>
                <w:color w:val="auto"/>
              </w:rPr>
            </w:pPr>
            <w:r>
              <w:rPr>
                <w:rFonts w:ascii="Arial" w:cs="Arial" w:eastAsia="Arial" w:hAnsi="Arial"/>
                <w:sz w:val="15"/>
                <w:szCs w:val="15"/>
                <w:color w:val="auto"/>
              </w:rPr>
              <w:t>Basic</w:t>
            </w:r>
          </w:p>
        </w:tc>
        <w:tc>
          <w:tcPr>
            <w:tcW w:w="30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7,865,174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7,887,044</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Diluted</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7,931,453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7,917,390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60" w:type="dxa"/>
            <w:vAlign w:val="bottom"/>
          </w:tcPr>
          <w:p>
            <w:pPr>
              <w:spacing w:after="0"/>
              <w:rPr>
                <w:sz w:val="17"/>
                <w:szCs w:val="17"/>
                <w:color w:val="auto"/>
              </w:rPr>
            </w:pPr>
          </w:p>
        </w:tc>
        <w:tc>
          <w:tcPr>
            <w:tcW w:w="20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5"/>
                <w:szCs w:val="15"/>
                <w:b w:val="1"/>
                <w:bCs w:val="1"/>
                <w:color w:val="auto"/>
              </w:rPr>
              <w:t>Common Stock, Par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Treasury</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8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Stock</w:t>
            </w:r>
          </w:p>
        </w:tc>
        <w:tc>
          <w:tcPr>
            <w:tcW w:w="15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2"/>
              </w:rPr>
              <w:t>Retained Earnings</w:t>
            </w:r>
          </w:p>
        </w:tc>
        <w:tc>
          <w:tcPr>
            <w:tcW w:w="200" w:type="dxa"/>
            <w:vAlign w:val="bottom"/>
          </w:tcPr>
          <w:p>
            <w:pPr>
              <w:spacing w:after="0"/>
              <w:rPr>
                <w:sz w:val="16"/>
                <w:szCs w:val="16"/>
                <w:color w:val="auto"/>
              </w:rPr>
            </w:pPr>
          </w:p>
        </w:tc>
        <w:tc>
          <w:tcPr>
            <w:tcW w:w="760" w:type="dxa"/>
            <w:vAlign w:val="bottom"/>
          </w:tcPr>
          <w:p>
            <w:pPr>
              <w:jc w:val="right"/>
              <w:ind w:right="2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8,253,491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195,187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117,906</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stock, net of forfeitures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Dividends declared ($0.15 per share)</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Purchases of treasury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(12,202)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returned for payment of taxes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07"/>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Balance, March 31, 2022</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8,575,451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196,564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(82,576)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3,162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117,260</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4360" w:type="dxa"/>
            <w:vAlign w:val="bottom"/>
          </w:tcPr>
          <w:p>
            <w:pPr>
              <w:spacing w:after="0"/>
              <w:rPr>
                <w:sz w:val="24"/>
                <w:szCs w:val="24"/>
                <w:color w:val="auto"/>
              </w:rPr>
            </w:pPr>
          </w:p>
        </w:tc>
        <w:tc>
          <w:tcPr>
            <w:tcW w:w="2080" w:type="dxa"/>
            <w:vAlign w:val="bottom"/>
            <w:gridSpan w:val="4"/>
            <w:vMerge w:val="restart"/>
          </w:tcPr>
          <w:p>
            <w:pPr>
              <w:jc w:val="right"/>
              <w:ind w:right="300"/>
              <w:spacing w:after="0"/>
              <w:rPr>
                <w:sz w:val="20"/>
                <w:szCs w:val="20"/>
                <w:color w:val="auto"/>
              </w:rPr>
            </w:pPr>
            <w:r>
              <w:rPr>
                <w:rFonts w:ascii="Arial" w:cs="Arial" w:eastAsia="Arial" w:hAnsi="Arial"/>
                <w:sz w:val="15"/>
                <w:szCs w:val="15"/>
                <w:b w:val="1"/>
                <w:bCs w:val="1"/>
                <w:color w:val="auto"/>
              </w:rPr>
              <w:t>Common Stock, Par</w:t>
            </w:r>
          </w:p>
        </w:tc>
        <w:tc>
          <w:tcPr>
            <w:tcW w:w="1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2"/>
              </w:rPr>
              <w:t>Retained Earnings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1"/>
                <w:szCs w:val="11"/>
                <w:color w:val="auto"/>
              </w:rPr>
            </w:pPr>
          </w:p>
        </w:tc>
        <w:tc>
          <w:tcPr>
            <w:tcW w:w="208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rPr>
              <w:t>Treasury</w:t>
            </w:r>
          </w:p>
        </w:tc>
        <w:tc>
          <w:tcPr>
            <w:tcW w:w="180" w:type="dxa"/>
            <w:vAlign w:val="bottom"/>
          </w:tcPr>
          <w:p>
            <w:pPr>
              <w:spacing w:after="0"/>
              <w:rPr>
                <w:sz w:val="11"/>
                <w:szCs w:val="11"/>
                <w:color w:val="auto"/>
              </w:rPr>
            </w:pPr>
          </w:p>
        </w:tc>
        <w:tc>
          <w:tcPr>
            <w:tcW w:w="13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9"/>
              </w:rPr>
              <w:t>(Accumulated</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8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Stock</w:t>
            </w: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4"/>
              </w:rPr>
              <w:t>Deficit)</w:t>
            </w:r>
          </w:p>
        </w:tc>
        <w:tc>
          <w:tcPr>
            <w:tcW w:w="200" w:type="dxa"/>
            <w:vAlign w:val="bottom"/>
          </w:tcPr>
          <w:p>
            <w:pPr>
              <w:spacing w:after="0"/>
              <w:rPr>
                <w:sz w:val="16"/>
                <w:szCs w:val="16"/>
                <w:color w:val="auto"/>
              </w:rPr>
            </w:pPr>
          </w:p>
        </w:tc>
        <w:tc>
          <w:tcPr>
            <w:tcW w:w="760" w:type="dxa"/>
            <w:vAlign w:val="bottom"/>
          </w:tcPr>
          <w:p>
            <w:pPr>
              <w:jc w:val="right"/>
              <w:ind w:right="2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8,326,948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210,268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130,711</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4,101</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stock, net of forfeitures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Dividends declared ($0.10 per share)</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Purchases of treasury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(92,491)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returned for payment of taxes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06"/>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Balance, March 31,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8,313,003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211,988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(80,255)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133,445</w:t>
            </w:r>
          </w:p>
        </w:tc>
        <w:tc>
          <w:tcPr>
            <w:tcW w:w="0" w:type="dxa"/>
            <w:vAlign w:val="bottom"/>
          </w:tcPr>
          <w:p>
            <w:pPr>
              <w:spacing w:after="0"/>
              <w:rPr>
                <w:sz w:val="1"/>
                <w:szCs w:val="1"/>
                <w:color w:val="auto"/>
              </w:rPr>
            </w:pPr>
          </w:p>
        </w:tc>
      </w:tr>
      <w:tr>
        <w:trPr>
          <w:trHeight w:val="24"/>
        </w:trPr>
        <w:tc>
          <w:tcPr>
            <w:tcW w:w="4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40" w:type="dxa"/>
            <w:vAlign w:val="bottom"/>
          </w:tcPr>
          <w:p>
            <w:pPr>
              <w:spacing w:after="0"/>
              <w:rPr>
                <w:sz w:val="17"/>
                <w:szCs w:val="17"/>
                <w:color w:val="auto"/>
              </w:rPr>
            </w:pPr>
          </w:p>
        </w:tc>
        <w:tc>
          <w:tcPr>
            <w:tcW w:w="27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5"/>
                <w:szCs w:val="15"/>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9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94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1040" w:type="dxa"/>
            <w:vAlign w:val="bottom"/>
          </w:tcPr>
          <w:p>
            <w:pPr>
              <w:jc w:val="right"/>
              <w:ind w:right="866"/>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080" w:type="dxa"/>
            <w:vAlign w:val="bottom"/>
          </w:tcPr>
          <w:p>
            <w:pPr>
              <w:jc w:val="right"/>
              <w:ind w:right="907"/>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4,101</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40" w:type="dxa"/>
            <w:vAlign w:val="bottom"/>
          </w:tcPr>
          <w:p>
            <w:pPr>
              <w:ind w:left="680"/>
              <w:spacing w:after="0"/>
              <w:rPr>
                <w:sz w:val="20"/>
                <w:szCs w:val="20"/>
                <w:color w:val="auto"/>
              </w:rPr>
            </w:pPr>
            <w:r>
              <w:rPr>
                <w:rFonts w:ascii="Arial" w:cs="Arial" w:eastAsia="Arial" w:hAnsi="Arial"/>
                <w:sz w:val="14"/>
                <w:szCs w:val="14"/>
                <w:color w:val="auto"/>
              </w:rPr>
              <w:t>Depreciation</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Amortization of intangible assets</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6"/>
        </w:trPr>
        <w:tc>
          <w:tcPr>
            <w:tcW w:w="7940" w:type="dxa"/>
            <w:vAlign w:val="bottom"/>
          </w:tcPr>
          <w:p>
            <w:pPr>
              <w:ind w:left="680"/>
              <w:spacing w:after="0"/>
              <w:rPr>
                <w:sz w:val="20"/>
                <w:szCs w:val="20"/>
                <w:color w:val="auto"/>
              </w:rPr>
            </w:pPr>
            <w:r>
              <w:rPr>
                <w:rFonts w:ascii="Arial" w:cs="Arial" w:eastAsia="Arial" w:hAnsi="Arial"/>
                <w:sz w:val="14"/>
                <w:szCs w:val="14"/>
                <w:color w:val="auto"/>
              </w:rPr>
              <w:t>Net change in unrealized depreciation on investments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2,432</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Realized gains on private investments</w:t>
            </w:r>
          </w:p>
        </w:tc>
        <w:tc>
          <w:tcPr>
            <w:tcW w:w="10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(8,325)</w:t>
            </w:r>
          </w:p>
        </w:tc>
        <w:tc>
          <w:tcPr>
            <w:tcW w:w="0" w:type="dxa"/>
            <w:vAlign w:val="bottom"/>
          </w:tcPr>
          <w:p>
            <w:pPr>
              <w:spacing w:after="0"/>
              <w:rPr>
                <w:sz w:val="1"/>
                <w:szCs w:val="1"/>
                <w:color w:val="auto"/>
              </w:rPr>
            </w:pPr>
          </w:p>
        </w:tc>
      </w:tr>
      <w:tr>
        <w:trPr>
          <w:trHeight w:val="186"/>
        </w:trPr>
        <w:tc>
          <w:tcPr>
            <w:tcW w:w="7940" w:type="dxa"/>
            <w:vAlign w:val="bottom"/>
          </w:tcPr>
          <w:p>
            <w:pPr>
              <w:ind w:left="680"/>
              <w:spacing w:after="0"/>
              <w:rPr>
                <w:sz w:val="20"/>
                <w:szCs w:val="20"/>
                <w:color w:val="auto"/>
              </w:rPr>
            </w:pPr>
            <w:r>
              <w:rPr>
                <w:rFonts w:ascii="Arial" w:cs="Arial" w:eastAsia="Arial" w:hAnsi="Arial"/>
                <w:sz w:val="14"/>
                <w:szCs w:val="14"/>
                <w:color w:val="auto"/>
              </w:rPr>
              <w:t>Stock based compensation expense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1,380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Deferred income taxes</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6"/>
        </w:trPr>
        <w:tc>
          <w:tcPr>
            <w:tcW w:w="7940" w:type="dxa"/>
            <w:vAlign w:val="bottom"/>
          </w:tcPr>
          <w:p>
            <w:pPr>
              <w:ind w:left="680"/>
              <w:spacing w:after="0"/>
              <w:rPr>
                <w:sz w:val="20"/>
                <w:szCs w:val="20"/>
                <w:color w:val="auto"/>
              </w:rPr>
            </w:pPr>
            <w:r>
              <w:rPr>
                <w:rFonts w:ascii="Arial" w:cs="Arial" w:eastAsia="Arial" w:hAnsi="Arial"/>
                <w:sz w:val="14"/>
                <w:szCs w:val="14"/>
                <w:color w:val="auto"/>
              </w:rPr>
              <w:t>Non-cash lease expense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Gain on asset disposition</w:t>
            </w:r>
          </w:p>
        </w:tc>
        <w:tc>
          <w:tcPr>
            <w:tcW w:w="10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6"/>
        </w:trPr>
        <w:tc>
          <w:tcPr>
            <w:tcW w:w="7940" w:type="dxa"/>
            <w:vAlign w:val="bottom"/>
          </w:tcPr>
          <w:p>
            <w:pPr>
              <w:ind w:left="360"/>
              <w:spacing w:after="0"/>
              <w:rPr>
                <w:sz w:val="20"/>
                <w:szCs w:val="20"/>
                <w:color w:val="auto"/>
              </w:rPr>
            </w:pPr>
            <w:r>
              <w:rPr>
                <w:rFonts w:ascii="Arial" w:cs="Arial" w:eastAsia="Arial" w:hAnsi="Arial"/>
                <w:sz w:val="14"/>
                <w:szCs w:val="14"/>
                <w:color w:val="auto"/>
              </w:rPr>
              <w:t>Change in operating assets and liabilities:</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sales (purchases) of trading securities</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(4,444)</w:t>
            </w:r>
          </w:p>
        </w:tc>
        <w:tc>
          <w:tcPr>
            <w:tcW w:w="0" w:type="dxa"/>
            <w:vAlign w:val="bottom"/>
          </w:tcPr>
          <w:p>
            <w:pPr>
              <w:spacing w:after="0"/>
              <w:rPr>
                <w:sz w:val="1"/>
                <w:szCs w:val="1"/>
                <w:color w:val="auto"/>
              </w:rPr>
            </w:pPr>
          </w:p>
        </w:tc>
      </w:tr>
      <w:tr>
        <w:trPr>
          <w:trHeight w:val="186"/>
        </w:trPr>
        <w:tc>
          <w:tcPr>
            <w:tcW w:w="7940" w:type="dxa"/>
            <w:vAlign w:val="bottom"/>
          </w:tcPr>
          <w:p>
            <w:pPr>
              <w:ind w:left="680"/>
              <w:spacing w:after="0"/>
              <w:rPr>
                <w:sz w:val="20"/>
                <w:szCs w:val="20"/>
                <w:color w:val="auto"/>
              </w:rPr>
            </w:pPr>
            <w:r>
              <w:rPr>
                <w:rFonts w:ascii="Arial" w:cs="Arial" w:eastAsia="Arial" w:hAnsi="Arial"/>
                <w:sz w:val="14"/>
                <w:szCs w:val="14"/>
                <w:color w:val="auto"/>
              </w:rPr>
              <w:t>Accounts receivable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(2,295)</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current assets</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6"/>
        </w:trPr>
        <w:tc>
          <w:tcPr>
            <w:tcW w:w="7940" w:type="dxa"/>
            <w:vAlign w:val="bottom"/>
          </w:tcPr>
          <w:p>
            <w:pPr>
              <w:ind w:left="680"/>
              <w:spacing w:after="0"/>
              <w:rPr>
                <w:sz w:val="20"/>
                <w:szCs w:val="20"/>
                <w:color w:val="auto"/>
              </w:rPr>
            </w:pPr>
            <w:r>
              <w:rPr>
                <w:rFonts w:ascii="Arial" w:cs="Arial" w:eastAsia="Arial" w:hAnsi="Arial"/>
                <w:sz w:val="14"/>
                <w:szCs w:val="14"/>
                <w:color w:val="auto"/>
              </w:rPr>
              <w:t>Accounts payable and accrued liabilities</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Compensation and benefits payable</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(5,026)</w:t>
            </w:r>
          </w:p>
        </w:tc>
        <w:tc>
          <w:tcPr>
            <w:tcW w:w="0" w:type="dxa"/>
            <w:vAlign w:val="bottom"/>
          </w:tcPr>
          <w:p>
            <w:pPr>
              <w:spacing w:after="0"/>
              <w:rPr>
                <w:sz w:val="1"/>
                <w:szCs w:val="1"/>
                <w:color w:val="auto"/>
              </w:rPr>
            </w:pPr>
          </w:p>
        </w:tc>
      </w:tr>
      <w:tr>
        <w:trPr>
          <w:trHeight w:val="186"/>
        </w:trPr>
        <w:tc>
          <w:tcPr>
            <w:tcW w:w="7940" w:type="dxa"/>
            <w:vAlign w:val="bottom"/>
          </w:tcPr>
          <w:p>
            <w:pPr>
              <w:ind w:left="680"/>
              <w:spacing w:after="0"/>
              <w:rPr>
                <w:sz w:val="20"/>
                <w:szCs w:val="20"/>
                <w:color w:val="auto"/>
              </w:rPr>
            </w:pPr>
            <w:r>
              <w:rPr>
                <w:rFonts w:ascii="Arial" w:cs="Arial" w:eastAsia="Arial" w:hAnsi="Arial"/>
                <w:sz w:val="14"/>
                <w:szCs w:val="14"/>
                <w:color w:val="auto"/>
              </w:rPr>
              <w:t>Income taxes payable</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3,630</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liabilities</w:t>
            </w: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79"/>
        </w:trPr>
        <w:tc>
          <w:tcPr>
            <w:tcW w:w="7940" w:type="dxa"/>
            <w:vAlign w:val="bottom"/>
            <w:tcBorders>
              <w:bottom w:val="single" w:sz="8" w:color="CCEEFF"/>
            </w:tcBorders>
          </w:tcPr>
          <w:p>
            <w:pPr>
              <w:ind w:left="880"/>
              <w:spacing w:after="0"/>
              <w:rPr>
                <w:sz w:val="20"/>
                <w:szCs w:val="20"/>
                <w:color w:val="auto"/>
              </w:rPr>
            </w:pPr>
            <w:r>
              <w:rPr>
                <w:rFonts w:ascii="Arial" w:cs="Arial" w:eastAsia="Arial" w:hAnsi="Arial"/>
                <w:sz w:val="14"/>
                <w:szCs w:val="14"/>
                <w:color w:val="auto"/>
              </w:rPr>
              <w:t>Net cash provided by (used in) operating activities</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8,770</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(7,045)</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940" w:type="dxa"/>
            <w:vAlign w:val="bottom"/>
          </w:tcPr>
          <w:p>
            <w:pPr>
              <w:ind w:left="360"/>
              <w:spacing w:after="0"/>
              <w:rPr>
                <w:sz w:val="20"/>
                <w:szCs w:val="20"/>
                <w:color w:val="auto"/>
              </w:rPr>
            </w:pPr>
            <w:r>
              <w:rPr>
                <w:rFonts w:ascii="Arial" w:cs="Arial" w:eastAsia="Arial" w:hAnsi="Arial"/>
                <w:sz w:val="14"/>
                <w:szCs w:val="14"/>
                <w:color w:val="auto"/>
              </w:rPr>
              <w:t>Sale of investments</w:t>
            </w:r>
          </w:p>
        </w:tc>
        <w:tc>
          <w:tcPr>
            <w:tcW w:w="10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9,258</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Sale of property and equipment</w:t>
            </w:r>
          </w:p>
        </w:tc>
        <w:tc>
          <w:tcPr>
            <w:tcW w:w="10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86"/>
        </w:trPr>
        <w:tc>
          <w:tcPr>
            <w:tcW w:w="7940" w:type="dxa"/>
            <w:vAlign w:val="bottom"/>
          </w:tcPr>
          <w:p>
            <w:pPr>
              <w:ind w:left="360"/>
              <w:spacing w:after="0"/>
              <w:rPr>
                <w:sz w:val="20"/>
                <w:szCs w:val="20"/>
                <w:color w:val="auto"/>
              </w:rPr>
            </w:pPr>
            <w:r>
              <w:rPr>
                <w:rFonts w:ascii="Arial" w:cs="Arial" w:eastAsia="Arial" w:hAnsi="Arial"/>
                <w:sz w:val="14"/>
                <w:szCs w:val="14"/>
                <w:color w:val="auto"/>
              </w:rPr>
              <w:t>Purchase of property and equipment</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 of investments</w:t>
            </w:r>
          </w:p>
        </w:tc>
        <w:tc>
          <w:tcPr>
            <w:tcW w:w="10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9"/>
        </w:trPr>
        <w:tc>
          <w:tcPr>
            <w:tcW w:w="7940" w:type="dxa"/>
            <w:vAlign w:val="bottom"/>
            <w:tcBorders>
              <w:bottom w:val="single" w:sz="8" w:color="CCEEFF"/>
            </w:tcBorders>
          </w:tcPr>
          <w:p>
            <w:pPr>
              <w:ind w:left="880"/>
              <w:spacing w:after="0"/>
              <w:rPr>
                <w:sz w:val="20"/>
                <w:szCs w:val="20"/>
                <w:color w:val="auto"/>
              </w:rPr>
            </w:pPr>
            <w:r>
              <w:rPr>
                <w:rFonts w:ascii="Arial" w:cs="Arial" w:eastAsia="Arial" w:hAnsi="Arial"/>
                <w:sz w:val="14"/>
                <w:szCs w:val="14"/>
                <w:color w:val="auto"/>
              </w:rPr>
              <w:t>Net cash (used in) provided by investing activities</w:t>
            </w:r>
          </w:p>
        </w:tc>
        <w:tc>
          <w:tcPr>
            <w:tcW w:w="10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9,735</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940" w:type="dxa"/>
            <w:vAlign w:val="bottom"/>
          </w:tcPr>
          <w:p>
            <w:pPr>
              <w:ind w:left="360"/>
              <w:spacing w:after="0"/>
              <w:rPr>
                <w:sz w:val="20"/>
                <w:szCs w:val="20"/>
                <w:color w:val="auto"/>
              </w:rPr>
            </w:pPr>
            <w:r>
              <w:rPr>
                <w:rFonts w:ascii="Arial" w:cs="Arial" w:eastAsia="Arial" w:hAnsi="Arial"/>
                <w:sz w:val="14"/>
                <w:szCs w:val="14"/>
                <w:color w:val="auto"/>
              </w:rPr>
              <w:t>Purchases of treasury stock</w:t>
            </w:r>
          </w:p>
        </w:tc>
        <w:tc>
          <w:tcPr>
            <w:tcW w:w="10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Restricted stock returned for payment of taxes</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186"/>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Cash dividends paid</w:t>
            </w: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(1,972)</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86"/>
        </w:trPr>
        <w:tc>
          <w:tcPr>
            <w:tcW w:w="79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Net cash used in financing activities</w:t>
            </w: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(2,798)</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(2,730)</w:t>
            </w:r>
          </w:p>
        </w:tc>
        <w:tc>
          <w:tcPr>
            <w:tcW w:w="0" w:type="dxa"/>
            <w:vAlign w:val="bottom"/>
          </w:tcPr>
          <w:p>
            <w:pPr>
              <w:spacing w:after="0"/>
              <w:rPr>
                <w:sz w:val="1"/>
                <w:szCs w:val="1"/>
                <w:color w:val="auto"/>
              </w:rPr>
            </w:pPr>
          </w:p>
        </w:tc>
      </w:tr>
      <w:tr>
        <w:trPr>
          <w:trHeight w:val="17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currency rate changes on cash</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5,942</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15,206</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13,016</w:t>
            </w:r>
          </w:p>
        </w:tc>
        <w:tc>
          <w:tcPr>
            <w:tcW w:w="0" w:type="dxa"/>
            <w:vAlign w:val="bottom"/>
          </w:tcPr>
          <w:p>
            <w:pPr>
              <w:spacing w:after="0"/>
              <w:rPr>
                <w:sz w:val="1"/>
                <w:szCs w:val="1"/>
                <w:color w:val="auto"/>
              </w:rPr>
            </w:pPr>
          </w:p>
        </w:tc>
      </w:tr>
      <w:tr>
        <w:trPr>
          <w:trHeight w:val="184"/>
        </w:trPr>
        <w:tc>
          <w:tcPr>
            <w:tcW w:w="794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Cash and cash equivalents, end of period</w:t>
            </w:r>
          </w:p>
        </w:tc>
        <w:tc>
          <w:tcPr>
            <w:tcW w:w="1040" w:type="dxa"/>
            <w:vAlign w:val="bottom"/>
            <w:tcBorders>
              <w:bottom w:val="single" w:sz="8" w:color="auto"/>
            </w:tcBorders>
            <w:shd w:val="clear" w:color="auto" w:fill="CCEEFF"/>
          </w:tcPr>
          <w:p>
            <w:pPr>
              <w:jc w:val="right"/>
              <w:ind w:right="866"/>
              <w:spacing w:after="0" w:line="15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21,148</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07"/>
              <w:spacing w:after="0" w:line="15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12,989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9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paid during the period for income taxes</w:t>
            </w:r>
          </w:p>
        </w:tc>
        <w:tc>
          <w:tcPr>
            <w:tcW w:w="1040" w:type="dxa"/>
            <w:vAlign w:val="bottom"/>
            <w:shd w:val="clear" w:color="auto" w:fill="CCEEFF"/>
          </w:tcPr>
          <w:p>
            <w:pPr>
              <w:jc w:val="right"/>
              <w:ind w:right="866"/>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907"/>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86"/>
        </w:trPr>
        <w:tc>
          <w:tcPr>
            <w:tcW w:w="7940" w:type="dxa"/>
            <w:vAlign w:val="bottom"/>
          </w:tcPr>
          <w:p>
            <w:pPr>
              <w:ind w:left="360"/>
              <w:spacing w:after="0"/>
              <w:rPr>
                <w:sz w:val="20"/>
                <w:szCs w:val="20"/>
                <w:color w:val="auto"/>
              </w:rPr>
            </w:pPr>
            <w:r>
              <w:rPr>
                <w:rFonts w:ascii="Arial" w:cs="Arial" w:eastAsia="Arial" w:hAnsi="Arial"/>
                <w:sz w:val="14"/>
                <w:szCs w:val="14"/>
                <w:color w:val="auto"/>
              </w:rPr>
              <w:t>Accrued dividends</w:t>
            </w:r>
          </w:p>
        </w:tc>
        <w:tc>
          <w:tcPr>
            <w:tcW w:w="1040" w:type="dxa"/>
            <w:vAlign w:val="bottom"/>
          </w:tcPr>
          <w:p>
            <w:pPr>
              <w:jc w:val="right"/>
              <w:ind w:right="866"/>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2,216</w:t>
            </w:r>
          </w:p>
        </w:tc>
        <w:tc>
          <w:tcPr>
            <w:tcW w:w="100" w:type="dxa"/>
            <w:vAlign w:val="bottom"/>
          </w:tcPr>
          <w:p>
            <w:pPr>
              <w:spacing w:after="0"/>
              <w:rPr>
                <w:sz w:val="16"/>
                <w:szCs w:val="16"/>
                <w:color w:val="auto"/>
              </w:rPr>
            </w:pPr>
          </w:p>
        </w:tc>
        <w:tc>
          <w:tcPr>
            <w:tcW w:w="1080" w:type="dxa"/>
            <w:vAlign w:val="bottom"/>
          </w:tcPr>
          <w:p>
            <w:pPr>
              <w:jc w:val="right"/>
              <w:ind w:right="907"/>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206"/>
        </w:trPr>
        <w:tc>
          <w:tcPr>
            <w:tcW w:w="79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purchases of treasury stock</w:t>
            </w:r>
          </w:p>
        </w:tc>
        <w:tc>
          <w:tcPr>
            <w:tcW w:w="1040" w:type="dxa"/>
            <w:vAlign w:val="bottom"/>
            <w:shd w:val="clear" w:color="auto" w:fill="CCEEFF"/>
          </w:tcPr>
          <w:p>
            <w:pPr>
              <w:jc w:val="right"/>
              <w:ind w:right="866"/>
              <w:spacing w:after="0"/>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907"/>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 w:name="page7"/>
    <w:bookmarkEnd w:id="6"/>
    <w:p>
      <w:pPr>
        <w:jc w:val="center"/>
        <w:ind w:left="340" w:right="26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200" w:firstLine="486"/>
        <w:spacing w:after="0" w:line="311" w:lineRule="auto"/>
        <w:rPr>
          <w:sz w:val="20"/>
          <w:szCs w:val="20"/>
          <w:color w:val="auto"/>
        </w:rPr>
      </w:pPr>
      <w:r>
        <w:rPr>
          <w:rFonts w:ascii="Arial" w:cs="Arial" w:eastAsia="Arial" w:hAnsi="Arial"/>
          <w:sz w:val="16"/>
          <w:szCs w:val="16"/>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and Westwood Advisors, L.L.C. (referred to hereinafter together as “Westwood Management”) and Westwood Trust.</w:t>
      </w:r>
    </w:p>
    <w:p>
      <w:pPr>
        <w:spacing w:after="0" w:line="41"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Westwood Management provides investment advisory services to institutional clients, a family of mutual funds called the Westwood Funds®, other mutual funds,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Accordingly, fluctuations in financial markets and in the composition of AUM impact our revenues and results of operations.</w:t>
      </w:r>
    </w:p>
    <w:p>
      <w:pPr>
        <w:spacing w:after="0" w:line="4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Westwood Management is registered with the Securities and Exchange Commission ("SEC") as an investment advisor ("RIA") under the Investment Advisers Act of 1940. Westwood Trust is chartered and regulated by the Texas Department of Banking.</w:t>
      </w:r>
    </w:p>
    <w:p>
      <w:pPr>
        <w:spacing w:after="0" w:line="58" w:lineRule="exact"/>
        <w:rPr>
          <w:sz w:val="20"/>
          <w:szCs w:val="20"/>
          <w:color w:val="auto"/>
        </w:rPr>
      </w:pPr>
    </w:p>
    <w:p>
      <w:pPr>
        <w:ind w:left="40" w:right="6340" w:hanging="32"/>
        <w:spacing w:after="0" w:line="378" w:lineRule="auto"/>
        <w:tabs>
          <w:tab w:leader="none" w:pos="1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40" w:firstLine="486"/>
        <w:spacing w:after="0" w:line="255" w:lineRule="auto"/>
        <w:rPr>
          <w:sz w:val="20"/>
          <w:szCs w:val="20"/>
          <w:color w:val="auto"/>
        </w:rPr>
      </w:pPr>
      <w:r>
        <w:rPr>
          <w:rFonts w:ascii="Arial" w:cs="Arial" w:eastAsia="Arial" w:hAnsi="Arial"/>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w:t>
      </w:r>
    </w:p>
    <w:p>
      <w:pPr>
        <w:spacing w:after="0" w:line="84" w:lineRule="exact"/>
        <w:rPr>
          <w:sz w:val="20"/>
          <w:szCs w:val="20"/>
          <w:color w:val="auto"/>
        </w:rPr>
      </w:pPr>
    </w:p>
    <w:p>
      <w:pPr>
        <w:ind w:right="320" w:firstLine="486"/>
        <w:spacing w:after="0" w:line="25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2021.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76" w:lineRule="exact"/>
        <w:rPr>
          <w:sz w:val="20"/>
          <w:szCs w:val="20"/>
          <w:color w:val="auto"/>
        </w:rPr>
      </w:pPr>
    </w:p>
    <w:p>
      <w:pPr>
        <w:ind w:right="9580" w:firstLine="8"/>
        <w:spacing w:after="0" w:line="425"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Revenue Recognition</w:t>
      </w:r>
    </w:p>
    <w:p>
      <w:pPr>
        <w:ind w:firstLine="486"/>
        <w:spacing w:after="0" w:line="257" w:lineRule="auto"/>
        <w:rPr>
          <w:sz w:val="20"/>
          <w:szCs w:val="20"/>
          <w:color w:val="auto"/>
        </w:rPr>
      </w:pPr>
      <w:r>
        <w:rPr>
          <w:rFonts w:ascii="Arial" w:cs="Arial" w:eastAsia="Arial" w:hAnsi="Arial"/>
          <w:sz w:val="18"/>
          <w:szCs w:val="18"/>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Advisory and trust fees are calculated based on a percentage of AUM and the performance obligation is realized over the current calendar quarter. Once clients receive our investment advisory services we have an enforceable right to payment.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 Revenues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advisory fees are generated by Westwood Management which manages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spacing w:after="0" w:line="63" w:lineRule="exact"/>
        <w:rPr>
          <w:sz w:val="20"/>
          <w:szCs w:val="20"/>
          <w:color w:val="auto"/>
        </w:rPr>
      </w:pPr>
    </w:p>
    <w:p>
      <w:pPr>
        <w:jc w:val="both"/>
        <w:ind w:right="640" w:firstLine="486"/>
        <w:spacing w:after="0" w:line="342" w:lineRule="auto"/>
        <w:rPr>
          <w:sz w:val="20"/>
          <w:szCs w:val="20"/>
          <w:color w:val="auto"/>
        </w:rPr>
      </w:pPr>
      <w:r>
        <w:rPr>
          <w:rFonts w:ascii="Arial" w:cs="Arial" w:eastAsia="Arial" w:hAnsi="Arial"/>
          <w:sz w:val="16"/>
          <w:szCs w:val="16"/>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Performance-Based Obligations</w:t>
      </w:r>
    </w:p>
    <w:p>
      <w:pPr>
        <w:spacing w:after="0" w:line="121"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spacing w:after="0" w:line="7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revenue is based on future market performance and is subject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pacing w:after="0" w:line="121"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advisory fee revenues.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w:t>
      </w:r>
    </w:p>
    <w:p>
      <w:pPr>
        <w:spacing w:after="0" w:line="121" w:lineRule="exact"/>
        <w:rPr>
          <w:sz w:val="20"/>
          <w:szCs w:val="20"/>
          <w:color w:val="auto"/>
        </w:rPr>
      </w:pPr>
    </w:p>
    <w:p>
      <w:pPr>
        <w:ind w:right="160" w:firstLine="486"/>
        <w:spacing w:after="0" w:line="274" w:lineRule="auto"/>
        <w:rPr>
          <w:sz w:val="20"/>
          <w:szCs w:val="20"/>
          <w:color w:val="auto"/>
        </w:rPr>
      </w:pPr>
      <w:r>
        <w:rPr>
          <w:rFonts w:ascii="Arial" w:cs="Arial" w:eastAsia="Arial" w:hAnsi="Arial"/>
          <w:sz w:val="18"/>
          <w:szCs w:val="18"/>
          <w:color w:val="auto"/>
        </w:rPr>
        <w:t>Sales taxes are excluded from revenues. The following table presents our revenue disaggregated by account type (in thousands). In 2021, we recast certain prior year revenues related to performance-based fees.</w:t>
      </w: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376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212"/>
        </w:trPr>
        <w:tc>
          <w:tcPr>
            <w:tcW w:w="6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Advisory Fees:</w:t>
            </w:r>
          </w:p>
        </w:tc>
        <w:tc>
          <w:tcPr>
            <w:tcW w:w="1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6860" w:type="dxa"/>
            <w:vAlign w:val="bottom"/>
          </w:tcPr>
          <w:p>
            <w:pPr>
              <w:ind w:left="840"/>
              <w:spacing w:after="0"/>
              <w:rPr>
                <w:sz w:val="20"/>
                <w:szCs w:val="20"/>
                <w:color w:val="auto"/>
              </w:rPr>
            </w:pPr>
            <w:r>
              <w:rPr>
                <w:rFonts w:ascii="Arial" w:cs="Arial" w:eastAsia="Arial" w:hAnsi="Arial"/>
                <w:sz w:val="18"/>
                <w:szCs w:val="18"/>
                <w:color w:val="auto"/>
              </w:rPr>
              <w:t>Institutional</w:t>
            </w:r>
          </w:p>
        </w:tc>
        <w:tc>
          <w:tcPr>
            <w:tcW w:w="1520" w:type="dxa"/>
            <w:vAlign w:val="bottom"/>
          </w:tcPr>
          <w:p>
            <w:pPr>
              <w:jc w:val="right"/>
              <w:ind w:right="85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7,048</w:t>
            </w:r>
          </w:p>
        </w:tc>
        <w:tc>
          <w:tcPr>
            <w:tcW w:w="120" w:type="dxa"/>
            <w:vAlign w:val="bottom"/>
          </w:tcPr>
          <w:p>
            <w:pPr>
              <w:spacing w:after="0"/>
              <w:rPr>
                <w:sz w:val="19"/>
                <w:szCs w:val="19"/>
                <w:color w:val="auto"/>
              </w:rPr>
            </w:pPr>
          </w:p>
        </w:tc>
        <w:tc>
          <w:tcPr>
            <w:tcW w:w="1520" w:type="dxa"/>
            <w:vAlign w:val="bottom"/>
          </w:tcPr>
          <w:p>
            <w:pPr>
              <w:jc w:val="right"/>
              <w:ind w:right="85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8,858</w:t>
            </w:r>
          </w:p>
        </w:tc>
      </w:tr>
      <w:tr>
        <w:trPr>
          <w:trHeight w:val="229"/>
        </w:trPr>
        <w:tc>
          <w:tcPr>
            <w:tcW w:w="68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Mutual Funds</w:t>
            </w:r>
          </w:p>
        </w:tc>
        <w:tc>
          <w:tcPr>
            <w:tcW w:w="15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r>
      <w:tr>
        <w:trPr>
          <w:trHeight w:val="230"/>
        </w:trPr>
        <w:tc>
          <w:tcPr>
            <w:tcW w:w="6860" w:type="dxa"/>
            <w:vAlign w:val="bottom"/>
          </w:tcPr>
          <w:p>
            <w:pPr>
              <w:ind w:left="840"/>
              <w:spacing w:after="0"/>
              <w:rPr>
                <w:sz w:val="20"/>
                <w:szCs w:val="20"/>
                <w:color w:val="auto"/>
              </w:rPr>
            </w:pPr>
            <w:r>
              <w:rPr>
                <w:rFonts w:ascii="Arial" w:cs="Arial" w:eastAsia="Arial" w:hAnsi="Arial"/>
                <w:sz w:val="18"/>
                <w:szCs w:val="18"/>
                <w:color w:val="auto"/>
              </w:rPr>
              <w:t>Wealth Management</w:t>
            </w:r>
          </w:p>
        </w:tc>
        <w:tc>
          <w:tcPr>
            <w:tcW w:w="1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6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Trust Fees</w:t>
            </w:r>
          </w:p>
        </w:tc>
        <w:tc>
          <w:tcPr>
            <w:tcW w:w="15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r>
      <w:tr>
        <w:trPr>
          <w:trHeight w:val="230"/>
        </w:trPr>
        <w:tc>
          <w:tcPr>
            <w:tcW w:w="68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Other, net</w:t>
            </w:r>
          </w:p>
        </w:tc>
        <w:tc>
          <w:tcPr>
            <w:tcW w:w="1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48"/>
        </w:trPr>
        <w:tc>
          <w:tcPr>
            <w:tcW w:w="68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Total revenues</w:t>
            </w:r>
          </w:p>
        </w:tc>
        <w:tc>
          <w:tcPr>
            <w:tcW w:w="152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17,216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18,319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We serve clients primarily in the United States, as well as in certain international locations. The following table presents our revenue disaggregated by our clients' geographical locations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Three Months Ended March 31, 2022</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16,925</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17,216</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Three Months Ended March 31, 2021</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Performance-based</w:t>
            </w:r>
          </w:p>
        </w:tc>
        <w:tc>
          <w:tcPr>
            <w:tcW w:w="2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17,143</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18,319</w:t>
            </w:r>
          </w:p>
        </w:tc>
      </w:tr>
      <w:tr>
        <w:trPr>
          <w:trHeight w:val="21"/>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REPORTING</w:t>
      </w:r>
    </w:p>
    <w:p>
      <w:pPr>
        <w:spacing w:after="0" w:line="175"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21"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 Westwood Management provides investment advisory services to similar clients, and is included in our Advisory segment.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Trust provides trust and custodial services and participation in common trust funds that it sponsors to institutions and high net worth individuals.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Westwood Trust is included in our Trust segment.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520"/>
              <w:spacing w:after="0"/>
              <w:rPr>
                <w:sz w:val="20"/>
                <w:szCs w:val="20"/>
                <w:color w:val="auto"/>
              </w:rPr>
            </w:pPr>
            <w:r>
              <w:rPr>
                <w:rFonts w:ascii="Arial" w:cs="Arial" w:eastAsia="Arial" w:hAnsi="Arial"/>
                <w:sz w:val="16"/>
                <w:szCs w:val="16"/>
                <w:i w:val="1"/>
                <w:iCs w:val="1"/>
                <w:color w:val="auto"/>
              </w:rPr>
              <w:t>(in thousands)</w:t>
            </w:r>
          </w:p>
        </w:tc>
        <w:tc>
          <w:tcPr>
            <w:tcW w:w="7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Advisory</w:t>
            </w:r>
          </w:p>
        </w:tc>
        <w:tc>
          <w:tcPr>
            <w:tcW w:w="740" w:type="dxa"/>
            <w:vAlign w:val="bottom"/>
          </w:tcPr>
          <w:p>
            <w:pPr>
              <w:spacing w:after="0"/>
              <w:rPr>
                <w:sz w:val="16"/>
                <w:szCs w:val="16"/>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Trust</w:t>
            </w:r>
          </w:p>
        </w:tc>
        <w:tc>
          <w:tcPr>
            <w:tcW w:w="6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Westwood</w:t>
            </w:r>
          </w:p>
        </w:tc>
        <w:tc>
          <w:tcPr>
            <w:tcW w:w="66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640" w:type="dxa"/>
            <w:vAlign w:val="bottom"/>
          </w:tcPr>
          <w:p>
            <w:pPr>
              <w:spacing w:after="0"/>
              <w:rPr>
                <w:sz w:val="16"/>
                <w:szCs w:val="16"/>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13"/>
        </w:trPr>
        <w:tc>
          <w:tcPr>
            <w:tcW w:w="22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740" w:type="dxa"/>
            <w:vAlign w:val="bottom"/>
            <w:gridSpan w:val="3"/>
          </w:tcPr>
          <w:p>
            <w:pPr>
              <w:ind w:left="520"/>
              <w:spacing w:after="0"/>
              <w:rPr>
                <w:sz w:val="20"/>
                <w:szCs w:val="20"/>
                <w:color w:val="auto"/>
              </w:rPr>
            </w:pPr>
            <w:r>
              <w:rPr>
                <w:rFonts w:ascii="Arial" w:cs="Arial" w:eastAsia="Arial" w:hAnsi="Arial"/>
                <w:sz w:val="16"/>
                <w:szCs w:val="16"/>
                <w:b w:val="1"/>
                <w:bCs w:val="1"/>
                <w:color w:val="auto"/>
              </w:rPr>
              <w:t>Holdings</w:t>
            </w:r>
          </w:p>
        </w:tc>
        <w:tc>
          <w:tcPr>
            <w:tcW w:w="6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240" w:type="dxa"/>
            <w:vAlign w:val="bottom"/>
            <w:tcBorders>
              <w:top w:val="single" w:sz="8" w:color="CCEEFF"/>
            </w:tcBorders>
            <w:shd w:val="clear" w:color="auto" w:fill="CCEEFF"/>
          </w:tcPr>
          <w:p>
            <w:pPr>
              <w:ind w:left="520"/>
              <w:spacing w:after="0" w:line="145" w:lineRule="exact"/>
              <w:rPr>
                <w:sz w:val="20"/>
                <w:szCs w:val="20"/>
                <w:color w:val="auto"/>
              </w:rPr>
            </w:pPr>
            <w:r>
              <w:rPr>
                <w:rFonts w:ascii="Arial" w:cs="Arial" w:eastAsia="Arial" w:hAnsi="Arial"/>
                <w:sz w:val="16"/>
                <w:szCs w:val="16"/>
                <w:b w:val="1"/>
                <w:bCs w:val="1"/>
                <w:color w:val="auto"/>
              </w:rPr>
              <w:t>Three Months Ended</w:t>
            </w:r>
          </w:p>
        </w:tc>
        <w:tc>
          <w:tcPr>
            <w:tcW w:w="7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2022</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line="166" w:lineRule="exact"/>
              <w:rPr>
                <w:sz w:val="20"/>
                <w:szCs w:val="20"/>
                <w:color w:val="auto"/>
              </w:rPr>
            </w:pPr>
            <w:r>
              <w:rPr>
                <w:rFonts w:ascii="Arial" w:cs="Arial" w:eastAsia="Arial" w:hAnsi="Arial"/>
                <w:sz w:val="16"/>
                <w:szCs w:val="16"/>
                <w:color w:val="auto"/>
              </w:rPr>
              <w:t>Net fee revenues from</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11,790</w:t>
            </w:r>
          </w:p>
        </w:tc>
        <w:tc>
          <w:tcPr>
            <w:tcW w:w="80" w:type="dxa"/>
            <w:vAlign w:val="bottom"/>
          </w:tcPr>
          <w:p>
            <w:pPr>
              <w:spacing w:after="0"/>
              <w:rPr>
                <w:sz w:val="14"/>
                <w:szCs w:val="14"/>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5,715</w:t>
            </w:r>
          </w:p>
        </w:tc>
        <w:tc>
          <w:tcPr>
            <w:tcW w:w="80" w:type="dxa"/>
            <w:vAlign w:val="bottom"/>
          </w:tcPr>
          <w:p>
            <w:pPr>
              <w:spacing w:after="0"/>
              <w:rPr>
                <w:sz w:val="14"/>
                <w:szCs w:val="14"/>
                <w:color w:val="auto"/>
              </w:rPr>
            </w:pPr>
          </w:p>
        </w:tc>
        <w:tc>
          <w:tcPr>
            <w:tcW w:w="660" w:type="dxa"/>
            <w:vAlign w:val="bottom"/>
            <w:vMerge w:val="restart"/>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17,505</w:t>
            </w:r>
          </w:p>
        </w:tc>
        <w:tc>
          <w:tcPr>
            <w:tcW w:w="0" w:type="dxa"/>
            <w:vAlign w:val="bottom"/>
          </w:tcPr>
          <w:p>
            <w:pPr>
              <w:spacing w:after="0"/>
              <w:rPr>
                <w:sz w:val="1"/>
                <w:szCs w:val="1"/>
                <w:color w:val="auto"/>
              </w:rPr>
            </w:pPr>
          </w:p>
        </w:tc>
      </w:tr>
      <w:tr>
        <w:trPr>
          <w:trHeight w:val="212"/>
        </w:trPr>
        <w:tc>
          <w:tcPr>
            <w:tcW w:w="2240" w:type="dxa"/>
            <w:vAlign w:val="bottom"/>
          </w:tcPr>
          <w:p>
            <w:pPr>
              <w:ind w:left="20"/>
              <w:spacing w:after="0"/>
              <w:rPr>
                <w:sz w:val="20"/>
                <w:szCs w:val="20"/>
                <w:color w:val="auto"/>
              </w:rPr>
            </w:pPr>
            <w:r>
              <w:rPr>
                <w:rFonts w:ascii="Arial" w:cs="Arial" w:eastAsia="Arial" w:hAnsi="Arial"/>
                <w:sz w:val="16"/>
                <w:szCs w:val="16"/>
                <w:color w:val="auto"/>
              </w:rPr>
              <w:t>external sources</w:t>
            </w:r>
          </w:p>
        </w:tc>
        <w:tc>
          <w:tcPr>
            <w:tcW w:w="7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ind w:left="520"/>
              <w:spacing w:after="0" w:line="166" w:lineRule="exact"/>
              <w:rPr>
                <w:sz w:val="20"/>
                <w:szCs w:val="20"/>
                <w:color w:val="auto"/>
              </w:rPr>
            </w:pPr>
            <w:r>
              <w:rPr>
                <w:rFonts w:ascii="Arial" w:cs="Arial" w:eastAsia="Arial" w:hAnsi="Arial"/>
                <w:sz w:val="16"/>
                <w:szCs w:val="16"/>
                <w:color w:val="auto"/>
              </w:rPr>
              <w:t>Net intersegment</w:t>
            </w:r>
          </w:p>
        </w:tc>
        <w:tc>
          <w:tcPr>
            <w:tcW w:w="7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7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520"/>
              <w:spacing w:after="0"/>
              <w:rPr>
                <w:sz w:val="20"/>
                <w:szCs w:val="20"/>
                <w:color w:val="auto"/>
              </w:rPr>
            </w:pPr>
            <w:r>
              <w:rPr>
                <w:rFonts w:ascii="Arial" w:cs="Arial" w:eastAsia="Arial" w:hAnsi="Arial"/>
                <w:sz w:val="16"/>
                <w:szCs w:val="16"/>
                <w:color w:val="auto"/>
              </w:rPr>
              <w:t>Other, net</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8"/>
        </w:trPr>
        <w:tc>
          <w:tcPr>
            <w:tcW w:w="22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revenues</w:t>
            </w:r>
          </w:p>
        </w:tc>
        <w:tc>
          <w:tcPr>
            <w:tcW w:w="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Segment assets</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222,545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131,016</w:t>
            </w:r>
          </w:p>
        </w:tc>
        <w:tc>
          <w:tcPr>
            <w:tcW w:w="0" w:type="dxa"/>
            <w:vAlign w:val="bottom"/>
          </w:tcPr>
          <w:p>
            <w:pPr>
              <w:spacing w:after="0"/>
              <w:rPr>
                <w:sz w:val="1"/>
                <w:szCs w:val="1"/>
                <w:color w:val="auto"/>
              </w:rPr>
            </w:pPr>
          </w:p>
        </w:tc>
      </w:tr>
      <w:tr>
        <w:trPr>
          <w:trHeight w:val="230"/>
        </w:trPr>
        <w:tc>
          <w:tcPr>
            <w:tcW w:w="2240" w:type="dxa"/>
            <w:vAlign w:val="bottom"/>
          </w:tcPr>
          <w:p>
            <w:pPr>
              <w:ind w:left="520"/>
              <w:spacing w:after="0"/>
              <w:rPr>
                <w:sz w:val="20"/>
                <w:szCs w:val="20"/>
                <w:color w:val="auto"/>
              </w:rPr>
            </w:pPr>
            <w:r>
              <w:rPr>
                <w:rFonts w:ascii="Arial" w:cs="Arial" w:eastAsia="Arial" w:hAnsi="Arial"/>
                <w:sz w:val="16"/>
                <w:szCs w:val="16"/>
                <w:color w:val="auto"/>
              </w:rPr>
              <w:t>Segment goodwill</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16,401</w:t>
            </w:r>
          </w:p>
        </w:tc>
        <w:tc>
          <w:tcPr>
            <w:tcW w:w="80" w:type="dxa"/>
            <w:vAlign w:val="bottom"/>
          </w:tcPr>
          <w:p>
            <w:pPr>
              <w:spacing w:after="0"/>
              <w:rPr>
                <w:sz w:val="19"/>
                <w:szCs w:val="19"/>
                <w:color w:val="auto"/>
              </w:rPr>
            </w:pPr>
          </w:p>
        </w:tc>
        <w:tc>
          <w:tcPr>
            <w:tcW w:w="660" w:type="dxa"/>
            <w:vAlign w:val="bottom"/>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16,401</w:t>
            </w:r>
          </w:p>
        </w:tc>
        <w:tc>
          <w:tcPr>
            <w:tcW w:w="0" w:type="dxa"/>
            <w:vAlign w:val="bottom"/>
          </w:tcPr>
          <w:p>
            <w:pPr>
              <w:spacing w:after="0"/>
              <w:rPr>
                <w:sz w:val="1"/>
                <w:szCs w:val="1"/>
                <w:color w:val="auto"/>
              </w:rPr>
            </w:pPr>
          </w:p>
        </w:tc>
      </w:tr>
      <w:tr>
        <w:trPr>
          <w:trHeight w:val="256"/>
        </w:trPr>
        <w:tc>
          <w:tcPr>
            <w:tcW w:w="2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520"/>
              <w:spacing w:after="0" w:line="162" w:lineRule="exact"/>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rPr>
              <w:t>March 31, 2021</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40" w:type="dxa"/>
            <w:vAlign w:val="bottom"/>
            <w:shd w:val="clear" w:color="auto" w:fill="CCEEFF"/>
          </w:tcPr>
          <w:p>
            <w:pPr>
              <w:ind w:left="520"/>
              <w:spacing w:after="0" w:line="168" w:lineRule="exact"/>
              <w:rPr>
                <w:sz w:val="20"/>
                <w:szCs w:val="20"/>
                <w:color w:val="auto"/>
              </w:rPr>
            </w:pPr>
            <w:r>
              <w:rPr>
                <w:rFonts w:ascii="Arial" w:cs="Arial" w:eastAsia="Arial" w:hAnsi="Arial"/>
                <w:sz w:val="16"/>
                <w:szCs w:val="16"/>
                <w:color w:val="auto"/>
              </w:rPr>
              <w:t>Net fee revenues from</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external sources</w:t>
            </w:r>
          </w:p>
        </w:tc>
        <w:tc>
          <w:tcPr>
            <w:tcW w:w="7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40" w:type="dxa"/>
            <w:vAlign w:val="bottom"/>
          </w:tcPr>
          <w:p>
            <w:pPr>
              <w:ind w:left="520"/>
              <w:spacing w:after="0" w:line="166" w:lineRule="exact"/>
              <w:rPr>
                <w:sz w:val="20"/>
                <w:szCs w:val="20"/>
                <w:color w:val="auto"/>
              </w:rPr>
            </w:pPr>
            <w:r>
              <w:rPr>
                <w:rFonts w:ascii="Arial" w:cs="Arial" w:eastAsia="Arial" w:hAnsi="Arial"/>
                <w:sz w:val="16"/>
                <w:szCs w:val="16"/>
                <w:color w:val="auto"/>
              </w:rPr>
              <w:t>Net intersegment</w:t>
            </w:r>
          </w:p>
        </w:tc>
        <w:tc>
          <w:tcPr>
            <w:tcW w:w="7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240" w:type="dxa"/>
            <w:vAlign w:val="bottom"/>
          </w:tcPr>
          <w:p>
            <w:pPr>
              <w:ind w:left="20"/>
              <w:spacing w:after="0"/>
              <w:rPr>
                <w:sz w:val="20"/>
                <w:szCs w:val="20"/>
                <w:color w:val="auto"/>
              </w:rPr>
            </w:pPr>
            <w:r>
              <w:rPr>
                <w:rFonts w:ascii="Arial" w:cs="Arial" w:eastAsia="Arial" w:hAnsi="Arial"/>
                <w:sz w:val="16"/>
                <w:szCs w:val="16"/>
                <w:color w:val="auto"/>
              </w:rPr>
              <w:t>revenues</w:t>
            </w:r>
          </w:p>
        </w:tc>
        <w:tc>
          <w:tcPr>
            <w:tcW w:w="7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Other, net</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2240" w:type="dxa"/>
            <w:vAlign w:val="bottom"/>
          </w:tcPr>
          <w:p>
            <w:pPr>
              <w:ind w:left="520"/>
              <w:spacing w:after="0"/>
              <w:rPr>
                <w:sz w:val="20"/>
                <w:szCs w:val="20"/>
                <w:color w:val="auto"/>
              </w:rPr>
            </w:pPr>
            <w:r>
              <w:rPr>
                <w:rFonts w:ascii="Arial" w:cs="Arial" w:eastAsia="Arial" w:hAnsi="Arial"/>
                <w:sz w:val="16"/>
                <w:szCs w:val="16"/>
                <w:color w:val="auto"/>
              </w:rPr>
              <w:t>Total revenues</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12,930</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6,146</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18,319</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520"/>
              <w:spacing w:after="0"/>
              <w:rPr>
                <w:sz w:val="20"/>
                <w:szCs w:val="20"/>
                <w:color w:val="auto"/>
              </w:rPr>
            </w:pPr>
            <w:r>
              <w:rPr>
                <w:rFonts w:ascii="Arial" w:cs="Arial" w:eastAsia="Arial" w:hAnsi="Arial"/>
                <w:sz w:val="16"/>
                <w:szCs w:val="16"/>
                <w:color w:val="auto"/>
              </w:rPr>
              <w:t>Segment assets</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207,193</w:t>
            </w:r>
          </w:p>
        </w:tc>
        <w:tc>
          <w:tcPr>
            <w:tcW w:w="8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54,143</w:t>
            </w:r>
          </w:p>
        </w:tc>
        <w:tc>
          <w:tcPr>
            <w:tcW w:w="80" w:type="dxa"/>
            <w:vAlign w:val="bottom"/>
          </w:tcPr>
          <w:p>
            <w:pPr>
              <w:spacing w:after="0"/>
              <w:rPr>
                <w:sz w:val="19"/>
                <w:szCs w:val="19"/>
                <w:color w:val="auto"/>
              </w:rPr>
            </w:pPr>
          </w:p>
        </w:tc>
        <w:tc>
          <w:tcPr>
            <w:tcW w:w="660" w:type="dxa"/>
            <w:vAlign w:val="bottom"/>
          </w:tcPr>
          <w:p>
            <w:pPr>
              <w:ind w:left="5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12,603</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(124,275)</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149,664</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Segment goodwill</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12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During 2018, we made a $5.4 million strategic investment in InvestCloud, a digital financial services provider ("InvestCloud"), which is included in “Investments” on our Condensed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w:t>
      </w:r>
    </w:p>
    <w:p>
      <w:pPr>
        <w:spacing w:after="0" w:line="79" w:lineRule="exact"/>
        <w:rPr>
          <w:sz w:val="20"/>
          <w:szCs w:val="20"/>
          <w:color w:val="auto"/>
        </w:rPr>
      </w:pPr>
    </w:p>
    <w:p>
      <w:pPr>
        <w:ind w:right="520" w:firstLine="486"/>
        <w:spacing w:after="0" w:line="311" w:lineRule="auto"/>
        <w:rPr>
          <w:sz w:val="20"/>
          <w:szCs w:val="20"/>
          <w:color w:val="auto"/>
        </w:rPr>
      </w:pPr>
      <w:r>
        <w:rPr>
          <w:rFonts w:ascii="Arial" w:cs="Arial" w:eastAsia="Arial" w:hAnsi="Arial"/>
          <w:sz w:val="16"/>
          <w:szCs w:val="16"/>
          <w:color w:val="auto"/>
        </w:rPr>
        <w:t>Following observable price changes for this investment in the year ended December 31, 2019, we recorded an unrealized gain of $2.8 million. Following InvestCloud's recapitalization in the first quarter of 2021, we recorded a realized gain of approximately $8.3 million when our originally purchased shares were redeemed. Following this redemption we re-invested $4.4 million of our proceeds into newly issued shares of InvestCloud.</w:t>
      </w:r>
    </w:p>
    <w:p>
      <w:pPr>
        <w:spacing w:after="0" w:line="41"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Our investment in Charis, the parent company of Westwood Private Bank ("Charis"), is included in “Noncurrent investments at fair value” on our Condensed Consolidated Balance Sheets and is measured at fair value on a recurring basis. In the three months ended March 31, 2021, we recorded unrealized gains of approximately $0.4 million following fair value increases from market transactions.</w:t>
      </w:r>
    </w:p>
    <w:p>
      <w:pPr>
        <w:spacing w:after="0" w:line="76"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In 2019 we made a $0.3 million investment in Westwood Hospitality Fund I, LLC, a private investment fund. Our investment is included in “Noncurrent investments at fair value” on our Condensed Consolidated Balance Sheets and is measured at fair value on a recurring basis using net asset value (“NAV”) as a practical expedient.</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other investments are carried at fair value on a recurring basis and are accounted for as trading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Investments carried at fair value are presented in the table below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70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Gross</w:t>
            </w:r>
          </w:p>
        </w:tc>
        <w:tc>
          <w:tcPr>
            <w:tcW w:w="600" w:type="dxa"/>
            <w:vAlign w:val="bottom"/>
          </w:tcPr>
          <w:p>
            <w:pPr>
              <w:spacing w:after="0"/>
              <w:rPr>
                <w:sz w:val="16"/>
                <w:szCs w:val="16"/>
                <w:color w:val="auto"/>
              </w:rPr>
            </w:pPr>
          </w:p>
        </w:tc>
        <w:tc>
          <w:tcPr>
            <w:tcW w:w="1040" w:type="dxa"/>
            <w:vAlign w:val="bottom"/>
          </w:tcPr>
          <w:p>
            <w:pPr>
              <w:jc w:val="right"/>
              <w:ind w:right="131"/>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Cost</w:t>
            </w:r>
          </w:p>
        </w:tc>
        <w:tc>
          <w:tcPr>
            <w:tcW w:w="170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Unrealized</w:t>
            </w:r>
          </w:p>
        </w:tc>
        <w:tc>
          <w:tcPr>
            <w:tcW w:w="168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Unrealized</w:t>
            </w:r>
          </w:p>
        </w:tc>
        <w:tc>
          <w:tcPr>
            <w:tcW w:w="600" w:type="dxa"/>
            <w:vAlign w:val="bottom"/>
          </w:tcPr>
          <w:p>
            <w:pPr>
              <w:spacing w:after="0"/>
              <w:rPr>
                <w:sz w:val="14"/>
                <w:szCs w:val="14"/>
                <w:color w:val="auto"/>
              </w:rPr>
            </w:pPr>
          </w:p>
        </w:tc>
        <w:tc>
          <w:tcPr>
            <w:tcW w:w="1040" w:type="dxa"/>
            <w:vAlign w:val="bottom"/>
          </w:tcPr>
          <w:p>
            <w:pPr>
              <w:jc w:val="right"/>
              <w:ind w:right="591"/>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89"/>
              </w:rPr>
              <w:t>Gains</w:t>
            </w:r>
          </w:p>
        </w:tc>
        <w:tc>
          <w:tcPr>
            <w:tcW w:w="16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79"/>
              </w:rPr>
              <w:t>Losses</w:t>
            </w:r>
          </w:p>
        </w:tc>
        <w:tc>
          <w:tcPr>
            <w:tcW w:w="600" w:type="dxa"/>
            <w:vAlign w:val="bottom"/>
          </w:tcPr>
          <w:p>
            <w:pPr>
              <w:spacing w:after="0"/>
              <w:rPr>
                <w:sz w:val="18"/>
                <w:szCs w:val="18"/>
                <w:color w:val="auto"/>
              </w:rPr>
            </w:pPr>
          </w:p>
        </w:tc>
        <w:tc>
          <w:tcPr>
            <w:tcW w:w="1040" w:type="dxa"/>
            <w:vAlign w:val="bottom"/>
          </w:tcPr>
          <w:p>
            <w:pPr>
              <w:jc w:val="right"/>
              <w:ind w:right="531"/>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4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March 31, 2022:</w:t>
            </w:r>
          </w:p>
        </w:tc>
        <w:tc>
          <w:tcPr>
            <w:tcW w:w="7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60" w:type="dxa"/>
            <w:vAlign w:val="bottom"/>
          </w:tcPr>
          <w:p>
            <w:pPr>
              <w:ind w:left="520"/>
              <w:spacing w:after="0" w:line="176" w:lineRule="exact"/>
              <w:rPr>
                <w:sz w:val="20"/>
                <w:szCs w:val="20"/>
                <w:color w:val="auto"/>
              </w:rPr>
            </w:pPr>
            <w:r>
              <w:rPr>
                <w:rFonts w:ascii="Arial" w:cs="Arial" w:eastAsia="Arial" w:hAnsi="Arial"/>
                <w:sz w:val="18"/>
                <w:szCs w:val="18"/>
                <w:color w:val="auto"/>
              </w:rPr>
              <w:t>U.S. Government and Government agency</w:t>
            </w: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18,267</w:t>
            </w: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17,738</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obligations</w:t>
            </w:r>
          </w:p>
        </w:tc>
        <w:tc>
          <w:tcPr>
            <w:tcW w:w="7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Money market funds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28,272</w:t>
            </w:r>
          </w:p>
        </w:tc>
        <w:tc>
          <w:tcPr>
            <w:tcW w:w="0" w:type="dxa"/>
            <w:vAlign w:val="bottom"/>
          </w:tcPr>
          <w:p>
            <w:pPr>
              <w:spacing w:after="0"/>
              <w:rPr>
                <w:sz w:val="1"/>
                <w:szCs w:val="1"/>
                <w:color w:val="auto"/>
              </w:rPr>
            </w:pPr>
          </w:p>
        </w:tc>
      </w:tr>
      <w:tr>
        <w:trPr>
          <w:trHeight w:val="230"/>
        </w:trPr>
        <w:tc>
          <w:tcPr>
            <w:tcW w:w="4460" w:type="dxa"/>
            <w:vAlign w:val="bottom"/>
          </w:tcPr>
          <w:p>
            <w:pPr>
              <w:ind w:left="520"/>
              <w:spacing w:after="0"/>
              <w:rPr>
                <w:sz w:val="20"/>
                <w:szCs w:val="20"/>
                <w:color w:val="auto"/>
              </w:rPr>
            </w:pPr>
            <w:r>
              <w:rPr>
                <w:rFonts w:ascii="Arial" w:cs="Arial" w:eastAsia="Arial" w:hAnsi="Arial"/>
                <w:sz w:val="18"/>
                <w:szCs w:val="18"/>
                <w:color w:val="auto"/>
              </w:rPr>
              <w:t>Equity funds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Equities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29"/>
        </w:trPr>
        <w:tc>
          <w:tcPr>
            <w:tcW w:w="4460" w:type="dxa"/>
            <w:vAlign w:val="bottom"/>
          </w:tcPr>
          <w:p>
            <w:pPr>
              <w:ind w:left="520"/>
              <w:spacing w:after="0"/>
              <w:rPr>
                <w:sz w:val="20"/>
                <w:szCs w:val="20"/>
                <w:color w:val="auto"/>
              </w:rPr>
            </w:pPr>
            <w:r>
              <w:rPr>
                <w:rFonts w:ascii="Arial" w:cs="Arial" w:eastAsia="Arial" w:hAnsi="Arial"/>
                <w:sz w:val="18"/>
                <w:szCs w:val="18"/>
                <w:color w:val="auto"/>
              </w:rPr>
              <w:t>Exchange-traded bond funds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Total trading securities</w:t>
            </w:r>
          </w:p>
        </w:tc>
        <w:tc>
          <w:tcPr>
            <w:tcW w:w="7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52,752</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52,343</w:t>
            </w:r>
          </w:p>
        </w:tc>
        <w:tc>
          <w:tcPr>
            <w:tcW w:w="0" w:type="dxa"/>
            <w:vAlign w:val="bottom"/>
          </w:tcPr>
          <w:p>
            <w:pPr>
              <w:spacing w:after="0"/>
              <w:rPr>
                <w:sz w:val="1"/>
                <w:szCs w:val="1"/>
                <w:color w:val="auto"/>
              </w:rPr>
            </w:pPr>
          </w:p>
        </w:tc>
      </w:tr>
      <w:tr>
        <w:trPr>
          <w:trHeight w:val="229"/>
        </w:trPr>
        <w:tc>
          <w:tcPr>
            <w:tcW w:w="4460" w:type="dxa"/>
            <w:vAlign w:val="bottom"/>
          </w:tcPr>
          <w:p>
            <w:pPr>
              <w:ind w:left="520"/>
              <w:spacing w:after="0"/>
              <w:rPr>
                <w:sz w:val="20"/>
                <w:szCs w:val="20"/>
                <w:color w:val="auto"/>
              </w:rPr>
            </w:pPr>
            <w:r>
              <w:rPr>
                <w:rFonts w:ascii="Arial" w:cs="Arial" w:eastAsia="Arial" w:hAnsi="Arial"/>
                <w:sz w:val="18"/>
                <w:szCs w:val="18"/>
                <w:color w:val="auto"/>
              </w:rPr>
              <w:t>Private investment fund</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Private equity</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23"/>
        </w:trPr>
        <w:tc>
          <w:tcPr>
            <w:tcW w:w="4460" w:type="dxa"/>
            <w:vAlign w:val="bottom"/>
          </w:tcPr>
          <w:p>
            <w:pPr>
              <w:ind w:left="840"/>
              <w:spacing w:after="0"/>
              <w:rPr>
                <w:sz w:val="20"/>
                <w:szCs w:val="20"/>
                <w:color w:val="auto"/>
              </w:rPr>
            </w:pPr>
            <w:r>
              <w:rPr>
                <w:rFonts w:ascii="Arial" w:cs="Arial" w:eastAsia="Arial" w:hAnsi="Arial"/>
                <w:sz w:val="18"/>
                <w:szCs w:val="18"/>
                <w:color w:val="auto"/>
              </w:rPr>
              <w:t>Total investments carried at fair value</w:t>
            </w: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56,437</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56,892</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520"/>
              <w:spacing w:after="0"/>
              <w:rPr>
                <w:sz w:val="20"/>
                <w:szCs w:val="20"/>
                <w:color w:val="auto"/>
              </w:rPr>
            </w:pPr>
            <w:r>
              <w:rPr>
                <w:rFonts w:ascii="Arial" w:cs="Arial" w:eastAsia="Arial" w:hAnsi="Arial"/>
                <w:sz w:val="18"/>
                <w:szCs w:val="18"/>
                <w:b w:val="1"/>
                <w:bCs w:val="1"/>
                <w:color w:val="auto"/>
              </w:rPr>
              <w:t>December 31, 2021:</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U.S. Government and Government agency</w:t>
            </w:r>
          </w:p>
        </w:tc>
        <w:tc>
          <w:tcPr>
            <w:tcW w:w="7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39,926</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39,435</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7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520"/>
              <w:spacing w:after="0"/>
              <w:rPr>
                <w:sz w:val="20"/>
                <w:szCs w:val="20"/>
                <w:color w:val="auto"/>
              </w:rPr>
            </w:pPr>
            <w:r>
              <w:rPr>
                <w:rFonts w:ascii="Arial" w:cs="Arial" w:eastAsia="Arial" w:hAnsi="Arial"/>
                <w:sz w:val="18"/>
                <w:szCs w:val="18"/>
                <w:color w:val="auto"/>
              </w:rPr>
              <w:t>Money market funds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19,661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19,661</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Equity funds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30"/>
        </w:trPr>
        <w:tc>
          <w:tcPr>
            <w:tcW w:w="4460" w:type="dxa"/>
            <w:vAlign w:val="bottom"/>
          </w:tcPr>
          <w:p>
            <w:pPr>
              <w:ind w:left="520"/>
              <w:spacing w:after="0"/>
              <w:rPr>
                <w:sz w:val="20"/>
                <w:szCs w:val="20"/>
                <w:color w:val="auto"/>
              </w:rPr>
            </w:pPr>
            <w:r>
              <w:rPr>
                <w:rFonts w:ascii="Arial" w:cs="Arial" w:eastAsia="Arial" w:hAnsi="Arial"/>
                <w:sz w:val="18"/>
                <w:szCs w:val="18"/>
                <w:color w:val="auto"/>
              </w:rPr>
              <w:t>Equities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Exchange-traded bond funds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4460" w:type="dxa"/>
            <w:vAlign w:val="bottom"/>
          </w:tcPr>
          <w:p>
            <w:pPr>
              <w:ind w:left="840"/>
              <w:spacing w:after="0"/>
              <w:rPr>
                <w:sz w:val="20"/>
                <w:szCs w:val="20"/>
                <w:color w:val="auto"/>
              </w:rPr>
            </w:pPr>
            <w:r>
              <w:rPr>
                <w:rFonts w:ascii="Arial" w:cs="Arial" w:eastAsia="Arial" w:hAnsi="Arial"/>
                <w:sz w:val="18"/>
                <w:szCs w:val="18"/>
                <w:color w:val="auto"/>
              </w:rPr>
              <w:t>Total trading securities</w:t>
            </w:r>
          </w:p>
        </w:tc>
        <w:tc>
          <w:tcPr>
            <w:tcW w:w="7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65,158</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65,024</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Private investment fund</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4460" w:type="dxa"/>
            <w:vAlign w:val="bottom"/>
          </w:tcPr>
          <w:p>
            <w:pPr>
              <w:ind w:left="520"/>
              <w:spacing w:after="0"/>
              <w:rPr>
                <w:sz w:val="20"/>
                <w:szCs w:val="20"/>
                <w:color w:val="auto"/>
              </w:rPr>
            </w:pPr>
            <w:r>
              <w:rPr>
                <w:rFonts w:ascii="Arial" w:cs="Arial" w:eastAsia="Arial" w:hAnsi="Arial"/>
                <w:sz w:val="18"/>
                <w:szCs w:val="18"/>
                <w:color w:val="auto"/>
              </w:rPr>
              <w:t>Private equity</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Total investments carried at fair value</w:t>
            </w:r>
          </w:p>
        </w:tc>
        <w:tc>
          <w:tcPr>
            <w:tcW w:w="7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62" w:lineRule="exact"/>
        <w:rPr>
          <w:sz w:val="20"/>
          <w:szCs w:val="20"/>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significant unobservable inputs where there is little or no market activity</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Our strategic investment in InvestCloud, discussed in Note 5 “Investments,” is excluded from the recurring fair value table shown below because we have elected to apply the measurement alternative for this investment.</w:t>
      </w:r>
    </w:p>
    <w:p>
      <w:pPr>
        <w:spacing w:after="0" w:line="6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following table summarizes the values of our investments measured at fair value on a recurring basis within the fair value hierarchy as of the dates indicated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Investments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Measured at</w:t>
            </w:r>
          </w:p>
        </w:tc>
        <w:tc>
          <w:tcPr>
            <w:tcW w:w="240" w:type="dxa"/>
            <w:vAlign w:val="bottom"/>
          </w:tcPr>
          <w:p>
            <w:pPr>
              <w:spacing w:after="0"/>
              <w:rPr>
                <w:sz w:val="14"/>
                <w:szCs w:val="14"/>
                <w:color w:val="auto"/>
              </w:rPr>
            </w:pPr>
          </w:p>
        </w:tc>
        <w:tc>
          <w:tcPr>
            <w:tcW w:w="88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line="216" w:lineRule="exact"/>
              <w:rPr>
                <w:sz w:val="20"/>
                <w:szCs w:val="20"/>
                <w:color w:val="auto"/>
              </w:rPr>
            </w:pPr>
            <w:r>
              <w:rPr>
                <w:rFonts w:ascii="Arial" w:cs="Arial" w:eastAsia="Arial" w:hAnsi="Arial"/>
                <w:sz w:val="16"/>
                <w:szCs w:val="16"/>
                <w:b w:val="1"/>
                <w:bCs w:val="1"/>
                <w:color w:val="auto"/>
                <w:w w:val="86"/>
              </w:rPr>
              <w:t xml:space="preserve">NAV </w:t>
            </w:r>
            <w:r>
              <w:rPr>
                <w:rFonts w:ascii="Arial" w:cs="Arial" w:eastAsia="Arial" w:hAnsi="Arial"/>
                <w:sz w:val="21"/>
                <w:szCs w:val="21"/>
                <w:color w:val="auto"/>
                <w:w w:val="86"/>
                <w:vertAlign w:val="superscript"/>
              </w:rPr>
              <w:t>(1)</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2022:</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Investments in trading securities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52,343</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52,343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investment fund</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4,326</w:t>
            </w:r>
          </w:p>
        </w:tc>
        <w:tc>
          <w:tcPr>
            <w:tcW w:w="0" w:type="dxa"/>
            <w:vAlign w:val="bottom"/>
          </w:tcPr>
          <w:p>
            <w:pPr>
              <w:spacing w:after="0"/>
              <w:rPr>
                <w:sz w:val="1"/>
                <w:szCs w:val="1"/>
                <w:color w:val="auto"/>
              </w:rPr>
            </w:pPr>
          </w:p>
        </w:tc>
      </w:tr>
      <w:tr>
        <w:trPr>
          <w:trHeight w:val="235"/>
        </w:trPr>
        <w:tc>
          <w:tcPr>
            <w:tcW w:w="5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56,892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Investments in trading securities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65,024</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65,024</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investment fund</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4,369</w:t>
            </w:r>
          </w:p>
        </w:tc>
        <w:tc>
          <w:tcPr>
            <w:tcW w:w="0" w:type="dxa"/>
            <w:vAlign w:val="bottom"/>
          </w:tcPr>
          <w:p>
            <w:pPr>
              <w:spacing w:after="0"/>
              <w:rPr>
                <w:sz w:val="1"/>
                <w:szCs w:val="1"/>
                <w:color w:val="auto"/>
              </w:rPr>
            </w:pPr>
          </w:p>
        </w:tc>
      </w:tr>
      <w:tr>
        <w:trPr>
          <w:trHeight w:val="234"/>
        </w:trPr>
        <w:tc>
          <w:tcPr>
            <w:tcW w:w="5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69,537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0" w:right="620" w:firstLine="6"/>
        <w:spacing w:after="0" w:line="236" w:lineRule="auto"/>
        <w:tabs>
          <w:tab w:leader="none" w:pos="224"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Comprised of certain investments measured at fair value using net asset value ("NAV") as a practical expedient. The fair value amounts presented in this table are intended to permit reconciliation of the fair value hierarchy to the amounts presented on our Condensed Consolidated Balance Sheets.</w:t>
      </w:r>
    </w:p>
    <w:p>
      <w:pPr>
        <w:spacing w:after="0" w:line="33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Our investment in Charis is included within Level 3 of the fair value hierarchy as we value that investment utilizing inputs not observable in the market. Our investment is measured at fair value on a recurring basis using a market approach based on a price to tangible book value multiple range that is determined to be reasonable in the current environment, or on market transactions. Management believes this valuation methodology is consistent with the banking industry and we will reevaluate our methodology and inputs on a quarterly basis.</w:t>
      </w:r>
    </w:p>
    <w:p>
      <w:pPr>
        <w:spacing w:after="0" w:line="63" w:lineRule="exact"/>
        <w:rPr>
          <w:sz w:val="20"/>
          <w:szCs w:val="20"/>
          <w:color w:val="auto"/>
        </w:rPr>
      </w:pPr>
    </w:p>
    <w:p>
      <w:pPr>
        <w:ind w:right="680" w:firstLine="486"/>
        <w:spacing w:after="0" w:line="272" w:lineRule="auto"/>
        <w:rPr>
          <w:sz w:val="20"/>
          <w:szCs w:val="20"/>
          <w:color w:val="auto"/>
        </w:rPr>
      </w:pPr>
      <w:r>
        <w:rPr>
          <w:rFonts w:ascii="Arial" w:cs="Arial" w:eastAsia="Arial" w:hAnsi="Arial"/>
          <w:sz w:val="18"/>
          <w:szCs w:val="18"/>
          <w:color w:val="auto"/>
        </w:rPr>
        <w:t>The following table summarizes the changes in Level 3 investments measured at fair value on a recurring basis for the periods presented (in thousands):</w:t>
      </w:r>
    </w:p>
    <w:p>
      <w:pPr>
        <w:ind w:left="7800"/>
        <w:spacing w:after="0"/>
        <w:rPr>
          <w:sz w:val="20"/>
          <w:szCs w:val="20"/>
          <w:color w:val="auto"/>
        </w:rPr>
      </w:pPr>
      <w:r>
        <w:rPr>
          <w:rFonts w:ascii="Arial" w:cs="Arial" w:eastAsia="Arial" w:hAnsi="Arial"/>
          <w:sz w:val="14"/>
          <w:szCs w:val="14"/>
          <w:b w:val="1"/>
          <w:bCs w:val="1"/>
          <w:color w:val="auto"/>
        </w:rPr>
        <w:t>Fair Value using Significant Unobservable Inputs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300"/>
              <w:spacing w:after="0"/>
              <w:rPr>
                <w:sz w:val="20"/>
                <w:szCs w:val="20"/>
                <w:color w:val="auto"/>
              </w:rPr>
            </w:pPr>
            <w:r>
              <w:rPr>
                <w:rFonts w:ascii="Arial" w:cs="Arial" w:eastAsia="Arial" w:hAnsi="Arial"/>
                <w:sz w:val="15"/>
                <w:szCs w:val="15"/>
                <w:b w:val="1"/>
                <w:bCs w:val="1"/>
                <w:color w:val="auto"/>
              </w:rPr>
              <w:t>(Level 3)</w:t>
            </w:r>
          </w:p>
        </w:tc>
        <w:tc>
          <w:tcPr>
            <w:tcW w:w="1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194"/>
        </w:trPr>
        <w:tc>
          <w:tcPr>
            <w:tcW w:w="7080" w:type="dxa"/>
            <w:vAlign w:val="bottom"/>
          </w:tcPr>
          <w:p>
            <w:pPr>
              <w:spacing w:after="0"/>
              <w:rPr>
                <w:sz w:val="16"/>
                <w:szCs w:val="16"/>
                <w:color w:val="auto"/>
              </w:rPr>
            </w:pPr>
          </w:p>
        </w:tc>
        <w:tc>
          <w:tcPr>
            <w:tcW w:w="3640" w:type="dxa"/>
            <w:vAlign w:val="bottom"/>
            <w:tcBorders>
              <w:bottom w:val="single" w:sz="8" w:color="auto"/>
            </w:tcBorders>
            <w:gridSpan w:val="5"/>
          </w:tcPr>
          <w:p>
            <w:pPr>
              <w:jc w:val="right"/>
              <w:ind w:right="181"/>
              <w:spacing w:after="0"/>
              <w:rPr>
                <w:sz w:val="20"/>
                <w:szCs w:val="20"/>
                <w:color w:val="auto"/>
              </w:rPr>
            </w:pPr>
            <w:r>
              <w:rPr>
                <w:rFonts w:ascii="Arial" w:cs="Arial" w:eastAsia="Arial" w:hAnsi="Arial"/>
                <w:sz w:val="15"/>
                <w:szCs w:val="15"/>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7"/>
                <w:szCs w:val="17"/>
                <w:color w:val="auto"/>
              </w:rPr>
            </w:pPr>
          </w:p>
        </w:tc>
      </w:tr>
      <w:tr>
        <w:trPr>
          <w:trHeight w:val="212"/>
        </w:trPr>
        <w:tc>
          <w:tcPr>
            <w:tcW w:w="708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Beginning balance</w:t>
            </w:r>
          </w:p>
        </w:tc>
        <w:tc>
          <w:tcPr>
            <w:tcW w:w="150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w:t>
            </w:r>
          </w:p>
        </w:tc>
      </w:tr>
      <w:tr>
        <w:trPr>
          <w:trHeight w:val="213"/>
        </w:trPr>
        <w:tc>
          <w:tcPr>
            <w:tcW w:w="708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Unrealized gains (losses) on private investments</w:t>
            </w:r>
          </w:p>
        </w:tc>
        <w:tc>
          <w:tcPr>
            <w:tcW w:w="1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r>
      <w:tr>
        <w:trPr>
          <w:trHeight w:val="235"/>
        </w:trPr>
        <w:tc>
          <w:tcPr>
            <w:tcW w:w="7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Ending balance</w:t>
            </w:r>
          </w:p>
        </w:tc>
        <w:tc>
          <w:tcPr>
            <w:tcW w:w="150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 March 31, 2022 private investment fair value of $4.3 million was valued using a market approach based on a price to tangible book value multiple, with unobservable book value multiples ranging from $1.43 to $2.13 per share, with a weighted average of $1.57 per share. Significant increases (decreases) in book value multiples in isolation would have resulted in a significantly higher (lower)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7. INCOME TAXES</w:t>
      </w:r>
    </w:p>
    <w:p>
      <w:pPr>
        <w:spacing w:after="0" w:line="121" w:lineRule="exact"/>
        <w:rPr>
          <w:sz w:val="20"/>
          <w:szCs w:val="20"/>
          <w:color w:val="auto"/>
        </w:rPr>
      </w:pPr>
    </w:p>
    <w:p>
      <w:pPr>
        <w:ind w:right="500" w:firstLine="486"/>
        <w:spacing w:after="0" w:line="381" w:lineRule="auto"/>
        <w:rPr>
          <w:sz w:val="20"/>
          <w:szCs w:val="20"/>
          <w:color w:val="auto"/>
        </w:rPr>
      </w:pPr>
      <w:r>
        <w:rPr>
          <w:rFonts w:ascii="Arial" w:cs="Arial" w:eastAsia="Arial" w:hAnsi="Arial"/>
          <w:sz w:val="15"/>
          <w:szCs w:val="15"/>
          <w:color w:val="auto"/>
        </w:rPr>
        <w:t>Our effective income tax rate differed from the 21% statutory rate for the three months ended March 31, 2022 and 2021 due to permanent differences between book and tax restricted stock expense based on a decrease in our stock price between the restricted stock grant and vesting dates.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2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Basic earnings per common share is computed by dividing net income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There were approximately 85,000 and 234,000 anti-dilutive restricted shares outstanding for the three months ended March 31, 2022 and March 31, 2021, respectively.</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the computation of basic and diluted earnings per share (in thousands, except per share and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3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r>
      <w:tr>
        <w:trPr>
          <w:trHeight w:val="226"/>
        </w:trPr>
        <w:tc>
          <w:tcPr>
            <w:tcW w:w="73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Net income</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r>
      <w:tr>
        <w:trPr>
          <w:trHeight w:val="148"/>
        </w:trPr>
        <w:tc>
          <w:tcPr>
            <w:tcW w:w="7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30"/>
        </w:trPr>
        <w:tc>
          <w:tcPr>
            <w:tcW w:w="73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Weighted average shares outstanding - basic</w:t>
            </w: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7,865,174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7,887,044</w:t>
            </w:r>
          </w:p>
        </w:tc>
      </w:tr>
      <w:tr>
        <w:trPr>
          <w:trHeight w:val="229"/>
        </w:trPr>
        <w:tc>
          <w:tcPr>
            <w:tcW w:w="73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Dilutive potential shares from unvested restricted shares</w:t>
            </w: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66,279</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30,346</w:t>
            </w:r>
          </w:p>
        </w:tc>
      </w:tr>
      <w:tr>
        <w:trPr>
          <w:trHeight w:val="223"/>
        </w:trPr>
        <w:tc>
          <w:tcPr>
            <w:tcW w:w="73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Weighted average shares outstanding - diluted</w:t>
            </w: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7,931,453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7,917,390</w:t>
            </w:r>
          </w:p>
        </w:tc>
      </w:tr>
      <w:tr>
        <w:trPr>
          <w:trHeight w:val="148"/>
        </w:trPr>
        <w:tc>
          <w:tcPr>
            <w:tcW w:w="7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73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Earnings per share:</w:t>
            </w: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340" w:type="dxa"/>
            <w:vAlign w:val="bottom"/>
          </w:tcPr>
          <w:p>
            <w:pPr>
              <w:ind w:left="520"/>
              <w:spacing w:after="0"/>
              <w:rPr>
                <w:sz w:val="20"/>
                <w:szCs w:val="20"/>
                <w:color w:val="auto"/>
              </w:rPr>
            </w:pPr>
            <w:r>
              <w:rPr>
                <w:rFonts w:ascii="Arial" w:cs="Arial" w:eastAsia="Arial" w:hAnsi="Arial"/>
                <w:sz w:val="18"/>
                <w:szCs w:val="18"/>
                <w:color w:val="auto"/>
              </w:rPr>
              <w:t>Basic</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30"/>
        </w:trPr>
        <w:tc>
          <w:tcPr>
            <w:tcW w:w="7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Goodwill represents the excess of the cost of acquired assets over the fair value of the underlying identifiable assets at the date of acquisition. Goodwill is not amortized but is tested for impairment at least annually. We completed our most recent annual goodwill impairment assessment during the third quarter of 2021, and determined that no goodwill impairment related to the Trust segment was required. There was no goodwill impairment in the Trust segment during the three months ended March 31, 2022 or March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months ended March 31, 2022 or March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10. LEASES</w:t>
      </w:r>
    </w:p>
    <w:p>
      <w:pPr>
        <w:spacing w:after="0" w:line="121"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As of March 31, 2022 there have been no material changes outside the ordinary course of business to our leases since December 31, 2021. For information regarding our leases, refer to Note 11 “Leases” in Part IV, Item 15. “Exhibits, Financial Statement Schedules” in our Annual Report on Form 10-K for the fiscal year ended December 31, 2021.</w:t>
      </w:r>
    </w:p>
    <w:p>
      <w:pPr>
        <w:spacing w:after="0" w:line="200" w:lineRule="exact"/>
        <w:rPr>
          <w:sz w:val="20"/>
          <w:szCs w:val="20"/>
          <w:color w:val="auto"/>
        </w:rPr>
      </w:pPr>
    </w:p>
    <w:p>
      <w:pPr>
        <w:spacing w:after="0" w:line="223" w:lineRule="exact"/>
        <w:rPr>
          <w:sz w:val="20"/>
          <w:szCs w:val="20"/>
          <w:color w:val="auto"/>
        </w:rPr>
      </w:pPr>
    </w:p>
    <w:p>
      <w:pPr>
        <w:ind w:right="8660" w:firstLine="8"/>
        <w:spacing w:after="0" w:line="407" w:lineRule="auto"/>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Share Repurchase Program</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In February 2020, our Board of Directors authorized management to repurchase up to an additional $10.0 million of our outstanding common stock on the open market or in privately negotiated transactions. In April 2020, our Board of Directors authorized management to repurchase up to an additional $10.0 million of share repurchases under our share repurchase program.</w:t>
      </w:r>
    </w:p>
    <w:p>
      <w:pPr>
        <w:spacing w:after="0" w:line="76"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During the three months ended March 31, 2022, the Company repurchased 12,202 shares of our common stock at an average price of $16.39 per share, including commissions, for an aggregate purchase price of $0.2 million under our share repurchase plan. During the three months ended March 31, 2021, the Company repurchased 92,491 shares of our common stock at an average price of $15.19 per share, including commissions, for an aggregate purchase price of $1.4 million under our share repurchase plan.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ENTITIES</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evaluated (i) our relationship as sponsor of the Common Trust Funds (“CTFs”) and managing member of the private equity funds Westwood Hospitality Fund I, LLC and Westwood Technology Opportunities Fund I, LP (collectively the “Private Funds”), (ii) our advisory relationships with the Westwood Funds®, and (iii) our investments in InvestCloud and Charis discussed in Note 5 “Investments” (“Private Equity”) to determine whether each of these entities is a variable interest entity (“VIE”) or voting ownership entity (“VOE”).</w:t>
      </w:r>
    </w:p>
    <w:p>
      <w:pPr>
        <w:spacing w:after="0" w:line="79"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76"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color w:val="auto"/>
        </w:rPr>
        <w:t>Based on our analyses, we determined the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w:t>
      </w:r>
    </w:p>
    <w:p>
      <w:pPr>
        <w:spacing w:after="0" w:line="5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Based on our analyses of our investments in these entities for the periods ended March 31, 2022 and December 31, 2021, we have not consolidated the CTFs or Private Funds under the VIE method or the Westwood Funds® or Private Equity under the VOE method.</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recognized fee revenue from the Westwood VIEs and Westwood VOEs as follows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438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Borders>
              <w:bottom w:val="single" w:sz="8" w:color="auto"/>
            </w:tcBorders>
          </w:tcPr>
          <w:p>
            <w:pPr>
              <w:spacing w:after="0"/>
              <w:rPr>
                <w:sz w:val="18"/>
                <w:szCs w:val="18"/>
                <w:color w:val="auto"/>
              </w:rPr>
            </w:pPr>
          </w:p>
        </w:tc>
      </w:tr>
      <w:tr>
        <w:trPr>
          <w:trHeight w:val="210"/>
        </w:trPr>
        <w:tc>
          <w:tcPr>
            <w:tcW w:w="65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340" w:type="dxa"/>
            <w:vAlign w:val="bottom"/>
            <w:tcBorders>
              <w:bottom w:val="single" w:sz="8" w:color="auto"/>
            </w:tcBorders>
          </w:tcPr>
          <w:p>
            <w:pPr>
              <w:spacing w:after="0"/>
              <w:rPr>
                <w:sz w:val="18"/>
                <w:szCs w:val="18"/>
                <w:color w:val="auto"/>
              </w:rPr>
            </w:pPr>
          </w:p>
        </w:tc>
      </w:tr>
      <w:tr>
        <w:trPr>
          <w:trHeight w:val="226"/>
        </w:trPr>
        <w:tc>
          <w:tcPr>
            <w:tcW w:w="652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Fee Revenues</w:t>
            </w:r>
          </w:p>
        </w:tc>
        <w:tc>
          <w:tcPr>
            <w:tcW w:w="1960" w:type="dxa"/>
            <w:vAlign w:val="bottom"/>
            <w:shd w:val="clear" w:color="auto" w:fill="CCEEFF"/>
          </w:tcPr>
          <w:p>
            <w:pPr>
              <w:jc w:val="right"/>
              <w:ind w:right="129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29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w:t>
            </w:r>
          </w:p>
        </w:tc>
      </w:tr>
    </w:tbl>
    <w:p>
      <w:pPr>
        <w:spacing w:after="0" w:line="200" w:lineRule="exact"/>
        <w:rPr>
          <w:sz w:val="20"/>
          <w:szCs w:val="20"/>
          <w:color w:val="auto"/>
        </w:rPr>
      </w:pPr>
    </w:p>
    <w:p>
      <w:pPr>
        <w:spacing w:after="0" w:line="3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the AUM and the risk of loss in each vehicle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As of March 31, 2022</w:t>
            </w: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980" w:type="dxa"/>
            <w:vAlign w:val="bottom"/>
          </w:tcPr>
          <w:p>
            <w:pPr>
              <w:spacing w:after="0"/>
              <w:rPr>
                <w:sz w:val="13"/>
                <w:szCs w:val="13"/>
                <w:color w:val="auto"/>
              </w:rPr>
            </w:pPr>
          </w:p>
        </w:tc>
        <w:tc>
          <w:tcPr>
            <w:tcW w:w="1720" w:type="dxa"/>
            <w:vAlign w:val="bottom"/>
            <w:gridSpan w:val="2"/>
          </w:tcPr>
          <w:p>
            <w:pPr>
              <w:jc w:val="right"/>
              <w:ind w:right="319"/>
              <w:spacing w:after="0" w:line="158" w:lineRule="exact"/>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Corporate</w:t>
            </w: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Under</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w w:val="95"/>
              </w:rPr>
              <w:t>Amount at Risk</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18"/>
                <w:szCs w:val="18"/>
                <w:color w:val="auto"/>
              </w:rPr>
            </w:pPr>
          </w:p>
        </w:tc>
        <w:tc>
          <w:tcPr>
            <w:tcW w:w="172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Management</w:t>
            </w:r>
          </w:p>
        </w:tc>
        <w:tc>
          <w:tcPr>
            <w:tcW w:w="120" w:type="dxa"/>
            <w:vAlign w:val="bottom"/>
          </w:tcPr>
          <w:p>
            <w:pPr>
              <w:spacing w:after="0"/>
              <w:rPr>
                <w:sz w:val="18"/>
                <w:szCs w:val="18"/>
                <w:color w:val="auto"/>
              </w:rPr>
            </w:pPr>
          </w:p>
        </w:tc>
        <w:tc>
          <w:tcPr>
            <w:tcW w:w="2020" w:type="dxa"/>
            <w:vAlign w:val="bottom"/>
            <w:gridSpan w:val="4"/>
          </w:tcPr>
          <w:p>
            <w:pPr>
              <w:ind w:left="440"/>
              <w:spacing w:after="0"/>
              <w:rPr>
                <w:sz w:val="20"/>
                <w:szCs w:val="20"/>
                <w:color w:val="auto"/>
              </w:rPr>
            </w:pPr>
            <w:r>
              <w:rPr>
                <w:rFonts w:ascii="Arial" w:cs="Arial" w:eastAsia="Arial" w:hAnsi="Arial"/>
                <w:sz w:val="16"/>
                <w:szCs w:val="16"/>
                <w:b w:val="1"/>
                <w:bCs w:val="1"/>
                <w:color w:val="auto"/>
              </w:rPr>
              <w:t>Investment</w:t>
            </w: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VIEs/VOEs:</w:t>
            </w:r>
          </w:p>
        </w:tc>
        <w:tc>
          <w:tcPr>
            <w:tcW w:w="1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840"/>
              <w:spacing w:after="0"/>
              <w:rPr>
                <w:sz w:val="20"/>
                <w:szCs w:val="20"/>
                <w:color w:val="auto"/>
              </w:rPr>
            </w:pPr>
            <w:r>
              <w:rPr>
                <w:rFonts w:ascii="Arial" w:cs="Arial" w:eastAsia="Arial" w:hAnsi="Arial"/>
                <w:sz w:val="18"/>
                <w:szCs w:val="18"/>
                <w:color w:val="auto"/>
              </w:rPr>
              <w:t>Westwood Funds®</w:t>
            </w:r>
          </w:p>
        </w:tc>
        <w:tc>
          <w:tcPr>
            <w:tcW w:w="11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2,957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tcPr>
          <w:p>
            <w:pPr>
              <w:ind w:left="2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Common Trust Funds</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840"/>
              <w:spacing w:after="0"/>
              <w:rPr>
                <w:sz w:val="20"/>
                <w:szCs w:val="20"/>
                <w:color w:val="auto"/>
              </w:rPr>
            </w:pPr>
            <w:r>
              <w:rPr>
                <w:rFonts w:ascii="Arial" w:cs="Arial" w:eastAsia="Arial" w:hAnsi="Arial"/>
                <w:sz w:val="18"/>
                <w:szCs w:val="18"/>
                <w:color w:val="auto"/>
              </w:rPr>
              <w:t>Private Funds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Private Equity</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29"/>
        </w:trPr>
        <w:tc>
          <w:tcPr>
            <w:tcW w:w="5980" w:type="dxa"/>
            <w:vAlign w:val="bottom"/>
          </w:tcPr>
          <w:p>
            <w:pPr>
              <w:ind w:left="520"/>
              <w:spacing w:after="0"/>
              <w:rPr>
                <w:sz w:val="20"/>
                <w:szCs w:val="20"/>
                <w:color w:val="auto"/>
              </w:rPr>
            </w:pPr>
            <w:r>
              <w:rPr>
                <w:rFonts w:ascii="Arial" w:cs="Arial" w:eastAsia="Arial" w:hAnsi="Arial"/>
                <w:sz w:val="18"/>
                <w:szCs w:val="18"/>
                <w:color w:val="auto"/>
              </w:rPr>
              <w:t>All other assets:</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Wealth Management</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Institutional</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6,716</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 Under Management</w:t>
            </w:r>
          </w:p>
        </w:tc>
        <w:tc>
          <w:tcPr>
            <w:tcW w:w="11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13,854</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left="360" w:right="204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13. RELATED PARTY TRANSACTIONS</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 schedules applied to AUM. For the three months ended March 31, 2022 and March 31, 2021, the Company earned insignificant fees from the affiliated funds.</w:t>
      </w:r>
    </w:p>
    <w:p>
      <w:pPr>
        <w:spacing w:after="0" w:line="79"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One of our directors serves as a consultant to the Company under a consulting agreement. We recorded insignificant expenses related to this agreement for both the three months ended March 31, 2022 and March 31, 2021.</w:t>
      </w:r>
    </w:p>
    <w:p>
      <w:pPr>
        <w:spacing w:after="0" w:line="220" w:lineRule="exact"/>
        <w:rPr>
          <w:sz w:val="20"/>
          <w:szCs w:val="20"/>
          <w:color w:val="auto"/>
        </w:rPr>
      </w:pPr>
    </w:p>
    <w:p>
      <w:pPr>
        <w:ind w:left="500" w:right="8940" w:hanging="492"/>
        <w:spacing w:after="0" w:line="400" w:lineRule="auto"/>
        <w:tabs>
          <w:tab w:leader="none" w:pos="284"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i w:val="1"/>
          <w:iCs w:val="1"/>
          <w:color w:val="auto"/>
        </w:rPr>
        <w:t>Dividends Declared</w:t>
      </w:r>
    </w:p>
    <w:p>
      <w:pPr>
        <w:ind w:right="580" w:firstLine="486"/>
        <w:spacing w:after="0" w:line="277" w:lineRule="auto"/>
        <w:rPr>
          <w:sz w:val="20"/>
          <w:szCs w:val="20"/>
          <w:color w:val="auto"/>
        </w:rPr>
      </w:pPr>
      <w:r>
        <w:rPr>
          <w:rFonts w:ascii="Arial" w:cs="Arial" w:eastAsia="Arial" w:hAnsi="Arial"/>
          <w:sz w:val="18"/>
          <w:szCs w:val="18"/>
          <w:color w:val="auto"/>
        </w:rPr>
        <w:t>On April 27, 2022, the Board of Directors declared a quarterly cash dividend of $0.15 per share of common stock payable on July 1, 2022 to stockholders of record on June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ind w:right="900"/>
        <w:spacing w:after="0" w:line="37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Forward-Looking Statements</w:t>
      </w:r>
    </w:p>
    <w:p>
      <w:pPr>
        <w:spacing w:after="0" w:line="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2021 and those risks set forth below:</w:t>
      </w:r>
    </w:p>
    <w:p>
      <w:pPr>
        <w:spacing w:after="0" w:line="69"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composition and market value of our AUM;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980" w:right="5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stockholder rights agreement may make it more difficult for others to obtain control over us, even if it would be beneficial to our stockholders;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actions of activist stockholders;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distributions to our common stockholders have included and may in the future include a return of capital;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inclusion of foreign company investments in our AUM;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the operations and funds of our subsidiaries;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prevent misuse of assets and information in the possession of our employees and third-party vendors, which could damage our reputation and result in costly litigation and liability for our clients and us;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stock is thinly traded and may be subject to volatility;</w:t>
      </w:r>
    </w:p>
    <w:p>
      <w:pPr>
        <w:spacing w:after="0" w:line="117"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our stockholder rights agreement, our organizational documents contain provisions that may prevent or deter another group from paying a premium over the market price to our stockholders to acquire our stock;</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avoid termination of client agreements and the related investment redemptions;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recent COVID-19 pandemic;</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declare and pay dividends;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93" w:right="539" w:bottom="1440" w:gutter="0" w:footer="0" w:header="0"/>
        </w:sectPr>
      </w:pPr>
    </w:p>
    <w:bookmarkStart w:id="15" w:name="page16"/>
    <w:bookmarkEnd w:id="15"/>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fund future capital requirements on favorable terms;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and Westwood Advisors, L.L.C. (each of which is an SEC-registered investment advisor and referred to hereinafter together as “Westwood Management”) and Westwood Trust. Westwood Management provides investment advisory services to institutional investors, a family of mutual funds called the Westwood Funds®, other mutual funds, individuals and clients of Westwood Trust. Westwood Trust provides trust and custodial services and participation in common trust funds to institutions and high net worth individuals. Our revenues are generally derived from fees based on a percentage of AUM.</w:t>
      </w:r>
    </w:p>
    <w:p>
      <w:pPr>
        <w:spacing w:after="0" w:line="5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continue to closely monitor the impact of the COVID-19 pandemic on all aspects of our business, particularly its impact on global stock markets. Beginning in 2020, we have taken a number of precautionary measures designed to help minimize the risk of spreading the virus to our employees, including enabling our employees to work remotely. The investments we have made in technology over the past several years, particularly our significant investments in cloud-based systems and business continuity planning, have allowed our team to serve our clients seamlessly from their homes or our offices. While our ability to meet with clients declined at the beginning of the pandemic, subsequently we were able to restore our communications to pre-pandemic levels as our clients embraced digital interactions.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73"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other revenues primarily consist of investment income from our seed money investments into new investment strategies.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Employee compensation and benefits expenses generally consist of salaries, incentive compensation, equity-based compensation and benefits.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Sales and marketing expenses relate to our marketing efforts, including travel and entertainment, direct marketing and advertising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Mutual Funds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16" w:name="page17"/>
    <w:bookmarkEnd w:id="16"/>
    <w:p>
      <w:pPr>
        <w:ind w:left="500"/>
        <w:spacing w:after="0"/>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w:t>
      </w:r>
    </w:p>
    <w:p>
      <w:pPr>
        <w:spacing w:after="0" w:line="11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Professional services expenses generally consist of costs associated with subadvisory fees, audit, tax, legal and other professional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520" w:firstLine="486"/>
        <w:spacing w:after="0" w:line="308" w:lineRule="auto"/>
        <w:rPr>
          <w:sz w:val="20"/>
          <w:szCs w:val="20"/>
          <w:color w:val="auto"/>
        </w:rPr>
      </w:pPr>
      <w:r>
        <w:rPr>
          <w:rFonts w:ascii="Arial" w:cs="Arial" w:eastAsia="Arial" w:hAnsi="Arial"/>
          <w:sz w:val="17"/>
          <w:szCs w:val="17"/>
          <w:color w:val="auto"/>
        </w:rPr>
        <w:t>General and administrative expenses generally consist of costs associated with the lease of office space, amortization, depreciation, insurance, custody expense, Board of Directors' fees, investor relations, licenses and fees, office supplies and other miscellaneous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Gains on Private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Realized gains on private investments includes amounts by which the net proceeds from the sale or redemption of our private investments exceeded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appreciation (depreciation) on Private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Net change in unrealized appreciation (depreciation) on private investments includes changes in the value of our private equity investments.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 income primarily includes interest and dividend income on fixed income securities and money market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primarily consists of income from the sublease of a portion of our corporate offices.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Under Management</w:t>
      </w:r>
    </w:p>
    <w:p>
      <w:pPr>
        <w:spacing w:after="0" w:line="175"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AUM decreased $0.6 billion to $13.9 billion at March 31, 2022 compared with $14.5 billion at March 31, 2021. The average of beginning and ending AUM for the first quarter of 2022 was $14.2 billion compared to $13.8 billion for the first quarter of 2021.</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AUM as of March 31, 2022 and 2021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60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8"/>
                <w:szCs w:val="18"/>
                <w:color w:val="auto"/>
              </w:rPr>
            </w:pPr>
          </w:p>
        </w:tc>
      </w:tr>
      <w:tr>
        <w:trPr>
          <w:trHeight w:val="226"/>
        </w:trPr>
        <w:tc>
          <w:tcPr>
            <w:tcW w:w="6000" w:type="dxa"/>
            <w:vAlign w:val="bottom"/>
            <w:shd w:val="clear" w:color="auto" w:fill="CCEEFF"/>
          </w:tcPr>
          <w:p>
            <w:pPr>
              <w:ind w:left="520"/>
              <w:spacing w:after="0" w:line="225" w:lineRule="exact"/>
              <w:rPr>
                <w:sz w:val="20"/>
                <w:szCs w:val="20"/>
                <w:color w:val="auto"/>
              </w:rPr>
            </w:pPr>
            <w:r>
              <w:rPr>
                <w:rFonts w:ascii="Arial" w:cs="Arial" w:eastAsia="Arial" w:hAnsi="Arial"/>
                <w:sz w:val="18"/>
                <w:szCs w:val="18"/>
                <w:color w:val="auto"/>
              </w:rPr>
              <w:t>Institutional</w:t>
            </w:r>
            <w:r>
              <w:rPr>
                <w:rFonts w:ascii="Arial" w:cs="Arial" w:eastAsia="Arial" w:hAnsi="Arial"/>
                <w:sz w:val="23"/>
                <w:szCs w:val="23"/>
                <w:color w:val="auto"/>
                <w:vertAlign w:val="superscript"/>
              </w:rPr>
              <w:t>(1)</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480" w:type="dxa"/>
            <w:vAlign w:val="bottom"/>
            <w:gridSpan w:val="2"/>
            <w:shd w:val="clear" w:color="auto" w:fill="CCEEFF"/>
          </w:tcPr>
          <w:p>
            <w:pPr>
              <w:jc w:val="right"/>
              <w:ind w:right="328"/>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6000" w:type="dxa"/>
            <w:vAlign w:val="bottom"/>
          </w:tcPr>
          <w:p>
            <w:pPr>
              <w:ind w:left="520"/>
              <w:spacing w:after="0" w:line="230" w:lineRule="exact"/>
              <w:rPr>
                <w:sz w:val="20"/>
                <w:szCs w:val="20"/>
                <w:color w:val="auto"/>
              </w:rPr>
            </w:pPr>
            <w:r>
              <w:rPr>
                <w:rFonts w:ascii="Arial" w:cs="Arial" w:eastAsia="Arial" w:hAnsi="Arial"/>
                <w:sz w:val="18"/>
                <w:szCs w:val="18"/>
                <w:color w:val="auto"/>
              </w:rPr>
              <w:t>Wealth Management</w:t>
            </w:r>
            <w:r>
              <w:rPr>
                <w:rFonts w:ascii="Arial" w:cs="Arial" w:eastAsia="Arial" w:hAnsi="Arial"/>
                <w:sz w:val="23"/>
                <w:szCs w:val="23"/>
                <w:color w:val="auto"/>
                <w:vertAlign w:val="superscript"/>
              </w:rPr>
              <w:t>(2)</w:t>
            </w:r>
          </w:p>
        </w:tc>
        <w:tc>
          <w:tcPr>
            <w:tcW w:w="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4,360</w:t>
            </w:r>
          </w:p>
        </w:tc>
        <w:tc>
          <w:tcPr>
            <w:tcW w:w="1480" w:type="dxa"/>
            <w:vAlign w:val="bottom"/>
            <w:gridSpan w:val="2"/>
          </w:tcPr>
          <w:p>
            <w:pPr>
              <w:jc w:val="right"/>
              <w:ind w:right="328"/>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9"/>
                <w:szCs w:val="19"/>
                <w:color w:val="auto"/>
              </w:rPr>
            </w:pPr>
          </w:p>
        </w:tc>
      </w:tr>
      <w:tr>
        <w:trPr>
          <w:trHeight w:val="229"/>
        </w:trPr>
        <w:tc>
          <w:tcPr>
            <w:tcW w:w="6000" w:type="dxa"/>
            <w:vAlign w:val="bottom"/>
            <w:shd w:val="clear" w:color="auto" w:fill="CCEEFF"/>
          </w:tcPr>
          <w:p>
            <w:pPr>
              <w:ind w:left="520"/>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(3)</w:t>
            </w:r>
          </w:p>
        </w:tc>
        <w:tc>
          <w:tcPr>
            <w:tcW w:w="7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480" w:type="dxa"/>
            <w:vAlign w:val="bottom"/>
            <w:gridSpan w:val="2"/>
            <w:shd w:val="clear" w:color="auto" w:fill="CCEEFF"/>
          </w:tcPr>
          <w:p>
            <w:pPr>
              <w:jc w:val="right"/>
              <w:ind w:right="388"/>
              <w:spacing w:after="0"/>
              <w:rPr>
                <w:sz w:val="20"/>
                <w:szCs w:val="20"/>
                <w:color w:val="auto"/>
              </w:rPr>
            </w:pPr>
            <w:r>
              <w:rPr>
                <w:rFonts w:ascii="Arial" w:cs="Arial" w:eastAsia="Arial" w:hAnsi="Arial"/>
                <w:sz w:val="17"/>
                <w:szCs w:val="17"/>
                <w:color w:val="auto"/>
              </w:rPr>
              <w:t>15</w:t>
            </w:r>
          </w:p>
        </w:tc>
        <w:tc>
          <w:tcPr>
            <w:tcW w:w="240" w:type="dxa"/>
            <w:vAlign w:val="bottom"/>
            <w:shd w:val="clear" w:color="auto" w:fill="CCEEFF"/>
          </w:tcPr>
          <w:p>
            <w:pPr>
              <w:spacing w:after="0"/>
              <w:rPr>
                <w:sz w:val="19"/>
                <w:szCs w:val="19"/>
                <w:color w:val="auto"/>
              </w:rPr>
            </w:pPr>
          </w:p>
        </w:tc>
      </w:tr>
      <w:tr>
        <w:trPr>
          <w:trHeight w:val="223"/>
        </w:trPr>
        <w:tc>
          <w:tcPr>
            <w:tcW w:w="6000" w:type="dxa"/>
            <w:vAlign w:val="bottom"/>
          </w:tcPr>
          <w:p>
            <w:pPr>
              <w:ind w:left="520"/>
              <w:spacing w:after="0"/>
              <w:rPr>
                <w:sz w:val="20"/>
                <w:szCs w:val="20"/>
                <w:color w:val="auto"/>
              </w:rPr>
            </w:pPr>
            <w:r>
              <w:rPr>
                <w:rFonts w:ascii="Arial" w:cs="Arial" w:eastAsia="Arial" w:hAnsi="Arial"/>
                <w:sz w:val="18"/>
                <w:szCs w:val="18"/>
                <w:b w:val="1"/>
                <w:bCs w:val="1"/>
                <w:color w:val="auto"/>
              </w:rPr>
              <w:t>Total AUM</w:t>
            </w:r>
            <w:r>
              <w:rPr>
                <w:rFonts w:ascii="Arial" w:cs="Arial" w:eastAsia="Arial" w:hAnsi="Arial"/>
                <w:sz w:val="9"/>
                <w:szCs w:val="9"/>
                <w:b w:val="1"/>
                <w:bCs w:val="1"/>
                <w:color w:val="auto"/>
              </w:rPr>
              <w:t>(4)</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13,854</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14,493</w:t>
            </w:r>
          </w:p>
        </w:tc>
        <w:tc>
          <w:tcPr>
            <w:tcW w:w="1480" w:type="dxa"/>
            <w:vAlign w:val="bottom"/>
            <w:gridSpan w:val="2"/>
          </w:tcPr>
          <w:p>
            <w:pPr>
              <w:jc w:val="right"/>
              <w:ind w:right="328"/>
              <w:spacing w:after="0"/>
              <w:rPr>
                <w:sz w:val="20"/>
                <w:szCs w:val="20"/>
                <w:color w:val="auto"/>
              </w:rPr>
            </w:pPr>
            <w:r>
              <w:rPr>
                <w:rFonts w:ascii="Arial" w:cs="Arial" w:eastAsia="Arial" w:hAnsi="Arial"/>
                <w:sz w:val="17"/>
                <w:szCs w:val="17"/>
                <w:color w:val="auto"/>
              </w:rPr>
              <w:t>(4)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6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66" w:lineRule="auto"/>
        <w:tabs>
          <w:tab w:leader="none" w:pos="332"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jc w:val="both"/>
        <w:ind w:left="340" w:hanging="332"/>
        <w:spacing w:after="0" w:line="260" w:lineRule="auto"/>
        <w:tabs>
          <w:tab w:leader="none" w:pos="332"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and external unaffiliated subadvisors. For certain assets in this category Westwood Trust currently provides limited custodial services for a minimal or no fee, viewing these assets as potentially converting to fee-generating managed assets in the future.</w:t>
      </w:r>
    </w:p>
    <w:p>
      <w:pPr>
        <w:ind w:left="340" w:hanging="332"/>
        <w:spacing w:after="0" w:line="24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Mutual Funds include the Westwood Funds®, a family of mutual funds for which Westwood Management serves as advisor. These funds are available to individual investors, institutional investors and wealth management accounts.</w:t>
      </w:r>
    </w:p>
    <w:p>
      <w:pPr>
        <w:ind w:left="340" w:hanging="332"/>
        <w:spacing w:after="0" w:line="255"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AUM excludes $314 million and $272 million of assets under advisement (“AUA”) as of March 31, 2022 and 2021, respectively, related to our model portfolios for which we provided consulting advice but for which we did not have direct discretionary investment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Roll-Forward of Assets Under Management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2"/>
              </w:rPr>
              <w:t>Institutional</w:t>
            </w:r>
          </w:p>
        </w:tc>
        <w:tc>
          <w:tcPr>
            <w:tcW w:w="7240" w:type="dxa"/>
            <w:vAlign w:val="bottom"/>
            <w:tcBorders>
              <w:bottom w:val="single" w:sz="8" w:color="CCEEFF"/>
            </w:tcBorders>
            <w:gridSpan w:val="3"/>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20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7,037</w:t>
            </w:r>
          </w:p>
        </w:tc>
        <w:tc>
          <w:tcPr>
            <w:tcW w:w="1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6,567</w:t>
            </w:r>
          </w:p>
        </w:tc>
      </w:tr>
      <w:tr>
        <w:trPr>
          <w:trHeight w:val="216"/>
        </w:trPr>
        <w:tc>
          <w:tcPr>
            <w:tcW w:w="20" w:type="dxa"/>
            <w:vAlign w:val="bottom"/>
            <w:shd w:val="clear" w:color="auto" w:fill="CCEEFF"/>
          </w:tcPr>
          <w:p>
            <w:pPr>
              <w:spacing w:after="0"/>
              <w:rPr>
                <w:sz w:val="18"/>
                <w:szCs w:val="18"/>
                <w:color w:val="auto"/>
              </w:rPr>
            </w:pPr>
          </w:p>
        </w:tc>
        <w:tc>
          <w:tcPr>
            <w:tcW w:w="82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Inflows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w:t>
            </w:r>
          </w:p>
        </w:tc>
      </w:tr>
      <w:tr>
        <w:trPr>
          <w:trHeight w:val="216"/>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gridSpan w:val="5"/>
          </w:tcPr>
          <w:p>
            <w:pPr>
              <w:ind w:left="340"/>
              <w:spacing w:after="0"/>
              <w:rPr>
                <w:sz w:val="20"/>
                <w:szCs w:val="20"/>
                <w:color w:val="auto"/>
              </w:rPr>
            </w:pPr>
            <w:r>
              <w:rPr>
                <w:rFonts w:ascii="Arial" w:cs="Arial" w:eastAsia="Arial" w:hAnsi="Arial"/>
                <w:sz w:val="17"/>
                <w:szCs w:val="17"/>
                <w:color w:val="auto"/>
              </w:rPr>
              <w:t>Outflows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w:t>
            </w:r>
          </w:p>
        </w:tc>
      </w:tr>
      <w:tr>
        <w:trPr>
          <w:trHeight w:val="210"/>
        </w:trPr>
        <w:tc>
          <w:tcPr>
            <w:tcW w:w="20" w:type="dxa"/>
            <w:vAlign w:val="bottom"/>
            <w:shd w:val="clear" w:color="auto" w:fill="CCEEFF"/>
          </w:tcPr>
          <w:p>
            <w:pPr>
              <w:spacing w:after="0"/>
              <w:rPr>
                <w:sz w:val="18"/>
                <w:szCs w:val="18"/>
                <w:color w:val="auto"/>
              </w:rPr>
            </w:pPr>
          </w:p>
        </w:tc>
        <w:tc>
          <w:tcPr>
            <w:tcW w:w="82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client flows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r>
      <w:tr>
        <w:trPr>
          <w:trHeight w:val="216"/>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gridSpan w:val="5"/>
          </w:tcPr>
          <w:p>
            <w:pPr>
              <w:ind w:left="340"/>
              <w:spacing w:after="0"/>
              <w:rPr>
                <w:sz w:val="20"/>
                <w:szCs w:val="20"/>
                <w:color w:val="auto"/>
              </w:rPr>
            </w:pPr>
            <w:r>
              <w:rPr>
                <w:rFonts w:ascii="Arial" w:cs="Arial" w:eastAsia="Arial" w:hAnsi="Arial"/>
                <w:sz w:val="17"/>
                <w:szCs w:val="17"/>
                <w:color w:val="auto"/>
              </w:rPr>
              <w:t>Market appreciation (depreciation)</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w:t>
            </w:r>
          </w:p>
        </w:tc>
      </w:tr>
      <w:tr>
        <w:trPr>
          <w:trHeight w:val="209"/>
        </w:trPr>
        <w:tc>
          <w:tcPr>
            <w:tcW w:w="20" w:type="dxa"/>
            <w:vAlign w:val="bottom"/>
            <w:shd w:val="clear" w:color="auto" w:fill="CCEEFF"/>
          </w:tcPr>
          <w:p>
            <w:pPr>
              <w:spacing w:after="0"/>
              <w:rPr>
                <w:sz w:val="18"/>
                <w:szCs w:val="18"/>
                <w:color w:val="auto"/>
              </w:rPr>
            </w:pPr>
          </w:p>
        </w:tc>
        <w:tc>
          <w:tcPr>
            <w:tcW w:w="82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1,002</w:t>
            </w:r>
          </w:p>
        </w:tc>
      </w:tr>
      <w:tr>
        <w:trPr>
          <w:trHeight w:val="210"/>
        </w:trPr>
        <w:tc>
          <w:tcPr>
            <w:tcW w:w="20" w:type="dxa"/>
            <w:vAlign w:val="bottom"/>
          </w:tcPr>
          <w:p>
            <w:pPr>
              <w:spacing w:after="0"/>
              <w:rPr>
                <w:sz w:val="18"/>
                <w:szCs w:val="18"/>
                <w:color w:val="auto"/>
              </w:rPr>
            </w:pPr>
          </w:p>
        </w:tc>
        <w:tc>
          <w:tcPr>
            <w:tcW w:w="8200" w:type="dxa"/>
            <w:vAlign w:val="bottom"/>
            <w:gridSpan w:val="5"/>
          </w:tcPr>
          <w:p>
            <w:pPr>
              <w:spacing w:after="0"/>
              <w:rPr>
                <w:sz w:val="20"/>
                <w:szCs w:val="20"/>
                <w:color w:val="auto"/>
              </w:rPr>
            </w:pPr>
            <w:r>
              <w:rPr>
                <w:rFonts w:ascii="Arial" w:cs="Arial" w:eastAsia="Arial" w:hAnsi="Arial"/>
                <w:sz w:val="17"/>
                <w:szCs w:val="17"/>
                <w:color w:val="auto"/>
              </w:rPr>
              <w:t>End of period assets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820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Wealth Management</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4,335</w:t>
            </w:r>
          </w:p>
        </w:tc>
      </w:tr>
      <w:tr>
        <w:trPr>
          <w:trHeight w:val="216"/>
        </w:trPr>
        <w:tc>
          <w:tcPr>
            <w:tcW w:w="20" w:type="dxa"/>
            <w:vAlign w:val="bottom"/>
          </w:tcPr>
          <w:p>
            <w:pPr>
              <w:spacing w:after="0"/>
              <w:rPr>
                <w:sz w:val="18"/>
                <w:szCs w:val="18"/>
                <w:color w:val="auto"/>
              </w:rPr>
            </w:pPr>
          </w:p>
        </w:tc>
        <w:tc>
          <w:tcPr>
            <w:tcW w:w="8200" w:type="dxa"/>
            <w:vAlign w:val="bottom"/>
            <w:gridSpan w:val="5"/>
          </w:tcPr>
          <w:p>
            <w:pPr>
              <w:ind w:left="340"/>
              <w:spacing w:after="0"/>
              <w:rPr>
                <w:sz w:val="20"/>
                <w:szCs w:val="20"/>
                <w:color w:val="auto"/>
              </w:rPr>
            </w:pPr>
            <w:r>
              <w:rPr>
                <w:rFonts w:ascii="Arial" w:cs="Arial" w:eastAsia="Arial" w:hAnsi="Arial"/>
                <w:sz w:val="17"/>
                <w:szCs w:val="17"/>
                <w:color w:val="auto"/>
              </w:rPr>
              <w:t>Inflows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16"/>
        </w:trPr>
        <w:tc>
          <w:tcPr>
            <w:tcW w:w="20" w:type="dxa"/>
            <w:vAlign w:val="bottom"/>
            <w:shd w:val="clear" w:color="auto" w:fill="CCEEFF"/>
          </w:tcPr>
          <w:p>
            <w:pPr>
              <w:spacing w:after="0"/>
              <w:rPr>
                <w:sz w:val="18"/>
                <w:szCs w:val="18"/>
                <w:color w:val="auto"/>
              </w:rPr>
            </w:pPr>
          </w:p>
        </w:tc>
        <w:tc>
          <w:tcPr>
            <w:tcW w:w="82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Outflows</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w:t>
            </w:r>
          </w:p>
        </w:tc>
      </w:tr>
      <w:tr>
        <w:trPr>
          <w:trHeight w:val="209"/>
        </w:trPr>
        <w:tc>
          <w:tcPr>
            <w:tcW w:w="20" w:type="dxa"/>
            <w:vAlign w:val="bottom"/>
          </w:tcPr>
          <w:p>
            <w:pPr>
              <w:spacing w:after="0"/>
              <w:rPr>
                <w:sz w:val="18"/>
                <w:szCs w:val="18"/>
                <w:color w:val="auto"/>
              </w:rPr>
            </w:pPr>
          </w:p>
        </w:tc>
        <w:tc>
          <w:tcPr>
            <w:tcW w:w="8200" w:type="dxa"/>
            <w:vAlign w:val="bottom"/>
            <w:gridSpan w:val="5"/>
          </w:tcPr>
          <w:p>
            <w:pPr>
              <w:ind w:left="340"/>
              <w:spacing w:after="0"/>
              <w:rPr>
                <w:sz w:val="20"/>
                <w:szCs w:val="20"/>
                <w:color w:val="auto"/>
              </w:rPr>
            </w:pPr>
            <w:r>
              <w:rPr>
                <w:rFonts w:ascii="Arial" w:cs="Arial" w:eastAsia="Arial" w:hAnsi="Arial"/>
                <w:sz w:val="17"/>
                <w:szCs w:val="17"/>
                <w:color w:val="auto"/>
              </w:rPr>
              <w:t>Net client flows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(147)</w:t>
            </w:r>
          </w:p>
        </w:tc>
      </w:tr>
      <w:tr>
        <w:trPr>
          <w:trHeight w:val="216"/>
        </w:trPr>
        <w:tc>
          <w:tcPr>
            <w:tcW w:w="20" w:type="dxa"/>
            <w:vAlign w:val="bottom"/>
            <w:shd w:val="clear" w:color="auto" w:fill="CCEEFF"/>
          </w:tcPr>
          <w:p>
            <w:pPr>
              <w:spacing w:after="0"/>
              <w:rPr>
                <w:sz w:val="18"/>
                <w:szCs w:val="18"/>
                <w:color w:val="auto"/>
              </w:rPr>
            </w:pPr>
          </w:p>
        </w:tc>
        <w:tc>
          <w:tcPr>
            <w:tcW w:w="82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Market appreciation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r>
      <w:tr>
        <w:trPr>
          <w:trHeight w:val="210"/>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Net change</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8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9"/>
        </w:trPr>
        <w:tc>
          <w:tcPr>
            <w:tcW w:w="20" w:type="dxa"/>
            <w:vAlign w:val="bottom"/>
            <w:shd w:val="clear" w:color="auto" w:fill="CCEEFF"/>
          </w:tcPr>
          <w:p>
            <w:pPr>
              <w:spacing w:after="0"/>
              <w:rPr>
                <w:sz w:val="16"/>
                <w:szCs w:val="16"/>
                <w:color w:val="auto"/>
              </w:rPr>
            </w:pPr>
          </w:p>
        </w:tc>
        <w:tc>
          <w:tcPr>
            <w:tcW w:w="82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Mutual Funds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3,046</w:t>
            </w:r>
          </w:p>
        </w:tc>
        <w:tc>
          <w:tcPr>
            <w:tcW w:w="1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2,143</w:t>
            </w:r>
          </w:p>
        </w:tc>
      </w:tr>
      <w:tr>
        <w:trPr>
          <w:trHeight w:val="216"/>
        </w:trPr>
        <w:tc>
          <w:tcPr>
            <w:tcW w:w="20" w:type="dxa"/>
            <w:vAlign w:val="bottom"/>
            <w:shd w:val="clear" w:color="auto" w:fill="CCEEFF"/>
          </w:tcPr>
          <w:p>
            <w:pPr>
              <w:spacing w:after="0"/>
              <w:rPr>
                <w:sz w:val="18"/>
                <w:szCs w:val="18"/>
                <w:color w:val="auto"/>
              </w:rPr>
            </w:pPr>
          </w:p>
        </w:tc>
        <w:tc>
          <w:tcPr>
            <w:tcW w:w="82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Inflows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r>
      <w:tr>
        <w:trPr>
          <w:trHeight w:val="216"/>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gridSpan w:val="5"/>
          </w:tcPr>
          <w:p>
            <w:pPr>
              <w:ind w:left="340"/>
              <w:spacing w:after="0"/>
              <w:rPr>
                <w:sz w:val="20"/>
                <w:szCs w:val="20"/>
                <w:color w:val="auto"/>
              </w:rPr>
            </w:pPr>
            <w:r>
              <w:rPr>
                <w:rFonts w:ascii="Arial" w:cs="Arial" w:eastAsia="Arial" w:hAnsi="Arial"/>
                <w:sz w:val="17"/>
                <w:szCs w:val="17"/>
                <w:color w:val="auto"/>
              </w:rPr>
              <w:t>Outflows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r>
      <w:tr>
        <w:trPr>
          <w:trHeight w:val="210"/>
        </w:trPr>
        <w:tc>
          <w:tcPr>
            <w:tcW w:w="20" w:type="dxa"/>
            <w:vAlign w:val="bottom"/>
            <w:shd w:val="clear" w:color="auto" w:fill="CCEEFF"/>
          </w:tcPr>
          <w:p>
            <w:pPr>
              <w:spacing w:after="0"/>
              <w:rPr>
                <w:sz w:val="18"/>
                <w:szCs w:val="18"/>
                <w:color w:val="auto"/>
              </w:rPr>
            </w:pPr>
          </w:p>
        </w:tc>
        <w:tc>
          <w:tcPr>
            <w:tcW w:w="82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Net client flows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r>
      <w:tr>
        <w:trPr>
          <w:trHeight w:val="216"/>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gridSpan w:val="5"/>
          </w:tcPr>
          <w:p>
            <w:pPr>
              <w:ind w:left="340"/>
              <w:spacing w:after="0"/>
              <w:rPr>
                <w:sz w:val="20"/>
                <w:szCs w:val="20"/>
                <w:color w:val="auto"/>
              </w:rPr>
            </w:pPr>
            <w:r>
              <w:rPr>
                <w:rFonts w:ascii="Arial" w:cs="Arial" w:eastAsia="Arial" w:hAnsi="Arial"/>
                <w:sz w:val="17"/>
                <w:szCs w:val="17"/>
                <w:color w:val="auto"/>
              </w:rPr>
              <w:t>Market appreciation (depreciation)</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r>
      <w:tr>
        <w:trPr>
          <w:trHeight w:val="210"/>
        </w:trPr>
        <w:tc>
          <w:tcPr>
            <w:tcW w:w="20" w:type="dxa"/>
            <w:vAlign w:val="bottom"/>
            <w:shd w:val="clear" w:color="auto" w:fill="CCEEFF"/>
          </w:tcPr>
          <w:p>
            <w:pPr>
              <w:spacing w:after="0"/>
              <w:rPr>
                <w:sz w:val="18"/>
                <w:szCs w:val="18"/>
                <w:color w:val="auto"/>
              </w:rPr>
            </w:pPr>
          </w:p>
        </w:tc>
        <w:tc>
          <w:tcPr>
            <w:tcW w:w="82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w:t>
            </w:r>
          </w:p>
        </w:tc>
      </w:tr>
      <w:tr>
        <w:trPr>
          <w:trHeight w:val="210"/>
        </w:trPr>
        <w:tc>
          <w:tcPr>
            <w:tcW w:w="20" w:type="dxa"/>
            <w:vAlign w:val="bottom"/>
          </w:tcPr>
          <w:p>
            <w:pPr>
              <w:spacing w:after="0"/>
              <w:rPr>
                <w:sz w:val="18"/>
                <w:szCs w:val="18"/>
                <w:color w:val="auto"/>
              </w:rPr>
            </w:pPr>
          </w:p>
        </w:tc>
        <w:tc>
          <w:tcPr>
            <w:tcW w:w="8200" w:type="dxa"/>
            <w:vAlign w:val="bottom"/>
            <w:gridSpan w:val="5"/>
          </w:tcPr>
          <w:p>
            <w:pPr>
              <w:spacing w:after="0"/>
              <w:rPr>
                <w:sz w:val="20"/>
                <w:szCs w:val="20"/>
                <w:color w:val="auto"/>
              </w:rPr>
            </w:pPr>
            <w:r>
              <w:rPr>
                <w:rFonts w:ascii="Arial" w:cs="Arial" w:eastAsia="Arial" w:hAnsi="Arial"/>
                <w:sz w:val="17"/>
                <w:szCs w:val="17"/>
                <w:color w:val="auto"/>
              </w:rPr>
              <w:t>End of period assets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820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Total AUM</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13,045</w:t>
            </w:r>
          </w:p>
        </w:tc>
      </w:tr>
      <w:tr>
        <w:trPr>
          <w:trHeight w:val="216"/>
        </w:trPr>
        <w:tc>
          <w:tcPr>
            <w:tcW w:w="20" w:type="dxa"/>
            <w:vAlign w:val="bottom"/>
          </w:tcPr>
          <w:p>
            <w:pPr>
              <w:spacing w:after="0"/>
              <w:rPr>
                <w:sz w:val="18"/>
                <w:szCs w:val="18"/>
                <w:color w:val="auto"/>
              </w:rPr>
            </w:pPr>
          </w:p>
        </w:tc>
        <w:tc>
          <w:tcPr>
            <w:tcW w:w="8200" w:type="dxa"/>
            <w:vAlign w:val="bottom"/>
            <w:gridSpan w:val="5"/>
          </w:tcPr>
          <w:p>
            <w:pPr>
              <w:ind w:left="340"/>
              <w:spacing w:after="0"/>
              <w:rPr>
                <w:sz w:val="20"/>
                <w:szCs w:val="20"/>
                <w:color w:val="auto"/>
              </w:rPr>
            </w:pPr>
            <w:r>
              <w:rPr>
                <w:rFonts w:ascii="Arial" w:cs="Arial" w:eastAsia="Arial" w:hAnsi="Arial"/>
                <w:sz w:val="17"/>
                <w:szCs w:val="17"/>
                <w:color w:val="auto"/>
              </w:rPr>
              <w:t>Inflows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1,230</w:t>
            </w:r>
          </w:p>
        </w:tc>
      </w:tr>
      <w:tr>
        <w:trPr>
          <w:trHeight w:val="216"/>
        </w:trPr>
        <w:tc>
          <w:tcPr>
            <w:tcW w:w="20" w:type="dxa"/>
            <w:vAlign w:val="bottom"/>
            <w:shd w:val="clear" w:color="auto" w:fill="CCEEFF"/>
          </w:tcPr>
          <w:p>
            <w:pPr>
              <w:spacing w:after="0"/>
              <w:rPr>
                <w:sz w:val="18"/>
                <w:szCs w:val="18"/>
                <w:color w:val="auto"/>
              </w:rPr>
            </w:pPr>
          </w:p>
        </w:tc>
        <w:tc>
          <w:tcPr>
            <w:tcW w:w="82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Outflows</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w:t>
            </w:r>
          </w:p>
        </w:tc>
      </w:tr>
      <w:tr>
        <w:trPr>
          <w:trHeight w:val="210"/>
        </w:trPr>
        <w:tc>
          <w:tcPr>
            <w:tcW w:w="20" w:type="dxa"/>
            <w:vAlign w:val="bottom"/>
          </w:tcPr>
          <w:p>
            <w:pPr>
              <w:spacing w:after="0"/>
              <w:rPr>
                <w:sz w:val="18"/>
                <w:szCs w:val="18"/>
                <w:color w:val="auto"/>
              </w:rPr>
            </w:pPr>
          </w:p>
        </w:tc>
        <w:tc>
          <w:tcPr>
            <w:tcW w:w="8200" w:type="dxa"/>
            <w:vAlign w:val="bottom"/>
            <w:gridSpan w:val="5"/>
          </w:tcPr>
          <w:p>
            <w:pPr>
              <w:ind w:left="340"/>
              <w:spacing w:after="0"/>
              <w:rPr>
                <w:sz w:val="20"/>
                <w:szCs w:val="20"/>
                <w:color w:val="auto"/>
              </w:rPr>
            </w:pPr>
            <w:r>
              <w:rPr>
                <w:rFonts w:ascii="Arial" w:cs="Arial" w:eastAsia="Arial" w:hAnsi="Arial"/>
                <w:sz w:val="17"/>
                <w:szCs w:val="17"/>
                <w:color w:val="auto"/>
              </w:rPr>
              <w:t>Net client flows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595</w:t>
            </w:r>
          </w:p>
        </w:tc>
      </w:tr>
      <w:tr>
        <w:trPr>
          <w:trHeight w:val="216"/>
        </w:trPr>
        <w:tc>
          <w:tcPr>
            <w:tcW w:w="20" w:type="dxa"/>
            <w:vAlign w:val="bottom"/>
            <w:shd w:val="clear" w:color="auto" w:fill="CCEEFF"/>
          </w:tcPr>
          <w:p>
            <w:pPr>
              <w:spacing w:after="0"/>
              <w:rPr>
                <w:sz w:val="18"/>
                <w:szCs w:val="18"/>
                <w:color w:val="auto"/>
              </w:rPr>
            </w:pPr>
          </w:p>
        </w:tc>
        <w:tc>
          <w:tcPr>
            <w:tcW w:w="820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Market appreciation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w:t>
            </w:r>
          </w:p>
        </w:tc>
      </w:tr>
      <w:tr>
        <w:trPr>
          <w:trHeight w:val="210"/>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gridSpan w:val="5"/>
          </w:tcPr>
          <w:p>
            <w:pPr>
              <w:spacing w:after="0"/>
              <w:rPr>
                <w:sz w:val="20"/>
                <w:szCs w:val="20"/>
                <w:color w:val="auto"/>
              </w:rPr>
            </w:pPr>
            <w:r>
              <w:rPr>
                <w:rFonts w:ascii="Arial" w:cs="Arial" w:eastAsia="Arial" w:hAnsi="Arial"/>
                <w:sz w:val="17"/>
                <w:szCs w:val="17"/>
                <w:color w:val="auto"/>
              </w:rPr>
              <w:t>Net change</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1,448</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82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to the three months ended March 31, 2021</w:t>
      </w:r>
    </w:p>
    <w:p>
      <w:pPr>
        <w:spacing w:after="0" w:line="11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$0.6 billion decrease in AUM for the three months ended March 31, 2022 was due to market depreciation of $0.6 billion and net outflows of $0.1 billion. Net outflows were primarily related to our Enhanced Balance strategy.</w:t>
      </w:r>
    </w:p>
    <w:p>
      <w:pPr>
        <w:spacing w:after="0" w:line="6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$1.4 billion increase in AUM for the three months ended March 31, 2021 was due to market appreciation of $0.9 billion and net inflows of $0.6 billion. Net inflows were primarily related to our SmallCap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ind w:right="80" w:firstLine="486"/>
        <w:spacing w:after="0" w:line="263" w:lineRule="auto"/>
        <w:rPr>
          <w:sz w:val="20"/>
          <w:szCs w:val="20"/>
          <w:color w:val="auto"/>
        </w:rPr>
      </w:pPr>
      <w:r>
        <w:rPr>
          <w:rFonts w:ascii="Arial" w:cs="Arial" w:eastAsia="Arial" w:hAnsi="Arial"/>
          <w:sz w:val="18"/>
          <w:szCs w:val="18"/>
          <w:color w:val="auto"/>
        </w:rPr>
        <w:t>The following table (dollars in thousands) and discussion of our results of operations are based upon data derived from the Condensed Consolidated Statements of Comprehensive Income contained in our Condensed Consolidated Financial Statements and should be read in conjunction with those statements included elsewhere in this report.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4"/>
        </w:trPr>
        <w:tc>
          <w:tcPr>
            <w:tcW w:w="63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5"/>
                <w:szCs w:val="15"/>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3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w w:val="89"/>
              </w:rPr>
              <w:t>2021</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auto"/>
            </w:tcBorders>
          </w:tcPr>
          <w:p>
            <w:pPr>
              <w:spacing w:after="0"/>
              <w:rPr>
                <w:sz w:val="18"/>
                <w:szCs w:val="18"/>
                <w:color w:val="auto"/>
              </w:rPr>
            </w:pPr>
          </w:p>
        </w:tc>
      </w:tr>
      <w:tr>
        <w:trPr>
          <w:trHeight w:val="196"/>
        </w:trPr>
        <w:tc>
          <w:tcPr>
            <w:tcW w:w="634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Revenues:</w:t>
            </w: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3"/>
        </w:trPr>
        <w:tc>
          <w:tcPr>
            <w:tcW w:w="6340" w:type="dxa"/>
            <w:vAlign w:val="bottom"/>
          </w:tcPr>
          <w:p>
            <w:pPr>
              <w:ind w:left="720"/>
              <w:spacing w:after="0"/>
              <w:rPr>
                <w:sz w:val="20"/>
                <w:szCs w:val="20"/>
                <w:color w:val="auto"/>
              </w:rPr>
            </w:pPr>
            <w:r>
              <w:rPr>
                <w:rFonts w:ascii="Arial" w:cs="Arial" w:eastAsia="Arial" w:hAnsi="Arial"/>
                <w:sz w:val="16"/>
                <w:szCs w:val="16"/>
                <w:color w:val="auto"/>
              </w:rPr>
              <w:t>Advisory fees: asset-based</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11,790</w:t>
            </w:r>
          </w:p>
        </w:tc>
        <w:tc>
          <w:tcPr>
            <w:tcW w:w="100" w:type="dxa"/>
            <w:vAlign w:val="bottom"/>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10,450</w:t>
            </w:r>
          </w:p>
        </w:tc>
        <w:tc>
          <w:tcPr>
            <w:tcW w:w="1420" w:type="dxa"/>
            <w:vAlign w:val="bottom"/>
            <w:gridSpan w:val="2"/>
          </w:tcPr>
          <w:p>
            <w:pPr>
              <w:jc w:val="right"/>
              <w:ind w:right="410"/>
              <w:spacing w:after="0"/>
              <w:rPr>
                <w:sz w:val="20"/>
                <w:szCs w:val="20"/>
                <w:color w:val="auto"/>
              </w:rPr>
            </w:pPr>
            <w:r>
              <w:rPr>
                <w:rFonts w:ascii="Arial" w:cs="Arial" w:eastAsia="Arial" w:hAnsi="Arial"/>
                <w:sz w:val="16"/>
                <w:szCs w:val="16"/>
                <w:color w:val="auto"/>
              </w:rPr>
              <w:t>13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19"/>
        </w:trPr>
        <w:tc>
          <w:tcPr>
            <w:tcW w:w="6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Advisory fees: performance-based</w:t>
            </w:r>
          </w:p>
        </w:tc>
        <w:tc>
          <w:tcPr>
            <w:tcW w:w="7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420" w:type="dxa"/>
            <w:vAlign w:val="bottom"/>
            <w:gridSpan w:val="2"/>
            <w:shd w:val="clear" w:color="auto" w:fill="CCEEFF"/>
          </w:tcPr>
          <w:p>
            <w:pPr>
              <w:jc w:val="right"/>
              <w:ind w:right="37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9"/>
                <w:szCs w:val="19"/>
                <w:color w:val="auto"/>
              </w:rPr>
            </w:pPr>
          </w:p>
        </w:tc>
      </w:tr>
      <w:tr>
        <w:trPr>
          <w:trHeight w:val="213"/>
        </w:trPr>
        <w:tc>
          <w:tcPr>
            <w:tcW w:w="6340" w:type="dxa"/>
            <w:vAlign w:val="bottom"/>
          </w:tcPr>
          <w:p>
            <w:pPr>
              <w:ind w:left="720"/>
              <w:spacing w:after="0"/>
              <w:rPr>
                <w:sz w:val="20"/>
                <w:szCs w:val="20"/>
                <w:color w:val="auto"/>
              </w:rPr>
            </w:pPr>
            <w:r>
              <w:rPr>
                <w:rFonts w:ascii="Arial" w:cs="Arial" w:eastAsia="Arial" w:hAnsi="Arial"/>
                <w:sz w:val="16"/>
                <w:szCs w:val="16"/>
                <w:color w:val="auto"/>
              </w:rPr>
              <w:t>Trust fees: asset-based</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5,715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6,065</w:t>
            </w:r>
          </w:p>
        </w:tc>
        <w:tc>
          <w:tcPr>
            <w:tcW w:w="1420" w:type="dxa"/>
            <w:vAlign w:val="bottom"/>
            <w:gridSpan w:val="2"/>
          </w:tcPr>
          <w:p>
            <w:pPr>
              <w:jc w:val="right"/>
              <w:ind w:right="37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r>
      <w:tr>
        <w:trPr>
          <w:trHeight w:val="219"/>
        </w:trPr>
        <w:tc>
          <w:tcPr>
            <w:tcW w:w="6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Other, net</w:t>
            </w: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420" w:type="dxa"/>
            <w:vAlign w:val="bottom"/>
            <w:gridSpan w:val="2"/>
            <w:shd w:val="clear" w:color="auto" w:fill="CCEEFF"/>
          </w:tcPr>
          <w:p>
            <w:pPr>
              <w:jc w:val="right"/>
              <w:ind w:right="410"/>
              <w:spacing w:after="0"/>
              <w:rPr>
                <w:sz w:val="20"/>
                <w:szCs w:val="20"/>
                <w:color w:val="auto"/>
              </w:rPr>
            </w:pPr>
            <w:r>
              <w:rPr>
                <w:rFonts w:ascii="Arial" w:cs="Arial" w:eastAsia="Arial" w:hAnsi="Arial"/>
                <w:sz w:val="16"/>
                <w:szCs w:val="16"/>
                <w:color w:val="auto"/>
              </w:rPr>
              <w:t>86</w:t>
            </w:r>
          </w:p>
        </w:tc>
        <w:tc>
          <w:tcPr>
            <w:tcW w:w="180" w:type="dxa"/>
            <w:vAlign w:val="bottom"/>
            <w:shd w:val="clear" w:color="auto" w:fill="CCEEFF"/>
          </w:tcPr>
          <w:p>
            <w:pPr>
              <w:spacing w:after="0"/>
              <w:rPr>
                <w:sz w:val="19"/>
                <w:szCs w:val="19"/>
                <w:color w:val="auto"/>
              </w:rPr>
            </w:pPr>
          </w:p>
        </w:tc>
      </w:tr>
      <w:tr>
        <w:trPr>
          <w:trHeight w:val="207"/>
        </w:trPr>
        <w:tc>
          <w:tcPr>
            <w:tcW w:w="6340" w:type="dxa"/>
            <w:vAlign w:val="bottom"/>
          </w:tcPr>
          <w:p>
            <w:pPr>
              <w:ind w:left="960"/>
              <w:spacing w:after="0"/>
              <w:rPr>
                <w:sz w:val="20"/>
                <w:szCs w:val="20"/>
                <w:color w:val="auto"/>
              </w:rPr>
            </w:pPr>
            <w:r>
              <w:rPr>
                <w:rFonts w:ascii="Arial" w:cs="Arial" w:eastAsia="Arial" w:hAnsi="Arial"/>
                <w:sz w:val="16"/>
                <w:szCs w:val="16"/>
                <w:color w:val="auto"/>
              </w:rPr>
              <w:t>Total revenues</w:t>
            </w:r>
          </w:p>
        </w:tc>
        <w:tc>
          <w:tcPr>
            <w:tcW w:w="7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17,216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18,319</w:t>
            </w:r>
          </w:p>
        </w:tc>
        <w:tc>
          <w:tcPr>
            <w:tcW w:w="1420" w:type="dxa"/>
            <w:vAlign w:val="bottom"/>
            <w:gridSpan w:val="2"/>
          </w:tcPr>
          <w:p>
            <w:pPr>
              <w:jc w:val="right"/>
              <w:ind w:right="37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r>
      <w:tr>
        <w:trPr>
          <w:trHeight w:val="219"/>
        </w:trPr>
        <w:tc>
          <w:tcPr>
            <w:tcW w:w="634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Expenses:</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3"/>
        </w:trPr>
        <w:tc>
          <w:tcPr>
            <w:tcW w:w="6340" w:type="dxa"/>
            <w:vAlign w:val="bottom"/>
          </w:tcPr>
          <w:p>
            <w:pPr>
              <w:ind w:left="720"/>
              <w:spacing w:after="0"/>
              <w:rPr>
                <w:sz w:val="20"/>
                <w:szCs w:val="20"/>
                <w:color w:val="auto"/>
              </w:rPr>
            </w:pPr>
            <w:r>
              <w:rPr>
                <w:rFonts w:ascii="Arial" w:cs="Arial" w:eastAsia="Arial" w:hAnsi="Arial"/>
                <w:sz w:val="16"/>
                <w:szCs w:val="16"/>
                <w:color w:val="auto"/>
              </w:rPr>
              <w:t>Employee compensation and benefits</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10,334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11,548</w:t>
            </w:r>
          </w:p>
        </w:tc>
        <w:tc>
          <w:tcPr>
            <w:tcW w:w="1420" w:type="dxa"/>
            <w:vAlign w:val="bottom"/>
            <w:gridSpan w:val="2"/>
          </w:tcPr>
          <w:p>
            <w:pPr>
              <w:jc w:val="right"/>
              <w:ind w:right="370"/>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r>
      <w:tr>
        <w:trPr>
          <w:trHeight w:val="219"/>
        </w:trPr>
        <w:tc>
          <w:tcPr>
            <w:tcW w:w="6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Sales and marketing</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420" w:type="dxa"/>
            <w:vAlign w:val="bottom"/>
            <w:gridSpan w:val="2"/>
            <w:shd w:val="clear" w:color="auto" w:fill="CCEEFF"/>
          </w:tcPr>
          <w:p>
            <w:pPr>
              <w:jc w:val="right"/>
              <w:ind w:right="410"/>
              <w:spacing w:after="0"/>
              <w:rPr>
                <w:sz w:val="20"/>
                <w:szCs w:val="20"/>
                <w:color w:val="auto"/>
              </w:rPr>
            </w:pPr>
            <w:r>
              <w:rPr>
                <w:rFonts w:ascii="Arial" w:cs="Arial" w:eastAsia="Arial" w:hAnsi="Arial"/>
                <w:sz w:val="16"/>
                <w:szCs w:val="16"/>
                <w:color w:val="auto"/>
              </w:rPr>
              <w:t>110</w:t>
            </w:r>
          </w:p>
        </w:tc>
        <w:tc>
          <w:tcPr>
            <w:tcW w:w="180" w:type="dxa"/>
            <w:vAlign w:val="bottom"/>
            <w:shd w:val="clear" w:color="auto" w:fill="CCEEFF"/>
          </w:tcPr>
          <w:p>
            <w:pPr>
              <w:spacing w:after="0"/>
              <w:rPr>
                <w:sz w:val="19"/>
                <w:szCs w:val="19"/>
                <w:color w:val="auto"/>
              </w:rPr>
            </w:pPr>
          </w:p>
        </w:tc>
      </w:tr>
      <w:tr>
        <w:trPr>
          <w:trHeight w:val="213"/>
        </w:trPr>
        <w:tc>
          <w:tcPr>
            <w:tcW w:w="6340" w:type="dxa"/>
            <w:vAlign w:val="bottom"/>
          </w:tcPr>
          <w:p>
            <w:pPr>
              <w:ind w:left="720"/>
              <w:spacing w:after="0"/>
              <w:rPr>
                <w:sz w:val="20"/>
                <w:szCs w:val="20"/>
                <w:color w:val="auto"/>
              </w:rPr>
            </w:pPr>
            <w:r>
              <w:rPr>
                <w:rFonts w:ascii="Arial" w:cs="Arial" w:eastAsia="Arial" w:hAnsi="Arial"/>
                <w:sz w:val="16"/>
                <w:szCs w:val="16"/>
                <w:color w:val="auto"/>
              </w:rPr>
              <w:t>Westwood mutual funds</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391</w:t>
            </w:r>
          </w:p>
        </w:tc>
        <w:tc>
          <w:tcPr>
            <w:tcW w:w="1420" w:type="dxa"/>
            <w:vAlign w:val="bottom"/>
            <w:gridSpan w:val="2"/>
          </w:tcPr>
          <w:p>
            <w:pPr>
              <w:jc w:val="right"/>
              <w:ind w:right="410"/>
              <w:spacing w:after="0"/>
              <w:rPr>
                <w:sz w:val="20"/>
                <w:szCs w:val="20"/>
                <w:color w:val="auto"/>
              </w:rPr>
            </w:pPr>
            <w:r>
              <w:rPr>
                <w:rFonts w:ascii="Arial" w:cs="Arial" w:eastAsia="Arial" w:hAnsi="Arial"/>
                <w:sz w:val="16"/>
                <w:szCs w:val="16"/>
                <w:color w:val="auto"/>
              </w:rPr>
              <w:t>52</w:t>
            </w:r>
          </w:p>
        </w:tc>
        <w:tc>
          <w:tcPr>
            <w:tcW w:w="180" w:type="dxa"/>
            <w:vAlign w:val="bottom"/>
          </w:tcPr>
          <w:p>
            <w:pPr>
              <w:spacing w:after="0"/>
              <w:rPr>
                <w:sz w:val="18"/>
                <w:szCs w:val="18"/>
                <w:color w:val="auto"/>
              </w:rPr>
            </w:pPr>
          </w:p>
        </w:tc>
      </w:tr>
      <w:tr>
        <w:trPr>
          <w:trHeight w:val="219"/>
        </w:trPr>
        <w:tc>
          <w:tcPr>
            <w:tcW w:w="6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Information technology</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w:t>
            </w:r>
          </w:p>
        </w:tc>
        <w:tc>
          <w:tcPr>
            <w:tcW w:w="1420" w:type="dxa"/>
            <w:vAlign w:val="bottom"/>
            <w:gridSpan w:val="2"/>
            <w:shd w:val="clear" w:color="auto" w:fill="CCEEFF"/>
          </w:tcPr>
          <w:p>
            <w:pPr>
              <w:jc w:val="right"/>
              <w:ind w:right="370"/>
              <w:spacing w:after="0"/>
              <w:rPr>
                <w:sz w:val="20"/>
                <w:szCs w:val="20"/>
                <w:color w:val="auto"/>
              </w:rPr>
            </w:pPr>
            <w:r>
              <w:rPr>
                <w:rFonts w:ascii="Arial" w:cs="Arial" w:eastAsia="Arial" w:hAnsi="Arial"/>
                <w:sz w:val="16"/>
                <w:szCs w:val="16"/>
                <w:color w:val="auto"/>
              </w:rPr>
              <w:t>(8)</w:t>
            </w:r>
          </w:p>
        </w:tc>
        <w:tc>
          <w:tcPr>
            <w:tcW w:w="180" w:type="dxa"/>
            <w:vAlign w:val="bottom"/>
            <w:shd w:val="clear" w:color="auto" w:fill="CCEEFF"/>
          </w:tcPr>
          <w:p>
            <w:pPr>
              <w:spacing w:after="0"/>
              <w:rPr>
                <w:sz w:val="19"/>
                <w:szCs w:val="19"/>
                <w:color w:val="auto"/>
              </w:rPr>
            </w:pPr>
          </w:p>
        </w:tc>
      </w:tr>
      <w:tr>
        <w:trPr>
          <w:trHeight w:val="213"/>
        </w:trPr>
        <w:tc>
          <w:tcPr>
            <w:tcW w:w="6340" w:type="dxa"/>
            <w:vAlign w:val="bottom"/>
          </w:tcPr>
          <w:p>
            <w:pPr>
              <w:ind w:left="720"/>
              <w:spacing w:after="0"/>
              <w:rPr>
                <w:sz w:val="20"/>
                <w:szCs w:val="20"/>
                <w:color w:val="auto"/>
              </w:rPr>
            </w:pPr>
            <w:r>
              <w:rPr>
                <w:rFonts w:ascii="Arial" w:cs="Arial" w:eastAsia="Arial" w:hAnsi="Arial"/>
                <w:sz w:val="16"/>
                <w:szCs w:val="16"/>
                <w:color w:val="auto"/>
              </w:rPr>
              <w:t>Professional services</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1,317</w:t>
            </w:r>
          </w:p>
        </w:tc>
        <w:tc>
          <w:tcPr>
            <w:tcW w:w="1420" w:type="dxa"/>
            <w:vAlign w:val="bottom"/>
            <w:gridSpan w:val="2"/>
          </w:tcPr>
          <w:p>
            <w:pPr>
              <w:jc w:val="right"/>
              <w:ind w:right="410"/>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r>
      <w:tr>
        <w:trPr>
          <w:trHeight w:val="219"/>
        </w:trPr>
        <w:tc>
          <w:tcPr>
            <w:tcW w:w="6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General and administrative</w:t>
            </w: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420" w:type="dxa"/>
            <w:vAlign w:val="bottom"/>
            <w:gridSpan w:val="2"/>
            <w:shd w:val="clear" w:color="auto" w:fill="CCEEFF"/>
          </w:tcPr>
          <w:p>
            <w:pPr>
              <w:jc w:val="right"/>
              <w:ind w:right="37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9"/>
                <w:szCs w:val="19"/>
                <w:color w:val="auto"/>
              </w:rPr>
            </w:pPr>
          </w:p>
        </w:tc>
      </w:tr>
      <w:tr>
        <w:trPr>
          <w:trHeight w:val="207"/>
        </w:trPr>
        <w:tc>
          <w:tcPr>
            <w:tcW w:w="6340" w:type="dxa"/>
            <w:vAlign w:val="bottom"/>
            <w:tcBorders>
              <w:bottom w:val="single" w:sz="8" w:color="CCEEFF"/>
            </w:tcBorders>
          </w:tcPr>
          <w:p>
            <w:pPr>
              <w:ind w:left="960"/>
              <w:spacing w:after="0"/>
              <w:rPr>
                <w:sz w:val="20"/>
                <w:szCs w:val="20"/>
                <w:color w:val="auto"/>
              </w:rPr>
            </w:pPr>
            <w:r>
              <w:rPr>
                <w:rFonts w:ascii="Arial" w:cs="Arial" w:eastAsia="Arial" w:hAnsi="Arial"/>
                <w:sz w:val="16"/>
                <w:szCs w:val="16"/>
                <w:color w:val="auto"/>
              </w:rPr>
              <w:t>Total expenses</w:t>
            </w:r>
          </w:p>
        </w:tc>
        <w:tc>
          <w:tcPr>
            <w:tcW w:w="7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16,801</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17,550</w:t>
            </w:r>
          </w:p>
        </w:tc>
        <w:tc>
          <w:tcPr>
            <w:tcW w:w="1420" w:type="dxa"/>
            <w:vAlign w:val="bottom"/>
            <w:tcBorders>
              <w:bottom w:val="single" w:sz="8" w:color="CCEEFF"/>
            </w:tcBorders>
            <w:gridSpan w:val="2"/>
          </w:tcPr>
          <w:p>
            <w:pPr>
              <w:jc w:val="right"/>
              <w:ind w:right="370"/>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tcPr>
          <w:p>
            <w:pPr>
              <w:spacing w:after="0"/>
              <w:rPr>
                <w:sz w:val="17"/>
                <w:szCs w:val="17"/>
                <w:color w:val="auto"/>
              </w:rPr>
            </w:pPr>
          </w:p>
        </w:tc>
      </w:tr>
      <w:tr>
        <w:trPr>
          <w:trHeight w:val="213"/>
        </w:trPr>
        <w:tc>
          <w:tcPr>
            <w:tcW w:w="634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Net operating income</w:t>
            </w:r>
          </w:p>
        </w:tc>
        <w:tc>
          <w:tcPr>
            <w:tcW w:w="7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7"/>
        </w:trPr>
        <w:tc>
          <w:tcPr>
            <w:tcW w:w="6340" w:type="dxa"/>
            <w:vAlign w:val="bottom"/>
          </w:tcPr>
          <w:p>
            <w:pPr>
              <w:ind w:left="720"/>
              <w:spacing w:after="0"/>
              <w:rPr>
                <w:sz w:val="20"/>
                <w:szCs w:val="20"/>
                <w:color w:val="auto"/>
              </w:rPr>
            </w:pPr>
            <w:r>
              <w:rPr>
                <w:rFonts w:ascii="Arial" w:cs="Arial" w:eastAsia="Arial" w:hAnsi="Arial"/>
                <w:sz w:val="16"/>
                <w:szCs w:val="16"/>
                <w:color w:val="auto"/>
              </w:rPr>
              <w:t>Realized gains on private investments</w:t>
            </w:r>
          </w:p>
        </w:tc>
        <w:tc>
          <w:tcPr>
            <w:tcW w:w="7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8,325</w:t>
            </w:r>
          </w:p>
        </w:tc>
        <w:tc>
          <w:tcPr>
            <w:tcW w:w="1420" w:type="dxa"/>
            <w:vAlign w:val="bottom"/>
            <w:gridSpan w:val="2"/>
          </w:tcPr>
          <w:p>
            <w:pPr>
              <w:jc w:val="right"/>
              <w:ind w:right="370"/>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7"/>
                <w:szCs w:val="17"/>
                <w:color w:val="auto"/>
              </w:rPr>
            </w:pPr>
          </w:p>
        </w:tc>
      </w:tr>
      <w:tr>
        <w:trPr>
          <w:trHeight w:val="219"/>
        </w:trPr>
        <w:tc>
          <w:tcPr>
            <w:tcW w:w="6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change in unrealized appreciation (depreciation) on private investments</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1420" w:type="dxa"/>
            <w:vAlign w:val="bottom"/>
            <w:gridSpan w:val="2"/>
            <w:shd w:val="clear" w:color="auto" w:fill="CCEEFF"/>
          </w:tcPr>
          <w:p>
            <w:pPr>
              <w:jc w:val="right"/>
              <w:ind w:right="370"/>
              <w:spacing w:after="0"/>
              <w:rPr>
                <w:sz w:val="20"/>
                <w:szCs w:val="20"/>
                <w:color w:val="auto"/>
              </w:rPr>
            </w:pPr>
            <w:r>
              <w:rPr>
                <w:rFonts w:ascii="Arial" w:cs="Arial" w:eastAsia="Arial" w:hAnsi="Arial"/>
                <w:sz w:val="16"/>
                <w:szCs w:val="16"/>
                <w:color w:val="auto"/>
              </w:rPr>
              <w:t>(102)</w:t>
            </w:r>
          </w:p>
        </w:tc>
        <w:tc>
          <w:tcPr>
            <w:tcW w:w="180" w:type="dxa"/>
            <w:vAlign w:val="bottom"/>
            <w:shd w:val="clear" w:color="auto" w:fill="CCEEFF"/>
          </w:tcPr>
          <w:p>
            <w:pPr>
              <w:spacing w:after="0"/>
              <w:rPr>
                <w:sz w:val="19"/>
                <w:szCs w:val="19"/>
                <w:color w:val="auto"/>
              </w:rPr>
            </w:pPr>
          </w:p>
        </w:tc>
      </w:tr>
      <w:tr>
        <w:trPr>
          <w:trHeight w:val="213"/>
        </w:trPr>
        <w:tc>
          <w:tcPr>
            <w:tcW w:w="6340" w:type="dxa"/>
            <w:vAlign w:val="bottom"/>
          </w:tcPr>
          <w:p>
            <w:pPr>
              <w:ind w:left="720"/>
              <w:spacing w:after="0"/>
              <w:rPr>
                <w:sz w:val="20"/>
                <w:szCs w:val="20"/>
                <w:color w:val="auto"/>
              </w:rPr>
            </w:pPr>
            <w:r>
              <w:rPr>
                <w:rFonts w:ascii="Arial" w:cs="Arial" w:eastAsia="Arial" w:hAnsi="Arial"/>
                <w:sz w:val="16"/>
                <w:szCs w:val="16"/>
                <w:color w:val="auto"/>
              </w:rPr>
              <w:t>Investment income</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196</w:t>
            </w:r>
          </w:p>
        </w:tc>
        <w:tc>
          <w:tcPr>
            <w:tcW w:w="1420" w:type="dxa"/>
            <w:vAlign w:val="bottom"/>
            <w:gridSpan w:val="2"/>
          </w:tcPr>
          <w:p>
            <w:pPr>
              <w:jc w:val="right"/>
              <w:ind w:right="370"/>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18"/>
                <w:szCs w:val="18"/>
                <w:color w:val="auto"/>
              </w:rPr>
            </w:pPr>
          </w:p>
        </w:tc>
      </w:tr>
      <w:tr>
        <w:trPr>
          <w:trHeight w:val="219"/>
        </w:trPr>
        <w:tc>
          <w:tcPr>
            <w:tcW w:w="6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Other income</w:t>
            </w: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420" w:type="dxa"/>
            <w:vAlign w:val="bottom"/>
            <w:gridSpan w:val="2"/>
            <w:shd w:val="clear" w:color="auto" w:fill="CCEEFF"/>
          </w:tcPr>
          <w:p>
            <w:pPr>
              <w:jc w:val="right"/>
              <w:ind w:right="410"/>
              <w:spacing w:after="0"/>
              <w:rPr>
                <w:sz w:val="20"/>
                <w:szCs w:val="20"/>
                <w:color w:val="auto"/>
              </w:rPr>
            </w:pPr>
            <w:r>
              <w:rPr>
                <w:rFonts w:ascii="Arial" w:cs="Arial" w:eastAsia="Arial" w:hAnsi="Arial"/>
                <w:sz w:val="16"/>
                <w:szCs w:val="16"/>
                <w:color w:val="auto"/>
              </w:rPr>
              <w:t>216</w:t>
            </w:r>
          </w:p>
        </w:tc>
        <w:tc>
          <w:tcPr>
            <w:tcW w:w="180" w:type="dxa"/>
            <w:vAlign w:val="bottom"/>
            <w:shd w:val="clear" w:color="auto" w:fill="CCEEFF"/>
          </w:tcPr>
          <w:p>
            <w:pPr>
              <w:spacing w:after="0"/>
              <w:rPr>
                <w:sz w:val="19"/>
                <w:szCs w:val="19"/>
                <w:color w:val="auto"/>
              </w:rPr>
            </w:pPr>
          </w:p>
        </w:tc>
      </w:tr>
      <w:tr>
        <w:trPr>
          <w:trHeight w:val="207"/>
        </w:trPr>
        <w:tc>
          <w:tcPr>
            <w:tcW w:w="6340" w:type="dxa"/>
            <w:vAlign w:val="bottom"/>
            <w:tcBorders>
              <w:bottom w:val="single" w:sz="8" w:color="CCEEFF"/>
            </w:tcBorders>
          </w:tcPr>
          <w:p>
            <w:pPr>
              <w:ind w:left="520"/>
              <w:spacing w:after="0"/>
              <w:rPr>
                <w:sz w:val="20"/>
                <w:szCs w:val="20"/>
                <w:color w:val="auto"/>
              </w:rPr>
            </w:pPr>
            <w:r>
              <w:rPr>
                <w:rFonts w:ascii="Arial" w:cs="Arial" w:eastAsia="Arial" w:hAnsi="Arial"/>
                <w:sz w:val="16"/>
                <w:szCs w:val="16"/>
                <w:b w:val="1"/>
                <w:bCs w:val="1"/>
                <w:color w:val="auto"/>
              </w:rPr>
              <w:t>Income before income taxes</w:t>
            </w:r>
          </w:p>
        </w:tc>
        <w:tc>
          <w:tcPr>
            <w:tcW w:w="7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7,014</w:t>
            </w: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r>
      <w:tr>
        <w:trPr>
          <w:trHeight w:val="213"/>
        </w:trPr>
        <w:tc>
          <w:tcPr>
            <w:tcW w:w="63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Income tax expense</w:t>
            </w:r>
          </w:p>
        </w:tc>
        <w:tc>
          <w:tcPr>
            <w:tcW w:w="7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420" w:type="dxa"/>
            <w:vAlign w:val="bottom"/>
            <w:gridSpan w:val="2"/>
            <w:shd w:val="clear" w:color="auto" w:fill="CCEEFF"/>
          </w:tcPr>
          <w:p>
            <w:pPr>
              <w:jc w:val="right"/>
              <w:ind w:right="370"/>
              <w:spacing w:after="0"/>
              <w:rPr>
                <w:sz w:val="20"/>
                <w:szCs w:val="20"/>
                <w:color w:val="auto"/>
              </w:rPr>
            </w:pPr>
            <w:r>
              <w:rPr>
                <w:rFonts w:ascii="Arial" w:cs="Arial" w:eastAsia="Arial" w:hAnsi="Arial"/>
                <w:sz w:val="16"/>
                <w:szCs w:val="16"/>
                <w:color w:val="auto"/>
              </w:rPr>
              <w:t>(81)</w:t>
            </w:r>
          </w:p>
        </w:tc>
        <w:tc>
          <w:tcPr>
            <w:tcW w:w="180" w:type="dxa"/>
            <w:vAlign w:val="bottom"/>
            <w:shd w:val="clear" w:color="auto" w:fill="CCEEFF"/>
          </w:tcPr>
          <w:p>
            <w:pPr>
              <w:spacing w:after="0"/>
              <w:rPr>
                <w:sz w:val="18"/>
                <w:szCs w:val="18"/>
                <w:color w:val="auto"/>
              </w:rPr>
            </w:pPr>
          </w:p>
        </w:tc>
      </w:tr>
      <w:tr>
        <w:trPr>
          <w:trHeight w:val="209"/>
        </w:trPr>
        <w:tc>
          <w:tcPr>
            <w:tcW w:w="6340" w:type="dxa"/>
            <w:vAlign w:val="bottom"/>
          </w:tcPr>
          <w:p>
            <w:pPr>
              <w:ind w:left="520"/>
              <w:spacing w:after="0"/>
              <w:rPr>
                <w:sz w:val="20"/>
                <w:szCs w:val="20"/>
                <w:color w:val="auto"/>
              </w:rPr>
            </w:pPr>
            <w:r>
              <w:rPr>
                <w:rFonts w:ascii="Arial" w:cs="Arial" w:eastAsia="Arial" w:hAnsi="Arial"/>
                <w:sz w:val="16"/>
                <w:szCs w:val="16"/>
                <w:b w:val="1"/>
                <w:bCs w:val="1"/>
                <w:color w:val="auto"/>
              </w:rPr>
              <w:t>Net income</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4,101</w:t>
            </w:r>
          </w:p>
        </w:tc>
        <w:tc>
          <w:tcPr>
            <w:tcW w:w="1420" w:type="dxa"/>
            <w:vAlign w:val="bottom"/>
            <w:gridSpan w:val="2"/>
          </w:tcPr>
          <w:p>
            <w:pPr>
              <w:jc w:val="right"/>
              <w:ind w:right="370"/>
              <w:spacing w:after="0"/>
              <w:rPr>
                <w:sz w:val="20"/>
                <w:szCs w:val="20"/>
                <w:color w:val="auto"/>
              </w:rPr>
            </w:pPr>
            <w:r>
              <w:rPr>
                <w:rFonts w:ascii="Arial" w:cs="Arial" w:eastAsia="Arial" w:hAnsi="Arial"/>
                <w:sz w:val="16"/>
                <w:szCs w:val="16"/>
                <w:color w:val="auto"/>
              </w:rPr>
              <w:t>(99)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1"/>
        </w:trPr>
        <w:tc>
          <w:tcPr>
            <w:tcW w:w="6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55" w:lineRule="exact"/>
        <w:rPr>
          <w:sz w:val="20"/>
          <w:szCs w:val="20"/>
          <w:color w:val="auto"/>
        </w:rPr>
      </w:pPr>
    </w:p>
    <w:p>
      <w:pPr>
        <w:ind w:left="180"/>
        <w:spacing w:after="0"/>
        <w:tabs>
          <w:tab w:leader="none" w:pos="520" w:val="left"/>
        </w:tabs>
        <w:rPr>
          <w:sz w:val="20"/>
          <w:szCs w:val="20"/>
          <w:color w:val="auto"/>
        </w:rPr>
      </w:pPr>
      <w:r>
        <w:rPr>
          <w:rFonts w:ascii="Arial" w:cs="Arial" w:eastAsia="Arial" w:hAnsi="Arial"/>
          <w:sz w:val="14"/>
          <w:szCs w:val="14"/>
          <w:color w:val="auto"/>
        </w:rPr>
        <w:t>NM</w:t>
      </w:r>
      <w:r>
        <w:rPr>
          <w:sz w:val="20"/>
          <w:szCs w:val="20"/>
          <w:color w:val="auto"/>
        </w:rPr>
        <w:tab/>
      </w:r>
      <w:r>
        <w:rPr>
          <w:rFonts w:ascii="Arial" w:cs="Arial" w:eastAsia="Arial" w:hAnsi="Arial"/>
          <w:sz w:val="13"/>
          <w:szCs w:val="13"/>
          <w:color w:val="auto"/>
        </w:rPr>
        <w:t>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117" w:lineRule="exact"/>
        <w:rPr>
          <w:sz w:val="20"/>
          <w:szCs w:val="20"/>
          <w:color w:val="auto"/>
        </w:rPr>
      </w:pPr>
    </w:p>
    <w:p>
      <w:pPr>
        <w:jc w:val="both"/>
        <w:ind w:right="300" w:firstLine="486"/>
        <w:spacing w:after="0" w:line="311" w:lineRule="auto"/>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Total revenues decreased $1.1 million, or 6%, to $17.2 million for the three months ended March 31, 2022 compared with $18.3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2021. Asset-based advisory fees increased $1.3 million, or 13%, and Trust fees decreased $0.4 million, or 6%. Performance-based advisory fees decreased $2.0 million due to reflecting lower performance fees in the three months ended March 31, 2022.</w:t>
      </w:r>
    </w:p>
    <w:p>
      <w:pPr>
        <w:spacing w:after="0" w:line="4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Employee compensation and benefits decreased $1.2 million to $10.3 million compared with $11.5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2021 due to lower commissions and incentive compensation.</w:t>
      </w:r>
    </w:p>
    <w:p>
      <w:pPr>
        <w:spacing w:after="0" w:line="62"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$0.3 million, or 110%, to $0.5 million compared with $0.2 million for 2021 as in-person sales activities returned to pre-COVID-19 levels.</w:t>
      </w:r>
    </w:p>
    <w:p>
      <w:pPr>
        <w:spacing w:after="0" w:line="6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i w:val="1"/>
          <w:iCs w:val="1"/>
          <w:color w:val="auto"/>
        </w:rPr>
        <w:t xml:space="preserve">Realized gains on private investments. </w:t>
      </w:r>
      <w:r>
        <w:rPr>
          <w:rFonts w:ascii="Arial" w:cs="Arial" w:eastAsia="Arial" w:hAnsi="Arial"/>
          <w:sz w:val="18"/>
          <w:szCs w:val="18"/>
          <w:color w:val="auto"/>
        </w:rPr>
        <w:t>We recorded a realized gain of approximately $8.3 million in connection with InvestCloud's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2021.</w:t>
      </w:r>
    </w:p>
    <w:p>
      <w:pPr>
        <w:spacing w:after="0" w:line="62"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i w:val="1"/>
          <w:iCs w:val="1"/>
          <w:color w:val="auto"/>
        </w:rPr>
        <w:t xml:space="preserve">Net change in unrealized appreciation (depreciation) on private investments. </w:t>
      </w:r>
      <w:r>
        <w:rPr>
          <w:rFonts w:ascii="Arial" w:cs="Arial" w:eastAsia="Arial" w:hAnsi="Arial"/>
          <w:sz w:val="18"/>
          <w:szCs w:val="18"/>
          <w:color w:val="auto"/>
        </w:rPr>
        <w:t>We recorded a $2.8 million net change in unrealized depreciation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the recognition of previously recorded unrealized gains in connection with InvestCloud's recapitalization in the first quarter of 2021, partially offset by $0.4 million of fair value increases from market transactions related to our investment in Charis.</w:t>
      </w:r>
    </w:p>
    <w:p>
      <w:pPr>
        <w:spacing w:after="0" w:line="76"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Our effective tax rate of 91.6% differed from the 21% statutory rate for the first quarter of 2022 primarily due to permanent</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differences between book and tax restricted stock expense based on a decrease in our stock price between the restricted stock grant and vesting dates.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Supplemental Financial Information</w:t>
      </w:r>
    </w:p>
    <w:p>
      <w:pPr>
        <w:spacing w:after="0" w:line="12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56"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spacing w:after="0" w:line="80"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tables provide a reconciliation of net income to Economic Earnings and Economic Earnings by segment (in thousands, except share and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6"/>
                <w:szCs w:val="16"/>
                <w:b w:val="1"/>
                <w:bCs w:val="1"/>
                <w:color w:val="auto"/>
                <w:w w:val="96"/>
              </w:rPr>
              <w:t>Three Months Ended March 31,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2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620"/>
              <w:spacing w:after="0"/>
              <w:rPr>
                <w:sz w:val="20"/>
                <w:szCs w:val="20"/>
                <w:color w:val="auto"/>
              </w:rPr>
            </w:pPr>
            <w:r>
              <w:rPr>
                <w:rFonts w:ascii="Arial" w:cs="Arial" w:eastAsia="Arial" w:hAnsi="Arial"/>
                <w:sz w:val="18"/>
                <w:szCs w:val="18"/>
                <w:color w:val="auto"/>
              </w:rPr>
              <w:t>Stock-based compensation expense</w:t>
            </w: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1,722</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Intangible amortization</w:t>
            </w: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Tax benefit from goodwill amortization</w:t>
            </w: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ind w:right="3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Economic Earnings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1480" w:type="dxa"/>
            <w:vAlign w:val="bottom"/>
            <w:tcBorders>
              <w:bottom w:val="single" w:sz="8" w:color="CCEEFF"/>
            </w:tcBorders>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Earnings per share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4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tcPr>
          <w:p>
            <w:pPr>
              <w:ind w:left="620"/>
              <w:spacing w:after="0"/>
              <w:rPr>
                <w:sz w:val="20"/>
                <w:szCs w:val="20"/>
                <w:color w:val="auto"/>
              </w:rPr>
            </w:pPr>
            <w:r>
              <w:rPr>
                <w:rFonts w:ascii="Arial" w:cs="Arial" w:eastAsia="Arial" w:hAnsi="Arial"/>
                <w:sz w:val="18"/>
                <w:szCs w:val="18"/>
                <w:color w:val="auto"/>
              </w:rPr>
              <w:t>Stock-based compensation expense</w:t>
            </w: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0.21</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Intangible amortization</w:t>
            </w: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Tax benefit from goodwill amortization</w:t>
            </w: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480" w:type="dxa"/>
            <w:vAlign w:val="bottom"/>
            <w:tcBorders>
              <w:bottom w:val="single" w:sz="8" w:color="CCEEFF"/>
            </w:tcBorders>
            <w:gridSpan w:val="2"/>
          </w:tcPr>
          <w:p>
            <w:pPr>
              <w:jc w:val="right"/>
              <w:ind w:right="372"/>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Economic Earnings per share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480" w:type="dxa"/>
            <w:vAlign w:val="bottom"/>
            <w:tcBorders>
              <w:bottom w:val="single" w:sz="8" w:color="CCEEFF"/>
            </w:tcBorders>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color w:val="auto"/>
              </w:rPr>
              <w:t>Diluted weighted average shares outstanding</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w w:val="99"/>
              </w:rPr>
              <w:t>7,931,453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w w:val="99"/>
              </w:rPr>
              <w:t>7,917,390</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520"/>
              <w:spacing w:after="0"/>
              <w:rPr>
                <w:sz w:val="20"/>
                <w:szCs w:val="20"/>
                <w:color w:val="auto"/>
              </w:rPr>
            </w:pPr>
            <w:r>
              <w:rPr>
                <w:rFonts w:ascii="Arial" w:cs="Arial" w:eastAsia="Arial" w:hAnsi="Arial"/>
                <w:sz w:val="18"/>
                <w:szCs w:val="18"/>
                <w:b w:val="1"/>
                <w:bCs w:val="1"/>
                <w:color w:val="auto"/>
              </w:rPr>
              <w:t>Economic Earnings by Segment:</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Advisory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4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620"/>
              <w:spacing w:after="0"/>
              <w:rPr>
                <w:sz w:val="20"/>
                <w:szCs w:val="20"/>
                <w:color w:val="auto"/>
              </w:rPr>
            </w:pPr>
            <w:r>
              <w:rPr>
                <w:rFonts w:ascii="Arial" w:cs="Arial" w:eastAsia="Arial" w:hAnsi="Arial"/>
                <w:sz w:val="18"/>
                <w:szCs w:val="18"/>
                <w:color w:val="auto"/>
              </w:rPr>
              <w:t>Trust</w:t>
            </w: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2,984</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Westwood Holdings</w:t>
            </w:r>
          </w:p>
        </w:tc>
        <w:tc>
          <w:tcPr>
            <w:tcW w:w="6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520"/>
              <w:spacing w:after="0"/>
              <w:rPr>
                <w:sz w:val="20"/>
                <w:szCs w:val="20"/>
                <w:color w:val="auto"/>
              </w:rPr>
            </w:pPr>
            <w:r>
              <w:rPr>
                <w:rFonts w:ascii="Arial" w:cs="Arial" w:eastAsia="Arial" w:hAnsi="Arial"/>
                <w:sz w:val="18"/>
                <w:szCs w:val="18"/>
                <w:b w:val="1"/>
                <w:bCs w:val="1"/>
                <w:color w:val="auto"/>
              </w:rPr>
              <w:t>Consolidated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6,288</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We fund our operations and cash requirements with cash generated from operating activities. We may also use cash from operations to pay dividends to our stockholders. We reinstated a dividend in the first quarter of 2021, following a suspension in the second quarter of 2020 as we preserved capital and additional financial flexibility amid the uncertainties created by the COVID-19 pandemic.</w:t>
      </w:r>
    </w:p>
    <w:p>
      <w:pPr>
        <w:spacing w:after="0" w:line="13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As of March 31, 2022 and December 31, 2021, we had no debt.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accounts payable, are generally the result of timing differences between collection of fees billed and payment of operating expenses.</w:t>
      </w:r>
    </w:p>
    <w:p>
      <w:pPr>
        <w:spacing w:after="0" w:line="11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During the three months ended March 31, 2022, cash flow provided by operating activities was $8.8 million, which included net sales of $12.4 million of current investments partially offset by a reduction in compensation and benefits payable of $7.2 million. During the three months ended March 31, 2021, cash flow used in operating activities was $7.0 million, which included net purchases of $4.4 million of current investments, a reduction in compensation and benefits payable of $5.0 million, and a $2.3 million change in accounts receivable, partially offset by income taxes payable and positive adjustments to net income.</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flow used in investing activities during the three months ended March 31, 2022 was related to purchases of property and equipment. Cash flow provided by investing activities during the three months ended March 31, 2021 was related to realized gains on private investments and the sale of property and equipment following the sublease of a portion of our Dallas, Texas corporate office space.</w:t>
      </w:r>
    </w:p>
    <w:p>
      <w:pPr>
        <w:spacing w:after="0" w:line="76"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color w:val="auto"/>
        </w:rPr>
        <w:t>Cash flows used in financing activities of $2.8 million for the three months ended March 31, 2022 reflected the payment of dividends, restricted stock returned for the payment of taxes and treasury stock repurchases. Cash flows used in financing activities of $2.7 million for the three months ended March 31, 2021 reflected treasury stock repurchases, the payment of dividends and restricted stock returned for the payment of taxes.</w:t>
      </w:r>
    </w:p>
    <w:p>
      <w:pPr>
        <w:spacing w:after="0" w:line="4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had cash and short-term investments of $73.5 million as of March 31, 2022 and $80.2 million as of December 31, 2021. At March 31, 2022 and December 31, 2021, working capital aggregated $77.0 million and $78.0 million, respectively.</w:t>
      </w:r>
    </w:p>
    <w:p>
      <w:pPr>
        <w:spacing w:after="0" w:line="62"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Westwood Trust is required to maintain cash and investments in an amount equal to the minimum restricted capital of $4.0 million, as required by the Texas Finance Code. Restricted capital is included in Investments in the accompanying Condensed Consolidated Balance Sheets. At March 31, 2022, Westwood Trust had approximately $19.5 million in excess of its minimum capital requirement.</w:t>
      </w:r>
    </w:p>
    <w:p>
      <w:pPr>
        <w:spacing w:after="0" w:line="7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2021.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75"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As of March 31, 2022, there have been no material changes outside of the ordinary course of business to our contractual obligations since December 31, 2021. For information regarding our contractual obligations, refer to “Contractual Obligations” in Part II, Item 7. “Management's Discussion and Analysis of Financial Condition and Results of Operations” in our Annual Report on Form 10-K for the fiscal year ended December 31, 2021.</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and Significant Accounting Policies and Estimates</w:t>
      </w:r>
    </w:p>
    <w:p>
      <w:pPr>
        <w:spacing w:after="0" w:line="121"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There have been no significant changes in our critical or significant accounting policies and estimates since December 31, 2021.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Developments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Refer to Note 2 “Summary of Significant Accounting Policies” in our Condensed Consolidated Financial Statements included in Part I, Item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this Quarterly Report on Form 10-Q for a description of recently issued accounting guidance.</w:t>
      </w:r>
    </w:p>
    <w:p>
      <w:pPr>
        <w:spacing w:after="0" w:line="3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9" w:right="379" w:bottom="1440" w:gutter="0" w:footer="0" w:header="0"/>
        </w:sectPr>
      </w:pPr>
    </w:p>
    <w:bookmarkStart w:id="21" w:name="page22"/>
    <w:bookmarkEnd w:id="21"/>
    <w:p>
      <w:pPr>
        <w:ind w:right="300" w:firstLine="486"/>
        <w:spacing w:after="0" w:line="277" w:lineRule="auto"/>
        <w:rPr>
          <w:sz w:val="20"/>
          <w:szCs w:val="20"/>
          <w:color w:val="auto"/>
        </w:rPr>
      </w:pPr>
      <w:r>
        <w:rPr>
          <w:rFonts w:ascii="Arial" w:cs="Arial" w:eastAsia="Arial" w:hAnsi="Arial"/>
          <w:sz w:val="18"/>
          <w:szCs w:val="18"/>
          <w:color w:val="auto"/>
        </w:rPr>
        <w:t>There have been no significant changes in our Quantitative and Qualitative Disclosures about Market Risk from those previously reported in our Annual Report on Form 10-K for the year ended December 31, 2021.</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During the quarter ended March 31, 2022, there were no changes in our internal controls over financial reporting (as defined in Rule 13a-15(f) under the Exchange Act) that materially affected, or are reasonably likely to materially affect, our internal control over financial reporting. Due to our significant investments in cloud-based systems, the impact of our employees working remotely did not hinder the execution of our internal control processes and procedures.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2021 and the risks set forth below.</w:t>
      </w:r>
    </w:p>
    <w:p>
      <w:pPr>
        <w:spacing w:after="0" w:line="7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pacing w:after="0" w:line="29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On July 20, 2012, our Board of Directors authorized management to repurchase up to $10.0 million of our outstanding common stock on the open market or in privately negotiated transactions. Our Board of Directors authorized an additional $5.0 million of repurchases under the share repurchase program in July 2016, an additional $10.0 million in February 2020, and an additional $10.0 million in April 2020. The share repurchase program has no expiration date and may be discontinued at any time by the Board of Directors.</w:t>
      </w:r>
    </w:p>
    <w:p>
      <w:pPr>
        <w:spacing w:after="0" w:line="11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Between January 1, 2022 and March 31, 2022, under the share repurchase program, the Company repurchased 12,202 shares of our common stock at an average price of $16.39 per share, including commissions, for an aggregate purchase price of $0.2 million. The following table displays information with respect to the treasury shares we purchased during the three months ended March 31, 2022:</w:t>
      </w: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240" w:type="dxa"/>
            <w:vAlign w:val="bottom"/>
            <w:gridSpan w:val="2"/>
            <w:vMerge w:val="restart"/>
          </w:tcPr>
          <w:p>
            <w:pPr>
              <w:jc w:val="center"/>
              <w:ind w:left="297"/>
              <w:spacing w:after="0"/>
              <w:rPr>
                <w:sz w:val="20"/>
                <w:szCs w:val="20"/>
                <w:color w:val="auto"/>
              </w:rPr>
            </w:pPr>
            <w:r>
              <w:rPr>
                <w:rFonts w:ascii="Arial" w:cs="Arial" w:eastAsia="Arial" w:hAnsi="Arial"/>
                <w:sz w:val="16"/>
                <w:szCs w:val="16"/>
                <w:b w:val="1"/>
                <w:bCs w:val="1"/>
                <w:color w:val="auto"/>
                <w:w w:val="88"/>
              </w:rPr>
              <w:t>Total</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3"/>
          </w:tcPr>
          <w:p>
            <w:pPr>
              <w:jc w:val="right"/>
              <w:ind w:right="690"/>
              <w:spacing w:after="0" w:line="171" w:lineRule="exact"/>
              <w:rPr>
                <w:sz w:val="20"/>
                <w:szCs w:val="20"/>
                <w:color w:val="auto"/>
              </w:rPr>
            </w:pPr>
            <w:r>
              <w:rPr>
                <w:rFonts w:ascii="Arial" w:cs="Arial" w:eastAsia="Arial" w:hAnsi="Arial"/>
                <w:sz w:val="16"/>
                <w:szCs w:val="16"/>
                <w:b w:val="1"/>
                <w:bCs w:val="1"/>
                <w:color w:val="auto"/>
              </w:rPr>
              <w:t>Total number</w:t>
            </w:r>
          </w:p>
        </w:tc>
        <w:tc>
          <w:tcPr>
            <w:tcW w:w="2000" w:type="dxa"/>
            <w:vAlign w:val="bottom"/>
          </w:tcPr>
          <w:p>
            <w:pPr>
              <w:jc w:val="center"/>
              <w:ind w:right="78"/>
              <w:spacing w:after="0" w:line="171" w:lineRule="exact"/>
              <w:rPr>
                <w:sz w:val="20"/>
                <w:szCs w:val="20"/>
                <w:color w:val="auto"/>
              </w:rPr>
            </w:pPr>
            <w:r>
              <w:rPr>
                <w:rFonts w:ascii="Arial" w:cs="Arial" w:eastAsia="Arial" w:hAnsi="Arial"/>
                <w:sz w:val="16"/>
                <w:szCs w:val="16"/>
                <w:b w:val="1"/>
                <w:bCs w:val="1"/>
                <w:color w:val="auto"/>
                <w:w w:val="95"/>
              </w:rPr>
              <w:t>Maximum number (or</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Average</w:t>
            </w:r>
          </w:p>
        </w:tc>
        <w:tc>
          <w:tcPr>
            <w:tcW w:w="2260" w:type="dxa"/>
            <w:vAlign w:val="bottom"/>
            <w:gridSpan w:val="3"/>
          </w:tcPr>
          <w:p>
            <w:pPr>
              <w:jc w:val="center"/>
              <w:ind w:right="650"/>
              <w:spacing w:after="0" w:line="162" w:lineRule="exact"/>
              <w:rPr>
                <w:sz w:val="20"/>
                <w:szCs w:val="20"/>
                <w:color w:val="auto"/>
              </w:rPr>
            </w:pPr>
            <w:r>
              <w:rPr>
                <w:rFonts w:ascii="Arial" w:cs="Arial" w:eastAsia="Arial" w:hAnsi="Arial"/>
                <w:sz w:val="16"/>
                <w:szCs w:val="16"/>
                <w:b w:val="1"/>
                <w:bCs w:val="1"/>
                <w:color w:val="auto"/>
                <w:w w:val="86"/>
              </w:rPr>
              <w:t>of shares purchased</w:t>
            </w:r>
          </w:p>
        </w:tc>
        <w:tc>
          <w:tcPr>
            <w:tcW w:w="2000" w:type="dxa"/>
            <w:vAlign w:val="bottom"/>
          </w:tcPr>
          <w:p>
            <w:pPr>
              <w:jc w:val="center"/>
              <w:ind w:right="78"/>
              <w:spacing w:after="0" w:line="162" w:lineRule="exact"/>
              <w:rPr>
                <w:sz w:val="20"/>
                <w:szCs w:val="20"/>
                <w:color w:val="auto"/>
              </w:rPr>
            </w:pPr>
            <w:r>
              <w:rPr>
                <w:rFonts w:ascii="Arial" w:cs="Arial" w:eastAsia="Arial" w:hAnsi="Arial"/>
                <w:sz w:val="16"/>
                <w:szCs w:val="16"/>
                <w:b w:val="1"/>
                <w:bCs w:val="1"/>
                <w:color w:val="auto"/>
                <w:w w:val="92"/>
              </w:rPr>
              <w:t>approximate dollar value)</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number of</w:t>
            </w:r>
          </w:p>
        </w:tc>
        <w:tc>
          <w:tcPr>
            <w:tcW w:w="7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60" w:type="dxa"/>
            <w:vAlign w:val="bottom"/>
            <w:gridSpan w:val="3"/>
          </w:tcPr>
          <w:p>
            <w:pPr>
              <w:jc w:val="center"/>
              <w:ind w:right="630"/>
              <w:spacing w:after="0" w:line="162" w:lineRule="exact"/>
              <w:rPr>
                <w:sz w:val="20"/>
                <w:szCs w:val="20"/>
                <w:color w:val="auto"/>
              </w:rPr>
            </w:pPr>
            <w:r>
              <w:rPr>
                <w:rFonts w:ascii="Arial" w:cs="Arial" w:eastAsia="Arial" w:hAnsi="Arial"/>
                <w:sz w:val="16"/>
                <w:szCs w:val="16"/>
                <w:b w:val="1"/>
                <w:bCs w:val="1"/>
                <w:color w:val="auto"/>
                <w:w w:val="91"/>
              </w:rPr>
              <w:t>as part of publicly</w:t>
            </w:r>
          </w:p>
        </w:tc>
        <w:tc>
          <w:tcPr>
            <w:tcW w:w="2000" w:type="dxa"/>
            <w:vAlign w:val="bottom"/>
          </w:tcPr>
          <w:p>
            <w:pPr>
              <w:jc w:val="center"/>
              <w:ind w:right="78"/>
              <w:spacing w:after="0" w:line="162" w:lineRule="exact"/>
              <w:rPr>
                <w:sz w:val="20"/>
                <w:szCs w:val="20"/>
                <w:color w:val="auto"/>
              </w:rPr>
            </w:pPr>
            <w:r>
              <w:rPr>
                <w:rFonts w:ascii="Arial" w:cs="Arial" w:eastAsia="Arial" w:hAnsi="Arial"/>
                <w:sz w:val="16"/>
                <w:szCs w:val="16"/>
                <w:b w:val="1"/>
                <w:bCs w:val="1"/>
                <w:color w:val="auto"/>
                <w:w w:val="89"/>
              </w:rPr>
              <w:t>of shares that may yet be</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5"/>
              </w:rPr>
              <w:t>shares</w:t>
            </w:r>
          </w:p>
        </w:tc>
        <w:tc>
          <w:tcPr>
            <w:tcW w:w="1740" w:type="dxa"/>
            <w:vAlign w:val="bottom"/>
            <w:gridSpan w:val="3"/>
          </w:tcPr>
          <w:p>
            <w:pPr>
              <w:ind w:left="480"/>
              <w:spacing w:after="0" w:line="162" w:lineRule="exact"/>
              <w:rPr>
                <w:sz w:val="20"/>
                <w:szCs w:val="20"/>
                <w:color w:val="auto"/>
              </w:rPr>
            </w:pPr>
            <w:r>
              <w:rPr>
                <w:rFonts w:ascii="Arial" w:cs="Arial" w:eastAsia="Arial" w:hAnsi="Arial"/>
                <w:sz w:val="16"/>
                <w:szCs w:val="16"/>
                <w:b w:val="1"/>
                <w:bCs w:val="1"/>
                <w:color w:val="auto"/>
              </w:rPr>
              <w:t>price paid</w:t>
            </w:r>
          </w:p>
        </w:tc>
        <w:tc>
          <w:tcPr>
            <w:tcW w:w="2260" w:type="dxa"/>
            <w:vAlign w:val="bottom"/>
            <w:gridSpan w:val="3"/>
          </w:tcPr>
          <w:p>
            <w:pPr>
              <w:jc w:val="center"/>
              <w:ind w:right="650"/>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2000" w:type="dxa"/>
            <w:vAlign w:val="bottom"/>
          </w:tcPr>
          <w:p>
            <w:pPr>
              <w:jc w:val="center"/>
              <w:ind w:right="58"/>
              <w:spacing w:after="0" w:line="162" w:lineRule="exact"/>
              <w:rPr>
                <w:sz w:val="20"/>
                <w:szCs w:val="20"/>
                <w:color w:val="auto"/>
              </w:rPr>
            </w:pPr>
            <w:r>
              <w:rPr>
                <w:rFonts w:ascii="Arial" w:cs="Arial" w:eastAsia="Arial" w:hAnsi="Arial"/>
                <w:sz w:val="16"/>
                <w:szCs w:val="16"/>
                <w:b w:val="1"/>
                <w:bCs w:val="1"/>
                <w:color w:val="auto"/>
                <w:w w:val="89"/>
              </w:rPr>
              <w:t>purchased under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purchased</w:t>
            </w:r>
          </w:p>
        </w:tc>
        <w:tc>
          <w:tcPr>
            <w:tcW w:w="1740" w:type="dxa"/>
            <w:vAlign w:val="bottom"/>
            <w:gridSpan w:val="3"/>
          </w:tcPr>
          <w:p>
            <w:pPr>
              <w:ind w:left="500"/>
              <w:spacing w:after="0"/>
              <w:rPr>
                <w:sz w:val="20"/>
                <w:szCs w:val="20"/>
                <w:color w:val="auto"/>
              </w:rPr>
            </w:pPr>
            <w:r>
              <w:rPr>
                <w:rFonts w:ascii="Arial" w:cs="Arial" w:eastAsia="Arial" w:hAnsi="Arial"/>
                <w:sz w:val="16"/>
                <w:szCs w:val="16"/>
                <w:b w:val="1"/>
                <w:bCs w:val="1"/>
                <w:color w:val="auto"/>
              </w:rPr>
              <w:t>per share</w:t>
            </w:r>
          </w:p>
        </w:tc>
        <w:tc>
          <w:tcPr>
            <w:tcW w:w="2260" w:type="dxa"/>
            <w:vAlign w:val="bottom"/>
            <w:gridSpan w:val="3"/>
          </w:tcPr>
          <w:p>
            <w:pPr>
              <w:jc w:val="center"/>
              <w:ind w:right="650"/>
              <w:spacing w:after="0"/>
              <w:rPr>
                <w:sz w:val="20"/>
                <w:szCs w:val="20"/>
                <w:color w:val="auto"/>
              </w:rPr>
            </w:pPr>
            <w:r>
              <w:rPr>
                <w:rFonts w:ascii="Arial" w:cs="Arial" w:eastAsia="Arial" w:hAnsi="Arial"/>
                <w:sz w:val="16"/>
                <w:szCs w:val="16"/>
                <w:b w:val="1"/>
                <w:bCs w:val="1"/>
                <w:color w:val="auto"/>
                <w:w w:val="92"/>
              </w:rPr>
              <w:t>programs</w:t>
            </w:r>
          </w:p>
        </w:tc>
        <w:tc>
          <w:tcPr>
            <w:tcW w:w="2000" w:type="dxa"/>
            <w:vAlign w:val="bottom"/>
          </w:tcPr>
          <w:p>
            <w:pPr>
              <w:jc w:val="center"/>
              <w:ind w:right="78"/>
              <w:spacing w:after="0" w:line="216" w:lineRule="exact"/>
              <w:rPr>
                <w:sz w:val="20"/>
                <w:szCs w:val="20"/>
                <w:color w:val="auto"/>
              </w:rPr>
            </w:pPr>
            <w:r>
              <w:rPr>
                <w:rFonts w:ascii="Arial" w:cs="Arial" w:eastAsia="Arial" w:hAnsi="Arial"/>
                <w:sz w:val="16"/>
                <w:szCs w:val="16"/>
                <w:b w:val="1"/>
                <w:bCs w:val="1"/>
                <w:color w:val="auto"/>
                <w:w w:val="88"/>
              </w:rPr>
              <w:t xml:space="preserve">plans or programs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jc w:val="center"/>
              <w:ind w:right="1210"/>
              <w:spacing w:after="0" w:line="223" w:lineRule="exact"/>
              <w:rPr>
                <w:sz w:val="20"/>
                <w:szCs w:val="20"/>
                <w:color w:val="auto"/>
              </w:rPr>
            </w:pPr>
            <w:r>
              <w:rPr>
                <w:rFonts w:ascii="Arial" w:cs="Arial" w:eastAsia="Arial" w:hAnsi="Arial"/>
                <w:sz w:val="18"/>
                <w:szCs w:val="18"/>
                <w:color w:val="auto"/>
                <w:w w:val="86"/>
              </w:rPr>
              <w:t xml:space="preserve">Repurchase program </w:t>
            </w:r>
            <w:r>
              <w:rPr>
                <w:rFonts w:ascii="Arial" w:cs="Arial" w:eastAsia="Arial" w:hAnsi="Arial"/>
                <w:sz w:val="23"/>
                <w:szCs w:val="23"/>
                <w:color w:val="auto"/>
                <w:w w:val="86"/>
                <w:vertAlign w:val="superscript"/>
              </w:rPr>
              <w:t>(1)</w:t>
            </w: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6,900,000</w:t>
            </w:r>
          </w:p>
        </w:tc>
        <w:tc>
          <w:tcPr>
            <w:tcW w:w="0" w:type="dxa"/>
            <w:vAlign w:val="bottom"/>
          </w:tcPr>
          <w:p>
            <w:pPr>
              <w:spacing w:after="0"/>
              <w:rPr>
                <w:sz w:val="1"/>
                <w:szCs w:val="1"/>
                <w:color w:val="auto"/>
              </w:rPr>
            </w:pPr>
          </w:p>
        </w:tc>
      </w:tr>
      <w:tr>
        <w:trPr>
          <w:trHeight w:val="230"/>
        </w:trPr>
        <w:tc>
          <w:tcPr>
            <w:tcW w:w="4000" w:type="dxa"/>
            <w:vAlign w:val="bottom"/>
          </w:tcPr>
          <w:p>
            <w:pPr>
              <w:jc w:val="center"/>
              <w:ind w:right="1170"/>
              <w:spacing w:after="0"/>
              <w:rPr>
                <w:sz w:val="20"/>
                <w:szCs w:val="20"/>
                <w:color w:val="auto"/>
              </w:rPr>
            </w:pPr>
            <w:r>
              <w:rPr>
                <w:rFonts w:ascii="Arial" w:cs="Arial" w:eastAsia="Arial" w:hAnsi="Arial"/>
                <w:sz w:val="18"/>
                <w:szCs w:val="18"/>
                <w:color w:val="auto"/>
                <w:w w:val="90"/>
              </w:rPr>
              <w:t>February 2022</w:t>
            </w:r>
          </w:p>
        </w:tc>
        <w:tc>
          <w:tcPr>
            <w:tcW w:w="1140" w:type="dxa"/>
            <w:vAlign w:val="bottom"/>
          </w:tcPr>
          <w:p>
            <w:pPr>
              <w:jc w:val="right"/>
              <w:spacing w:after="0"/>
              <w:rPr>
                <w:sz w:val="20"/>
                <w:szCs w:val="20"/>
                <w:color w:val="auto"/>
              </w:rPr>
            </w:pPr>
            <w:r>
              <w:rPr>
                <w:rFonts w:ascii="Arial" w:cs="Arial" w:eastAsia="Arial" w:hAnsi="Arial"/>
                <w:sz w:val="18"/>
                <w:szCs w:val="18"/>
                <w:color w:val="auto"/>
              </w:rPr>
              <w:t>12,202</w:t>
            </w:r>
          </w:p>
        </w:tc>
        <w:tc>
          <w:tcPr>
            <w:tcW w:w="100" w:type="dxa"/>
            <w:vAlign w:val="bottom"/>
          </w:tcPr>
          <w:p>
            <w:pPr>
              <w:spacing w:after="0"/>
              <w:rPr>
                <w:sz w:val="20"/>
                <w:szCs w:val="20"/>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12,202</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purchases relate to the share repurchase program and were authorized in April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3" w:name="page24"/>
    <w:bookmarkEnd w:id="23"/>
    <w:p>
      <w:pPr>
        <w:ind w:left="100"/>
        <w:spacing w:after="0"/>
        <w:tabs>
          <w:tab w:leader="none" w:pos="920" w:val="left"/>
        </w:tabs>
        <w:rPr>
          <w:sz w:val="20"/>
          <w:szCs w:val="20"/>
          <w:color w:val="auto"/>
        </w:rPr>
      </w:pPr>
      <w:r>
        <w:rPr>
          <w:rFonts w:ascii="Arial" w:cs="Arial" w:eastAsia="Arial" w:hAnsi="Arial"/>
          <w:sz w:val="18"/>
          <w:szCs w:val="18"/>
          <w:b w:val="1"/>
          <w:bCs w:val="1"/>
          <w:color w:val="auto"/>
        </w:rPr>
        <w:t>ITEM 6.</w:t>
        <w:tab/>
        <w:t>EXHIBITS</w:t>
      </w:r>
    </w:p>
    <w:p>
      <w:pPr>
        <w:spacing w:after="0" w:line="270" w:lineRule="exact"/>
        <w:rPr>
          <w:sz w:val="20"/>
          <w:szCs w:val="20"/>
          <w:color w:val="auto"/>
        </w:rPr>
      </w:pPr>
    </w:p>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fication of Chief Executive Officer Pursuant to Securities Exchange Act Rule 13a-14(a)</w:t>
        </w:r>
      </w:hyperlink>
    </w:p>
    <w:p>
      <w:pPr>
        <w:spacing w:after="0" w:line="239" w:lineRule="exact"/>
        <w:rPr>
          <w:sz w:val="20"/>
          <w:szCs w:val="20"/>
          <w:color w:val="auto"/>
        </w:rPr>
      </w:pPr>
    </w:p>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fication of Chief Financial Officer Pursuant to Securities Exchange Act Rule 13a-14(a)</w:t>
        </w:r>
      </w:hyperlink>
    </w:p>
    <w:p>
      <w:pPr>
        <w:spacing w:after="0" w:line="239" w:lineRule="exact"/>
        <w:rPr>
          <w:sz w:val="20"/>
          <w:szCs w:val="20"/>
          <w:color w:val="auto"/>
        </w:rPr>
      </w:pPr>
    </w:p>
    <w:p>
      <w:pPr>
        <w:ind w:left="1340" w:right="799" w:hanging="1340"/>
        <w:spacing w:after="0" w:line="235" w:lineRule="auto"/>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fication of Chief Executive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28">
        <w:r>
          <w:rPr>
            <w:rFonts w:ascii="Arial" w:cs="Arial" w:eastAsia="Arial" w:hAnsi="Arial"/>
            <w:sz w:val="18"/>
            <w:szCs w:val="18"/>
            <w:u w:val="single" w:color="auto"/>
            <w:color w:val="0000FF"/>
          </w:rPr>
          <w:t>Act of 2002</w:t>
        </w:r>
      </w:hyperlink>
    </w:p>
    <w:p>
      <w:pPr>
        <w:spacing w:after="0" w:line="216" w:lineRule="exact"/>
        <w:rPr>
          <w:sz w:val="20"/>
          <w:szCs w:val="20"/>
          <w:color w:val="auto"/>
        </w:rPr>
      </w:pPr>
    </w:p>
    <w:p>
      <w:pPr>
        <w:ind w:left="1340" w:right="859" w:hanging="1340"/>
        <w:spacing w:after="0" w:line="235" w:lineRule="auto"/>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fication of Chief Financial Officer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29">
        <w:r>
          <w:rPr>
            <w:rFonts w:ascii="Arial" w:cs="Arial" w:eastAsia="Arial" w:hAnsi="Arial"/>
            <w:sz w:val="18"/>
            <w:szCs w:val="18"/>
            <w:u w:val="single" w:color="auto"/>
            <w:color w:val="0000FF"/>
          </w:rPr>
          <w:t>Act of 2002</w:t>
        </w:r>
      </w:hyperlink>
    </w:p>
    <w:p>
      <w:pPr>
        <w:spacing w:after="0" w:line="216" w:lineRule="exact"/>
        <w:rPr>
          <w:sz w:val="20"/>
          <w:szCs w:val="20"/>
          <w:color w:val="auto"/>
        </w:rPr>
      </w:pPr>
    </w:p>
    <w:p>
      <w:pPr>
        <w:ind w:left="1340" w:right="759" w:hanging="1315"/>
        <w:spacing w:after="0" w:line="241" w:lineRule="auto"/>
        <w:rPr>
          <w:sz w:val="20"/>
          <w:szCs w:val="20"/>
          <w:color w:val="auto"/>
        </w:rPr>
      </w:pPr>
      <w:r>
        <w:rPr>
          <w:rFonts w:ascii="Arial" w:cs="Arial" w:eastAsia="Arial" w:hAnsi="Arial"/>
          <w:sz w:val="16"/>
          <w:szCs w:val="16"/>
          <w:color w:val="auto"/>
        </w:rPr>
        <w:t>ollowing financial information from Westwood Holdings Group, Inc.'s Quarterly Report on Form 10-Q for the period ended March 31, 2022, formatted in Inline eXtensible Business Reporting Language (iXBRL): (i) Condensed Consolidated Balance Sheets as of March 31, 2022 and December 31, 2021; (ii) Condensed Consolidated Statements of Comprehensive Income for the three months ended March 31, 2022 and 2021; (iii) Condensed Consolidated Statements of Stockholders' Equity; (iv) Condensed Consolidated Statements of Cash Flows for the three months ended March 31, 2022 and 2021; and (v) Notes to the Condensed Consolidated Financial Statements.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 Page Interactive Data File (formatted as iXBRL and contained in Exhibit 101)</w:t>
      </w:r>
    </w:p>
    <w:p>
      <w:pPr>
        <w:spacing w:after="0" w:line="32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39"/>
          </w:cols>
          <w:pgMar w:left="220" w:top="1093" w:right="1440" w:bottom="1440" w:gutter="0" w:footer="0" w:header="0"/>
        </w:sectPr>
      </w:pPr>
    </w:p>
    <w:bookmarkStart w:id="24" w:name="page25"/>
    <w:bookmarkEnd w:id="24"/>
    <w:p>
      <w:pPr>
        <w:jc w:val="center"/>
        <w:ind w:right="-4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Dated:   April 27, 2022</w:t>
            </w:r>
          </w:p>
        </w:tc>
        <w:tc>
          <w:tcPr>
            <w:tcW w:w="6040" w:type="dxa"/>
            <w:vAlign w:val="bottom"/>
            <w:gridSpan w:val="2"/>
          </w:tcPr>
          <w:p>
            <w:pPr>
              <w:ind w:left="1600"/>
              <w:spacing w:after="0"/>
              <w:rPr>
                <w:sz w:val="20"/>
                <w:szCs w:val="20"/>
                <w:color w:val="auto"/>
              </w:rPr>
            </w:pPr>
            <w:r>
              <w:rPr>
                <w:rFonts w:ascii="Arial" w:cs="Arial" w:eastAsia="Arial" w:hAnsi="Arial"/>
                <w:sz w:val="18"/>
                <w:szCs w:val="18"/>
                <w:color w:val="auto"/>
              </w:rPr>
              <w:t>WESTWOOD HOLDINGS GROUP, INC.</w:t>
            </w:r>
          </w:p>
        </w:tc>
      </w:tr>
      <w:tr>
        <w:trPr>
          <w:trHeight w:val="486"/>
        </w:trPr>
        <w:tc>
          <w:tcPr>
            <w:tcW w:w="3360" w:type="dxa"/>
            <w:vAlign w:val="bottom"/>
          </w:tcPr>
          <w:p>
            <w:pPr>
              <w:spacing w:after="0"/>
              <w:rPr>
                <w:sz w:val="24"/>
                <w:szCs w:val="24"/>
                <w:color w:val="auto"/>
              </w:rPr>
            </w:pPr>
          </w:p>
        </w:tc>
        <w:tc>
          <w:tcPr>
            <w:tcW w:w="2220" w:type="dxa"/>
            <w:vAlign w:val="bottom"/>
          </w:tcPr>
          <w:p>
            <w:pPr>
              <w:ind w:left="16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O. Casey</w:t>
            </w:r>
          </w:p>
        </w:tc>
      </w:tr>
      <w:tr>
        <w:trPr>
          <w:trHeight w:val="222"/>
        </w:trPr>
        <w:tc>
          <w:tcPr>
            <w:tcW w:w="3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30"/>
        </w:trPr>
        <w:tc>
          <w:tcPr>
            <w:tcW w:w="3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45"/>
        </w:trPr>
        <w:tc>
          <w:tcPr>
            <w:tcW w:w="3360" w:type="dxa"/>
            <w:vAlign w:val="bottom"/>
          </w:tcPr>
          <w:p>
            <w:pPr>
              <w:spacing w:after="0"/>
              <w:rPr>
                <w:sz w:val="24"/>
                <w:szCs w:val="24"/>
                <w:color w:val="auto"/>
              </w:rPr>
            </w:pPr>
          </w:p>
        </w:tc>
        <w:tc>
          <w:tcPr>
            <w:tcW w:w="2220" w:type="dxa"/>
            <w:vAlign w:val="bottom"/>
          </w:tcPr>
          <w:p>
            <w:pPr>
              <w:ind w:left="16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Murray Forbes III</w:t>
            </w:r>
          </w:p>
        </w:tc>
      </w:tr>
      <w:tr>
        <w:trPr>
          <w:trHeight w:val="222"/>
        </w:trPr>
        <w:tc>
          <w:tcPr>
            <w:tcW w:w="3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Murray Forbes III</w:t>
            </w:r>
          </w:p>
        </w:tc>
      </w:tr>
      <w:tr>
        <w:trPr>
          <w:trHeight w:val="230"/>
        </w:trPr>
        <w:tc>
          <w:tcPr>
            <w:tcW w:w="3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60"/>
          </w:cols>
          <w:pgMar w:left="320" w:top="1097" w:right="819" w:bottom="1440" w:gutter="0" w:footer="0" w:header="0"/>
        </w:sectPr>
      </w:pPr>
    </w:p>
    <w:bookmarkStart w:id="25" w:name="page26"/>
    <w:bookmarkEnd w:id="25"/>
    <w:p>
      <w:pPr>
        <w:spacing w:after="0" w:line="3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31.1</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RULES 13a-14(a)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 Brian O. Casey,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113"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660" w:right="200" w:hanging="328"/>
        <w:spacing w:after="0" w:line="26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6"/>
          <w:szCs w:val="16"/>
          <w:color w:val="auto"/>
        </w:rPr>
      </w:pPr>
    </w:p>
    <w:p>
      <w:pPr>
        <w:ind w:left="1300" w:right="300" w:hanging="320"/>
        <w:spacing w:after="0" w:line="261" w:lineRule="auto"/>
        <w:tabs>
          <w:tab w:leader="none" w:pos="1291"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6"/>
          <w:szCs w:val="16"/>
          <w:color w:val="auto"/>
        </w:rPr>
      </w:pPr>
    </w:p>
    <w:p>
      <w:pPr>
        <w:ind w:left="1300" w:right="100" w:hanging="320"/>
        <w:spacing w:after="0" w:line="261"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6"/>
          <w:szCs w:val="16"/>
          <w:color w:val="auto"/>
        </w:rPr>
      </w:pPr>
    </w:p>
    <w:p>
      <w:pPr>
        <w:ind w:left="1300" w:right="160" w:hanging="320"/>
        <w:spacing w:after="0" w:line="275" w:lineRule="auto"/>
        <w:tabs>
          <w:tab w:leader="none" w:pos="129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6"/>
          <w:szCs w:val="16"/>
          <w:color w:val="auto"/>
        </w:rPr>
      </w:pPr>
    </w:p>
    <w:p>
      <w:pPr>
        <w:ind w:left="660" w:right="120" w:hanging="328"/>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6"/>
          <w:szCs w:val="16"/>
          <w:color w:val="auto"/>
        </w:rPr>
      </w:pPr>
    </w:p>
    <w:p>
      <w:pPr>
        <w:ind w:left="1300" w:right="140" w:hanging="320"/>
        <w:spacing w:after="0" w:line="275" w:lineRule="auto"/>
        <w:tabs>
          <w:tab w:leader="none" w:pos="1241"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300" w:right="340" w:hanging="320"/>
        <w:spacing w:after="0" w:line="275" w:lineRule="auto"/>
        <w:tabs>
          <w:tab w:leader="none" w:pos="1251"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April 27, 2022</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429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Brian O. Casey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440" w:right="339" w:bottom="1440" w:gutter="0" w:footer="0" w:header="0"/>
        </w:sectPr>
      </w:pPr>
    </w:p>
    <w:bookmarkStart w:id="26" w:name="page27"/>
    <w:bookmarkEnd w:id="26"/>
    <w:p>
      <w:pPr>
        <w:spacing w:after="0" w:line="3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31.2</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RULES 13a-14(a)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 Murray Forbes III, certify that:</w:t>
      </w: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113"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660" w:right="200" w:hanging="328"/>
        <w:spacing w:after="0" w:line="26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6"/>
          <w:szCs w:val="16"/>
          <w:color w:val="auto"/>
        </w:rPr>
      </w:pPr>
    </w:p>
    <w:p>
      <w:pPr>
        <w:ind w:left="1300" w:right="300" w:hanging="320"/>
        <w:spacing w:after="0" w:line="261" w:lineRule="auto"/>
        <w:tabs>
          <w:tab w:leader="none" w:pos="1291"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6"/>
          <w:szCs w:val="16"/>
          <w:color w:val="auto"/>
        </w:rPr>
      </w:pPr>
    </w:p>
    <w:p>
      <w:pPr>
        <w:ind w:left="1300" w:right="100" w:hanging="320"/>
        <w:spacing w:after="0" w:line="261"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6"/>
          <w:szCs w:val="16"/>
          <w:color w:val="auto"/>
        </w:rPr>
      </w:pPr>
    </w:p>
    <w:p>
      <w:pPr>
        <w:ind w:left="1300" w:right="160" w:hanging="320"/>
        <w:spacing w:after="0" w:line="275" w:lineRule="auto"/>
        <w:tabs>
          <w:tab w:leader="none" w:pos="1291"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6"/>
          <w:szCs w:val="16"/>
          <w:color w:val="auto"/>
        </w:rPr>
      </w:pPr>
    </w:p>
    <w:p>
      <w:pPr>
        <w:ind w:left="660" w:right="180" w:hanging="328"/>
        <w:spacing w:after="0" w:line="275" w:lineRule="auto"/>
        <w:tabs>
          <w:tab w:leader="none" w:pos="61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6"/>
          <w:szCs w:val="16"/>
          <w:color w:val="auto"/>
        </w:rPr>
      </w:pPr>
    </w:p>
    <w:p>
      <w:pPr>
        <w:ind w:left="1300" w:right="140" w:hanging="320"/>
        <w:spacing w:after="0" w:line="275" w:lineRule="auto"/>
        <w:tabs>
          <w:tab w:leader="none" w:pos="1241"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300" w:right="340" w:hanging="320"/>
        <w:spacing w:after="0" w:line="275" w:lineRule="auto"/>
        <w:tabs>
          <w:tab w:leader="none" w:pos="1251"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April 27, 2022</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429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Murray Forbes III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 and Treasurer</w:t>
      </w:r>
    </w:p>
    <w:p>
      <w:pPr>
        <w:sectPr>
          <w:pgSz w:w="11900" w:h="16838" w:orient="portrait"/>
          <w:cols w:equalWidth="0" w:num="1">
            <w:col w:w="11240"/>
          </w:cols>
          <w:pgMar w:left="320" w:top="1440"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March 31, 2022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75" w:lineRule="exact"/>
        <w:rPr>
          <w:sz w:val="20"/>
          <w:szCs w:val="20"/>
          <w:color w:val="auto"/>
        </w:rPr>
      </w:pPr>
    </w:p>
    <w:p>
      <w:pPr>
        <w:ind w:left="720" w:hanging="22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113" w:lineRule="exact"/>
        <w:rPr>
          <w:rFonts w:ascii="Arial" w:cs="Arial" w:eastAsia="Arial" w:hAnsi="Arial"/>
          <w:sz w:val="16"/>
          <w:szCs w:val="16"/>
          <w:color w:val="auto"/>
        </w:rPr>
      </w:pPr>
    </w:p>
    <w:p>
      <w:pPr>
        <w:ind w:left="60" w:right="1120" w:firstLine="434"/>
        <w:spacing w:after="0" w:line="328" w:lineRule="auto"/>
        <w:tabs>
          <w:tab w:leader="none" w:pos="71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Dated: April 27, 2022</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0429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Brian O. Casey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President &amp; Chief Executive Officer</w:t>
      </w:r>
    </w:p>
    <w:p>
      <w:pPr>
        <w:spacing w:after="0" w:line="329" w:lineRule="exact"/>
        <w:rPr>
          <w:sz w:val="20"/>
          <w:szCs w:val="20"/>
          <w:color w:val="auto"/>
        </w:rPr>
      </w:pPr>
    </w:p>
    <w:p>
      <w:pPr>
        <w:ind w:right="20" w:firstLine="486"/>
        <w:spacing w:after="0" w:line="261"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422" w:right="339" w:bottom="1440" w:gutter="0" w:footer="0" w:header="0"/>
        </w:sectPr>
      </w:pPr>
    </w:p>
    <w:bookmarkStart w:id="28" w:name="page29"/>
    <w:bookmarkEnd w:id="28"/>
    <w:p>
      <w:pPr>
        <w:ind w:left="10400"/>
        <w:spacing w:after="0"/>
        <w:rPr>
          <w:sz w:val="20"/>
          <w:szCs w:val="20"/>
          <w:color w:val="auto"/>
        </w:rPr>
      </w:pPr>
      <w:r>
        <w:rPr>
          <w:rFonts w:ascii="Arial" w:cs="Arial" w:eastAsia="Arial" w:hAnsi="Arial"/>
          <w:sz w:val="15"/>
          <w:szCs w:val="15"/>
          <w:b w:val="1"/>
          <w:bCs w:val="1"/>
          <w:color w:val="auto"/>
        </w:rPr>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March 31, 2022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75" w:lineRule="exact"/>
        <w:rPr>
          <w:sz w:val="20"/>
          <w:szCs w:val="20"/>
          <w:color w:val="auto"/>
        </w:rPr>
      </w:pPr>
    </w:p>
    <w:p>
      <w:pPr>
        <w:ind w:left="720" w:hanging="226"/>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 or 78o(d)); and</w:t>
      </w:r>
    </w:p>
    <w:p>
      <w:pPr>
        <w:spacing w:after="0" w:line="113" w:lineRule="exact"/>
        <w:rPr>
          <w:rFonts w:ascii="Arial" w:cs="Arial" w:eastAsia="Arial" w:hAnsi="Arial"/>
          <w:sz w:val="16"/>
          <w:szCs w:val="16"/>
          <w:color w:val="auto"/>
        </w:rPr>
      </w:pPr>
    </w:p>
    <w:p>
      <w:pPr>
        <w:ind w:left="60" w:right="1120" w:firstLine="434"/>
        <w:spacing w:after="0" w:line="328" w:lineRule="auto"/>
        <w:tabs>
          <w:tab w:leader="none" w:pos="71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Dated: April 27, 2022</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0429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Murray Forbes III</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Financial Officer and Treasurer</w:t>
      </w:r>
    </w:p>
    <w:p>
      <w:pPr>
        <w:spacing w:after="0" w:line="329" w:lineRule="exact"/>
        <w:rPr>
          <w:sz w:val="20"/>
          <w:szCs w:val="20"/>
          <w:color w:val="auto"/>
        </w:rPr>
      </w:pPr>
    </w:p>
    <w:p>
      <w:pPr>
        <w:ind w:right="20" w:firstLine="486"/>
        <w:spacing w:after="0" w:line="261"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4"/>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2022-04-27T15:49:23Z</dcterms:created>
  <dcterms:modified xsi:type="dcterms:W3CDTF">2022-04-27T15:49:23Z</dcterms:modified>
</cp:coreProperties>
</file>