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87"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CURRENT REPORT</w:t>
      </w:r>
    </w:p>
    <w:p>
      <w:pPr>
        <w:spacing w:after="0" w:line="241"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Pursuant to Section 13 or 15(d) of</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4"/>
          <w:szCs w:val="24"/>
          <w:color w:val="auto"/>
        </w:rPr>
      </w:pPr>
    </w:p>
    <w:p>
      <w:pPr>
        <w:spacing w:after="0" w:line="234"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Date of Report (Date of earliest event reported): April 28, 2021</w:t>
      </w:r>
    </w:p>
    <w:p>
      <w:pPr>
        <w:spacing w:after="0" w:line="200" w:lineRule="exact"/>
        <w:rPr>
          <w:sz w:val="24"/>
          <w:szCs w:val="24"/>
          <w:color w:val="auto"/>
        </w:rPr>
      </w:pPr>
    </w:p>
    <w:p>
      <w:pPr>
        <w:spacing w:after="0" w:line="293" w:lineRule="exact"/>
        <w:rPr>
          <w:sz w:val="24"/>
          <w:szCs w:val="24"/>
          <w:color w:val="auto"/>
        </w:rPr>
      </w:pPr>
    </w:p>
    <w:p>
      <w:pPr>
        <w:jc w:val="center"/>
        <w:ind w:right="-619"/>
        <w:spacing w:after="0"/>
        <w:rPr>
          <w:sz w:val="20"/>
          <w:szCs w:val="20"/>
          <w:color w:val="auto"/>
        </w:rPr>
      </w:pPr>
      <w:r>
        <w:rPr>
          <w:rFonts w:ascii="Arial" w:cs="Arial" w:eastAsia="Arial" w:hAnsi="Arial"/>
          <w:sz w:val="40"/>
          <w:szCs w:val="40"/>
          <w:b w:val="1"/>
          <w:bCs w:val="1"/>
          <w:color w:val="auto"/>
        </w:rPr>
        <w:t>WESTWOOD HOLDINGS GROUP, INC.</w:t>
      </w:r>
    </w:p>
    <w:p>
      <w:pPr>
        <w:spacing w:after="0" w:line="14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2140" w:type="dxa"/>
            <w:vAlign w:val="bottom"/>
          </w:tcPr>
          <w:p>
            <w:pPr>
              <w:jc w:val="center"/>
              <w:ind w:right="296"/>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jc w:val="center"/>
              <w:ind w:right="15"/>
              <w:spacing w:after="0"/>
              <w:rPr>
                <w:sz w:val="20"/>
                <w:szCs w:val="20"/>
                <w:color w:val="auto"/>
              </w:rPr>
            </w:pPr>
            <w:r>
              <w:rPr>
                <w:rFonts w:ascii="Arial" w:cs="Arial" w:eastAsia="Arial" w:hAnsi="Arial"/>
                <w:sz w:val="18"/>
                <w:szCs w:val="18"/>
                <w:b w:val="1"/>
                <w:bCs w:val="1"/>
                <w:color w:val="auto"/>
                <w:w w:val="90"/>
              </w:rPr>
              <w:t>001-31234</w:t>
            </w:r>
          </w:p>
        </w:tc>
        <w:tc>
          <w:tcPr>
            <w:tcW w:w="1920" w:type="dxa"/>
            <w:vAlign w:val="bottom"/>
          </w:tcPr>
          <w:p>
            <w:pPr>
              <w:jc w:val="center"/>
              <w:ind w:left="356"/>
              <w:spacing w:after="0"/>
              <w:rPr>
                <w:sz w:val="20"/>
                <w:szCs w:val="20"/>
                <w:color w:val="auto"/>
              </w:rPr>
            </w:pPr>
            <w:r>
              <w:rPr>
                <w:rFonts w:ascii="Arial" w:cs="Arial" w:eastAsia="Arial" w:hAnsi="Arial"/>
                <w:sz w:val="18"/>
                <w:szCs w:val="18"/>
                <w:b w:val="1"/>
                <w:bCs w:val="1"/>
                <w:color w:val="auto"/>
                <w:w w:val="91"/>
              </w:rPr>
              <w:t>75-2969997</w:t>
            </w:r>
          </w:p>
        </w:tc>
      </w:tr>
      <w:tr>
        <w:trPr>
          <w:trHeight w:val="166"/>
        </w:trPr>
        <w:tc>
          <w:tcPr>
            <w:tcW w:w="2140" w:type="dxa"/>
            <w:vAlign w:val="bottom"/>
          </w:tcPr>
          <w:p>
            <w:pPr>
              <w:jc w:val="center"/>
              <w:ind w:right="296"/>
              <w:spacing w:after="0" w:line="166" w:lineRule="exact"/>
              <w:rPr>
                <w:sz w:val="20"/>
                <w:szCs w:val="20"/>
                <w:color w:val="auto"/>
              </w:rPr>
            </w:pPr>
            <w:r>
              <w:rPr>
                <w:rFonts w:ascii="Arial" w:cs="Arial" w:eastAsia="Arial" w:hAnsi="Arial"/>
                <w:sz w:val="16"/>
                <w:szCs w:val="16"/>
                <w:color w:val="auto"/>
                <w:w w:val="92"/>
              </w:rPr>
              <w:t>(State or Other Jurisdiction</w:t>
            </w:r>
          </w:p>
        </w:tc>
        <w:tc>
          <w:tcPr>
            <w:tcW w:w="4800" w:type="dxa"/>
            <w:vAlign w:val="bottom"/>
          </w:tcPr>
          <w:p>
            <w:pPr>
              <w:jc w:val="center"/>
              <w:spacing w:after="0" w:line="166" w:lineRule="exact"/>
              <w:rPr>
                <w:sz w:val="20"/>
                <w:szCs w:val="20"/>
                <w:color w:val="auto"/>
              </w:rPr>
            </w:pPr>
            <w:r>
              <w:rPr>
                <w:rFonts w:ascii="Arial" w:cs="Arial" w:eastAsia="Arial" w:hAnsi="Arial"/>
                <w:sz w:val="16"/>
                <w:szCs w:val="16"/>
                <w:color w:val="auto"/>
                <w:w w:val="94"/>
              </w:rPr>
              <w:t>(Commission</w:t>
            </w:r>
          </w:p>
        </w:tc>
        <w:tc>
          <w:tcPr>
            <w:tcW w:w="1920" w:type="dxa"/>
            <w:vAlign w:val="bottom"/>
          </w:tcPr>
          <w:p>
            <w:pPr>
              <w:jc w:val="center"/>
              <w:ind w:left="336"/>
              <w:spacing w:after="0" w:line="166" w:lineRule="exact"/>
              <w:rPr>
                <w:sz w:val="20"/>
                <w:szCs w:val="20"/>
                <w:color w:val="auto"/>
              </w:rPr>
            </w:pPr>
            <w:r>
              <w:rPr>
                <w:rFonts w:ascii="Arial" w:cs="Arial" w:eastAsia="Arial" w:hAnsi="Arial"/>
                <w:sz w:val="16"/>
                <w:szCs w:val="16"/>
                <w:color w:val="auto"/>
                <w:w w:val="93"/>
              </w:rPr>
              <w:t>(I.R.S. Employer</w:t>
            </w:r>
          </w:p>
        </w:tc>
      </w:tr>
      <w:tr>
        <w:trPr>
          <w:trHeight w:val="206"/>
        </w:trPr>
        <w:tc>
          <w:tcPr>
            <w:tcW w:w="2140" w:type="dxa"/>
            <w:vAlign w:val="bottom"/>
          </w:tcPr>
          <w:p>
            <w:pPr>
              <w:jc w:val="center"/>
              <w:ind w:right="276"/>
              <w:spacing w:after="0"/>
              <w:rPr>
                <w:sz w:val="20"/>
                <w:szCs w:val="20"/>
                <w:color w:val="auto"/>
              </w:rPr>
            </w:pPr>
            <w:r>
              <w:rPr>
                <w:rFonts w:ascii="Arial" w:cs="Arial" w:eastAsia="Arial" w:hAnsi="Arial"/>
                <w:sz w:val="16"/>
                <w:szCs w:val="16"/>
                <w:color w:val="auto"/>
                <w:w w:val="94"/>
              </w:rPr>
              <w:t>of Incorporation)</w:t>
            </w:r>
          </w:p>
        </w:tc>
        <w:tc>
          <w:tcPr>
            <w:tcW w:w="4800" w:type="dxa"/>
            <w:vAlign w:val="bottom"/>
          </w:tcPr>
          <w:p>
            <w:pPr>
              <w:jc w:val="center"/>
              <w:spacing w:after="0"/>
              <w:rPr>
                <w:sz w:val="20"/>
                <w:szCs w:val="20"/>
                <w:color w:val="auto"/>
              </w:rPr>
            </w:pPr>
            <w:r>
              <w:rPr>
                <w:rFonts w:ascii="Arial" w:cs="Arial" w:eastAsia="Arial" w:hAnsi="Arial"/>
                <w:sz w:val="16"/>
                <w:szCs w:val="16"/>
                <w:color w:val="auto"/>
                <w:w w:val="95"/>
              </w:rPr>
              <w:t>File Number)</w:t>
            </w:r>
          </w:p>
        </w:tc>
        <w:tc>
          <w:tcPr>
            <w:tcW w:w="1920" w:type="dxa"/>
            <w:vAlign w:val="bottom"/>
          </w:tcPr>
          <w:p>
            <w:pPr>
              <w:jc w:val="center"/>
              <w:ind w:left="336"/>
              <w:spacing w:after="0"/>
              <w:rPr>
                <w:sz w:val="20"/>
                <w:szCs w:val="20"/>
                <w:color w:val="auto"/>
              </w:rPr>
            </w:pPr>
            <w:r>
              <w:rPr>
                <w:rFonts w:ascii="Arial" w:cs="Arial" w:eastAsia="Arial" w:hAnsi="Arial"/>
                <w:sz w:val="16"/>
                <w:szCs w:val="16"/>
                <w:color w:val="auto"/>
                <w:w w:val="95"/>
              </w:rPr>
              <w:t>Identification Number)</w:t>
            </w:r>
          </w:p>
        </w:tc>
      </w:tr>
      <w:tr>
        <w:trPr>
          <w:trHeight w:val="352"/>
        </w:trPr>
        <w:tc>
          <w:tcPr>
            <w:tcW w:w="214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200 Crescent Court, Suite 1200</w:t>
            </w:r>
          </w:p>
        </w:tc>
        <w:tc>
          <w:tcPr>
            <w:tcW w:w="1920" w:type="dxa"/>
            <w:vAlign w:val="bottom"/>
          </w:tcPr>
          <w:p>
            <w:pPr>
              <w:spacing w:after="0"/>
              <w:rPr>
                <w:sz w:val="24"/>
                <w:szCs w:val="24"/>
                <w:color w:val="auto"/>
              </w:rPr>
            </w:pPr>
          </w:p>
        </w:tc>
      </w:tr>
      <w:tr>
        <w:trPr>
          <w:trHeight w:val="224"/>
        </w:trPr>
        <w:tc>
          <w:tcPr>
            <w:tcW w:w="2140" w:type="dxa"/>
            <w:vAlign w:val="bottom"/>
          </w:tcPr>
          <w:p>
            <w:pPr>
              <w:spacing w:after="0"/>
              <w:rPr>
                <w:sz w:val="19"/>
                <w:szCs w:val="19"/>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88"/>
              </w:rPr>
              <w:t>Dallas, Texas 75201</w:t>
            </w:r>
          </w:p>
        </w:tc>
        <w:tc>
          <w:tcPr>
            <w:tcW w:w="1920" w:type="dxa"/>
            <w:vAlign w:val="bottom"/>
          </w:tcPr>
          <w:p>
            <w:pPr>
              <w:spacing w:after="0"/>
              <w:rPr>
                <w:sz w:val="19"/>
                <w:szCs w:val="19"/>
                <w:color w:val="auto"/>
              </w:rPr>
            </w:pPr>
          </w:p>
        </w:tc>
      </w:tr>
      <w:tr>
        <w:trPr>
          <w:trHeight w:val="206"/>
        </w:trPr>
        <w:tc>
          <w:tcPr>
            <w:tcW w:w="214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3"/>
              </w:rPr>
              <w:t>(Address of principal executive offices, including zip code)</w:t>
            </w:r>
          </w:p>
        </w:tc>
        <w:tc>
          <w:tcPr>
            <w:tcW w:w="1920" w:type="dxa"/>
            <w:vAlign w:val="bottom"/>
          </w:tcPr>
          <w:p>
            <w:pPr>
              <w:spacing w:after="0"/>
              <w:rPr>
                <w:sz w:val="17"/>
                <w:szCs w:val="17"/>
                <w:color w:val="auto"/>
              </w:rPr>
            </w:pPr>
          </w:p>
        </w:tc>
      </w:tr>
      <w:tr>
        <w:trPr>
          <w:trHeight w:val="415"/>
        </w:trPr>
        <w:tc>
          <w:tcPr>
            <w:tcW w:w="214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(214) 756-6900</w:t>
            </w:r>
          </w:p>
        </w:tc>
        <w:tc>
          <w:tcPr>
            <w:tcW w:w="1920" w:type="dxa"/>
            <w:vAlign w:val="bottom"/>
          </w:tcPr>
          <w:p>
            <w:pPr>
              <w:spacing w:after="0"/>
              <w:rPr>
                <w:sz w:val="24"/>
                <w:szCs w:val="24"/>
                <w:color w:val="auto"/>
              </w:rPr>
            </w:pPr>
          </w:p>
        </w:tc>
      </w:tr>
      <w:tr>
        <w:trPr>
          <w:trHeight w:val="206"/>
        </w:trPr>
        <w:tc>
          <w:tcPr>
            <w:tcW w:w="214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1920" w:type="dxa"/>
            <w:vAlign w:val="bottom"/>
          </w:tcPr>
          <w:p>
            <w:pPr>
              <w:spacing w:after="0"/>
              <w:rPr>
                <w:sz w:val="17"/>
                <w:szCs w:val="17"/>
                <w:color w:val="auto"/>
              </w:rPr>
            </w:pPr>
          </w:p>
        </w:tc>
      </w:tr>
      <w:tr>
        <w:trPr>
          <w:trHeight w:val="415"/>
        </w:trPr>
        <w:tc>
          <w:tcPr>
            <w:tcW w:w="214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1920" w:type="dxa"/>
            <w:vAlign w:val="bottom"/>
          </w:tcPr>
          <w:p>
            <w:pPr>
              <w:spacing w:after="0"/>
              <w:rPr>
                <w:sz w:val="24"/>
                <w:szCs w:val="24"/>
                <w:color w:val="auto"/>
              </w:rPr>
            </w:pPr>
          </w:p>
        </w:tc>
      </w:tr>
      <w:tr>
        <w:trPr>
          <w:trHeight w:val="206"/>
        </w:trPr>
        <w:tc>
          <w:tcPr>
            <w:tcW w:w="214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192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16" w:lineRule="exact"/>
        <w:rPr>
          <w:sz w:val="24"/>
          <w:szCs w:val="24"/>
          <w:color w:val="auto"/>
        </w:rPr>
      </w:pPr>
    </w:p>
    <w:p>
      <w:pPr>
        <w:ind w:left="680" w:hanging="65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680" w:hanging="65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Arial" w:cs="Arial" w:eastAsia="Arial" w:hAnsi="Arial"/>
          <w:sz w:val="18"/>
          <w:szCs w:val="18"/>
          <w:color w:val="auto"/>
        </w:rPr>
      </w:pPr>
    </w:p>
    <w:p>
      <w:pPr>
        <w:ind w:left="680" w:hanging="65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Arial" w:cs="Arial" w:eastAsia="Arial" w:hAnsi="Arial"/>
          <w:sz w:val="18"/>
          <w:szCs w:val="18"/>
          <w:color w:val="auto"/>
        </w:rPr>
      </w:pPr>
    </w:p>
    <w:p>
      <w:pPr>
        <w:ind w:left="680" w:hanging="65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057" w:right="959" w:bottom="1440" w:gutter="0" w:footer="0" w:header="0"/>
        </w:sectPr>
      </w:pPr>
    </w:p>
    <w:bookmarkStart w:id="1" w:name="page2"/>
    <w:bookmarkEnd w:id="1"/>
    <w:p>
      <w:pPr>
        <w:ind w:left="900" w:right="18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1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previously announced and as further described under Item 5.07, on April 28, 2021, Westwood Holdings Group, Inc. (the “Company”) held its annual meeting of stockholders in Dallas, Texas (the “Annual Meeting”).</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stockholders approved the Eighth Amended and Restated Westwood Holdings Group, Inc. Stock Incentive Plan (the “Incentive Plan”). The material revisions of the Incentive Plan included:</w:t>
      </w:r>
    </w:p>
    <w:p>
      <w:pPr>
        <w:spacing w:after="0" w:line="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total number of shares currently authorized under the Incentive Plan by 250,000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Incentive Plan was included as Appendix A to the Definitive Proxy Statement filed with the SEC on March 5, 2021.</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7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At the Annual Meeting, the following Proposals 1, 2, 3, and 4 were approved by the Company’s stockholders. No other business was brought before the Annual Meeting. The Proposals are described in detail in the Company’s definitive proxy statement filed with the SEC on March 5, 2021. The voting results for the Annual Meeting are set forth below.</w:t>
      </w:r>
    </w:p>
    <w:p>
      <w:pPr>
        <w:spacing w:after="0" w:line="143" w:lineRule="exact"/>
        <w:rPr>
          <w:sz w:val="20"/>
          <w:szCs w:val="20"/>
          <w:color w:val="auto"/>
        </w:rPr>
      </w:pPr>
    </w:p>
    <w:p>
      <w:pPr>
        <w:ind w:left="580" w:right="380" w:hanging="329"/>
        <w:spacing w:after="0" w:line="269" w:lineRule="auto"/>
        <w:tabs>
          <w:tab w:leader="none" w:pos="57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The stockholders elected the directors listed below to hold office until the next annual meeting and until their respective successors shall have been duly elected and qualified. The voting results for this Proposal 1 were as follows:</w:t>
      </w:r>
    </w:p>
    <w:tbl>
      <w:tblPr>
        <w:tblLayout w:type="fixed"/>
        <w:tblInd w:w="1620" w:type="dxa"/>
        <w:tblCellMar>
          <w:top w:w="0" w:type="dxa"/>
          <w:left w:w="0" w:type="dxa"/>
          <w:bottom w:w="0" w:type="dxa"/>
          <w:right w:w="0" w:type="dxa"/>
        </w:tblCellMar>
      </w:tblPr>
      <w:tr>
        <w:trPr>
          <w:trHeight w:val="192"/>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Nominee</w:t>
            </w:r>
          </w:p>
        </w:tc>
        <w:tc>
          <w:tcPr>
            <w:tcW w:w="1760" w:type="dxa"/>
            <w:vAlign w:val="bottom"/>
            <w:gridSpan w:val="2"/>
          </w:tcPr>
          <w:p>
            <w:pPr>
              <w:ind w:left="720"/>
              <w:spacing w:after="0"/>
              <w:rPr>
                <w:sz w:val="20"/>
                <w:szCs w:val="20"/>
                <w:color w:val="auto"/>
              </w:rPr>
            </w:pPr>
            <w:r>
              <w:rPr>
                <w:rFonts w:ascii="Arial" w:cs="Arial" w:eastAsia="Arial" w:hAnsi="Arial"/>
                <w:sz w:val="14"/>
                <w:szCs w:val="14"/>
                <w:b w:val="1"/>
                <w:bCs w:val="1"/>
                <w:color w:val="auto"/>
              </w:rPr>
              <w:t>For</w:t>
            </w:r>
          </w:p>
        </w:tc>
        <w:tc>
          <w:tcPr>
            <w:tcW w:w="1760" w:type="dxa"/>
            <w:vAlign w:val="bottom"/>
            <w:gridSpan w:val="2"/>
          </w:tcPr>
          <w:p>
            <w:pPr>
              <w:ind w:left="540"/>
              <w:spacing w:after="0"/>
              <w:rPr>
                <w:sz w:val="20"/>
                <w:szCs w:val="20"/>
                <w:color w:val="auto"/>
              </w:rPr>
            </w:pPr>
            <w:r>
              <w:rPr>
                <w:rFonts w:ascii="Arial" w:cs="Arial" w:eastAsia="Arial" w:hAnsi="Arial"/>
                <w:sz w:val="14"/>
                <w:szCs w:val="14"/>
                <w:b w:val="1"/>
                <w:bCs w:val="1"/>
                <w:color w:val="auto"/>
              </w:rPr>
              <w:t>Withheld</w:t>
            </w:r>
          </w:p>
        </w:tc>
        <w:tc>
          <w:tcPr>
            <w:tcW w:w="1640" w:type="dxa"/>
            <w:vAlign w:val="bottom"/>
          </w:tcPr>
          <w:p>
            <w:pPr>
              <w:jc w:val="right"/>
              <w:ind w:right="213"/>
              <w:spacing w:after="0"/>
              <w:rPr>
                <w:sz w:val="20"/>
                <w:szCs w:val="20"/>
                <w:color w:val="auto"/>
              </w:rPr>
            </w:pPr>
            <w:r>
              <w:rPr>
                <w:rFonts w:ascii="Arial" w:cs="Arial" w:eastAsia="Arial" w:hAnsi="Arial"/>
                <w:sz w:val="14"/>
                <w:szCs w:val="14"/>
                <w:b w:val="1"/>
                <w:bCs w:val="1"/>
                <w:color w:val="auto"/>
              </w:rPr>
              <w:t>Broker Non-Vote</w:t>
            </w:r>
          </w:p>
        </w:tc>
      </w:tr>
      <w:tr>
        <w:trPr>
          <w:trHeight w:val="229"/>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5,675,945</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171,281</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756,567</w:t>
            </w: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Richard M. Frank</w:t>
            </w:r>
          </w:p>
        </w:tc>
        <w:tc>
          <w:tcPr>
            <w:tcW w:w="1640" w:type="dxa"/>
            <w:vAlign w:val="bottom"/>
          </w:tcPr>
          <w:p>
            <w:pPr>
              <w:jc w:val="right"/>
              <w:spacing w:after="0"/>
              <w:rPr>
                <w:sz w:val="20"/>
                <w:szCs w:val="20"/>
                <w:color w:val="auto"/>
              </w:rPr>
            </w:pPr>
            <w:r>
              <w:rPr>
                <w:rFonts w:ascii="Arial" w:cs="Arial" w:eastAsia="Arial" w:hAnsi="Arial"/>
                <w:sz w:val="18"/>
                <w:szCs w:val="18"/>
                <w:color w:val="auto"/>
              </w:rPr>
              <w:t>5,539,303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307,923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756,567</w:t>
            </w: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5,566,312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280,914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756,567</w:t>
            </w: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Ellen H. Masterson</w:t>
            </w:r>
          </w:p>
        </w:tc>
        <w:tc>
          <w:tcPr>
            <w:tcW w:w="1640" w:type="dxa"/>
            <w:vAlign w:val="bottom"/>
          </w:tcPr>
          <w:p>
            <w:pPr>
              <w:jc w:val="right"/>
              <w:spacing w:after="0"/>
              <w:rPr>
                <w:sz w:val="20"/>
                <w:szCs w:val="20"/>
                <w:color w:val="auto"/>
              </w:rPr>
            </w:pPr>
            <w:r>
              <w:rPr>
                <w:rFonts w:ascii="Arial" w:cs="Arial" w:eastAsia="Arial" w:hAnsi="Arial"/>
                <w:sz w:val="18"/>
                <w:szCs w:val="18"/>
                <w:color w:val="auto"/>
              </w:rPr>
              <w:t>5,641,947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205,279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756,567</w:t>
            </w: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Geoffrey R. Norman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5,606,017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241,209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756,567</w:t>
            </w: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Raymond E. Wooldridge</w:t>
            </w:r>
          </w:p>
        </w:tc>
        <w:tc>
          <w:tcPr>
            <w:tcW w:w="1640" w:type="dxa"/>
            <w:vAlign w:val="bottom"/>
          </w:tcPr>
          <w:p>
            <w:pPr>
              <w:jc w:val="right"/>
              <w:spacing w:after="0"/>
              <w:rPr>
                <w:sz w:val="20"/>
                <w:szCs w:val="20"/>
                <w:color w:val="auto"/>
              </w:rPr>
            </w:pPr>
            <w:r>
              <w:rPr>
                <w:rFonts w:ascii="Arial" w:cs="Arial" w:eastAsia="Arial" w:hAnsi="Arial"/>
                <w:sz w:val="18"/>
                <w:szCs w:val="18"/>
                <w:color w:val="auto"/>
              </w:rPr>
              <w:t>5,332,849</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514,377</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756,567</w:t>
            </w:r>
          </w:p>
        </w:tc>
      </w:tr>
    </w:tbl>
    <w:p>
      <w:pPr>
        <w:spacing w:after="0" w:line="200" w:lineRule="exact"/>
        <w:rPr>
          <w:sz w:val="20"/>
          <w:szCs w:val="20"/>
          <w:color w:val="auto"/>
        </w:rPr>
      </w:pPr>
    </w:p>
    <w:p>
      <w:pPr>
        <w:spacing w:after="0" w:line="230" w:lineRule="exact"/>
        <w:rPr>
          <w:sz w:val="20"/>
          <w:szCs w:val="20"/>
          <w:color w:val="auto"/>
        </w:rPr>
      </w:pPr>
    </w:p>
    <w:p>
      <w:pPr>
        <w:ind w:left="580" w:right="160" w:hanging="329"/>
        <w:spacing w:after="0" w:line="269"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stockholders ratified Deloitte &amp; Touche LLP as the Company’s independent auditors for the year ending December 31, 2021. The voting results for this Proposal 2 were as follows:</w:t>
      </w:r>
    </w:p>
    <w:tbl>
      <w:tblPr>
        <w:tblLayout w:type="fixed"/>
        <w:tblInd w:w="2620" w:type="dxa"/>
        <w:tblCellMar>
          <w:top w:w="0" w:type="dxa"/>
          <w:left w:w="0" w:type="dxa"/>
          <w:bottom w:w="0" w:type="dxa"/>
          <w:right w:w="0" w:type="dxa"/>
        </w:tblCellMar>
      </w:tblPr>
      <w:tr>
        <w:trPr>
          <w:trHeight w:val="192"/>
        </w:trPr>
        <w:tc>
          <w:tcPr>
            <w:tcW w:w="2040" w:type="dxa"/>
            <w:vAlign w:val="bottom"/>
            <w:gridSpan w:val="2"/>
          </w:tcPr>
          <w:p>
            <w:pPr>
              <w:ind w:left="840"/>
              <w:spacing w:after="0"/>
              <w:rPr>
                <w:sz w:val="20"/>
                <w:szCs w:val="20"/>
                <w:color w:val="auto"/>
              </w:rPr>
            </w:pPr>
            <w:r>
              <w:rPr>
                <w:rFonts w:ascii="Arial" w:cs="Arial" w:eastAsia="Arial" w:hAnsi="Arial"/>
                <w:sz w:val="14"/>
                <w:szCs w:val="14"/>
                <w:b w:val="1"/>
                <w:bCs w:val="1"/>
                <w:color w:val="auto"/>
              </w:rPr>
              <w:t>For</w:t>
            </w:r>
          </w:p>
        </w:tc>
        <w:tc>
          <w:tcPr>
            <w:tcW w:w="2040" w:type="dxa"/>
            <w:vAlign w:val="bottom"/>
            <w:gridSpan w:val="2"/>
          </w:tcPr>
          <w:p>
            <w:pPr>
              <w:ind w:left="720"/>
              <w:spacing w:after="0"/>
              <w:rPr>
                <w:sz w:val="20"/>
                <w:szCs w:val="20"/>
                <w:color w:val="auto"/>
              </w:rPr>
            </w:pPr>
            <w:r>
              <w:rPr>
                <w:rFonts w:ascii="Arial" w:cs="Arial" w:eastAsia="Arial" w:hAnsi="Arial"/>
                <w:sz w:val="14"/>
                <w:szCs w:val="14"/>
                <w:b w:val="1"/>
                <w:bCs w:val="1"/>
                <w:color w:val="auto"/>
              </w:rPr>
              <w:t>Against</w:t>
            </w:r>
          </w:p>
        </w:tc>
        <w:tc>
          <w:tcPr>
            <w:tcW w:w="1940" w:type="dxa"/>
            <w:vAlign w:val="bottom"/>
          </w:tcPr>
          <w:p>
            <w:pPr>
              <w:jc w:val="right"/>
              <w:ind w:right="659"/>
              <w:spacing w:after="0"/>
              <w:rPr>
                <w:sz w:val="20"/>
                <w:szCs w:val="20"/>
                <w:color w:val="auto"/>
              </w:rPr>
            </w:pPr>
            <w:r>
              <w:rPr>
                <w:rFonts w:ascii="Arial" w:cs="Arial" w:eastAsia="Arial" w:hAnsi="Arial"/>
                <w:sz w:val="14"/>
                <w:szCs w:val="14"/>
                <w:b w:val="1"/>
                <w:bCs w:val="1"/>
                <w:color w:val="auto"/>
              </w:rPr>
              <w:t>Abstain</w:t>
            </w:r>
          </w:p>
        </w:tc>
      </w:tr>
      <w:tr>
        <w:trPr>
          <w:trHeight w:val="229"/>
        </w:trPr>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6,399,188</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204,163</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bl>
    <w:p>
      <w:pPr>
        <w:spacing w:after="0" w:line="200" w:lineRule="exact"/>
        <w:rPr>
          <w:sz w:val="20"/>
          <w:szCs w:val="20"/>
          <w:color w:val="auto"/>
        </w:rPr>
      </w:pPr>
    </w:p>
    <w:p>
      <w:pPr>
        <w:spacing w:after="0" w:line="231" w:lineRule="exact"/>
        <w:rPr>
          <w:sz w:val="20"/>
          <w:szCs w:val="20"/>
          <w:color w:val="auto"/>
        </w:rPr>
      </w:pPr>
    </w:p>
    <w:p>
      <w:pPr>
        <w:ind w:left="580" w:right="60" w:hanging="329"/>
        <w:spacing w:after="0" w:line="269" w:lineRule="auto"/>
        <w:tabs>
          <w:tab w:leader="none" w:pos="57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stockholders approved the Eighth Amended and Restated Westwood Holdings Group, Inc. Stock Incentive Plan. The voting results for this Proposal 3 were as follows:</w:t>
      </w:r>
    </w:p>
    <w:tbl>
      <w:tblPr>
        <w:tblLayout w:type="fixed"/>
        <w:tblInd w:w="2080" w:type="dxa"/>
        <w:tblCellMar>
          <w:top w:w="0" w:type="dxa"/>
          <w:left w:w="0" w:type="dxa"/>
          <w:bottom w:w="0" w:type="dxa"/>
          <w:right w:w="0" w:type="dxa"/>
        </w:tblCellMar>
      </w:tblPr>
      <w:tr>
        <w:trPr>
          <w:trHeight w:val="192"/>
        </w:trPr>
        <w:tc>
          <w:tcPr>
            <w:tcW w:w="2020" w:type="dxa"/>
            <w:vAlign w:val="bottom"/>
            <w:gridSpan w:val="2"/>
          </w:tcPr>
          <w:p>
            <w:pPr>
              <w:ind w:left="820"/>
              <w:spacing w:after="0"/>
              <w:rPr>
                <w:sz w:val="20"/>
                <w:szCs w:val="20"/>
                <w:color w:val="auto"/>
              </w:rPr>
            </w:pPr>
            <w:r>
              <w:rPr>
                <w:rFonts w:ascii="Arial" w:cs="Arial" w:eastAsia="Arial" w:hAnsi="Arial"/>
                <w:sz w:val="14"/>
                <w:szCs w:val="14"/>
                <w:b w:val="1"/>
                <w:bCs w:val="1"/>
                <w:color w:val="auto"/>
              </w:rPr>
              <w:t>For</w:t>
            </w:r>
          </w:p>
        </w:tc>
        <w:tc>
          <w:tcPr>
            <w:tcW w:w="1720" w:type="dxa"/>
            <w:vAlign w:val="bottom"/>
            <w:gridSpan w:val="2"/>
          </w:tcPr>
          <w:p>
            <w:pPr>
              <w:ind w:left="560"/>
              <w:spacing w:after="0"/>
              <w:rPr>
                <w:sz w:val="20"/>
                <w:szCs w:val="20"/>
                <w:color w:val="auto"/>
              </w:rPr>
            </w:pPr>
            <w:r>
              <w:rPr>
                <w:rFonts w:ascii="Arial" w:cs="Arial" w:eastAsia="Arial" w:hAnsi="Arial"/>
                <w:sz w:val="14"/>
                <w:szCs w:val="14"/>
                <w:b w:val="1"/>
                <w:bCs w:val="1"/>
                <w:color w:val="auto"/>
              </w:rPr>
              <w:t>Against</w:t>
            </w:r>
          </w:p>
        </w:tc>
        <w:tc>
          <w:tcPr>
            <w:tcW w:w="174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20" w:type="dxa"/>
            <w:vAlign w:val="bottom"/>
          </w:tcPr>
          <w:p>
            <w:pPr>
              <w:jc w:val="right"/>
              <w:ind w:right="199"/>
              <w:spacing w:after="0"/>
              <w:rPr>
                <w:sz w:val="20"/>
                <w:szCs w:val="20"/>
                <w:color w:val="auto"/>
              </w:rPr>
            </w:pPr>
            <w:r>
              <w:rPr>
                <w:rFonts w:ascii="Arial" w:cs="Arial" w:eastAsia="Arial" w:hAnsi="Arial"/>
                <w:sz w:val="14"/>
                <w:szCs w:val="14"/>
                <w:b w:val="1"/>
                <w:bCs w:val="1"/>
                <w:color w:val="auto"/>
              </w:rPr>
              <w:t>Broker Non-Vote</w:t>
            </w:r>
          </w:p>
        </w:tc>
      </w:tr>
      <w:tr>
        <w:trPr>
          <w:trHeight w:val="229"/>
        </w:trPr>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5,152,947</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691,786</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756,567</w:t>
            </w:r>
          </w:p>
        </w:tc>
      </w:tr>
    </w:tbl>
    <w:p>
      <w:pPr>
        <w:spacing w:after="0" w:line="202" w:lineRule="exact"/>
        <w:rPr>
          <w:sz w:val="20"/>
          <w:szCs w:val="20"/>
          <w:color w:val="auto"/>
        </w:rPr>
      </w:pPr>
    </w:p>
    <w:p>
      <w:pPr>
        <w:ind w:left="580" w:right="140" w:hanging="329"/>
        <w:spacing w:after="0" w:line="284" w:lineRule="auto"/>
        <w:tabs>
          <w:tab w:leader="none" w:pos="51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Proposal 4</w:t>
      </w:r>
      <w:r>
        <w:rPr>
          <w:rFonts w:ascii="Arial" w:cs="Arial" w:eastAsia="Arial" w:hAnsi="Arial"/>
          <w:sz w:val="17"/>
          <w:szCs w:val="17"/>
          <w:color w:val="auto"/>
        </w:rPr>
        <w:t>: The vote on the stockholders approval, on a non-binding, advisory basis, of the Company's executive compensation, did not receive the necessary votes required by law and was therefore not approved. The voting results for this Proposal 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2020" w:type="dxa"/>
            <w:vAlign w:val="bottom"/>
            <w:gridSpan w:val="2"/>
          </w:tcPr>
          <w:p>
            <w:pPr>
              <w:ind w:left="820"/>
              <w:spacing w:after="0"/>
              <w:rPr>
                <w:sz w:val="20"/>
                <w:szCs w:val="20"/>
                <w:color w:val="auto"/>
              </w:rPr>
            </w:pPr>
            <w:r>
              <w:rPr>
                <w:rFonts w:ascii="Arial" w:cs="Arial" w:eastAsia="Arial" w:hAnsi="Arial"/>
                <w:sz w:val="14"/>
                <w:szCs w:val="14"/>
                <w:b w:val="1"/>
                <w:bCs w:val="1"/>
                <w:color w:val="auto"/>
              </w:rPr>
              <w:t>For</w:t>
            </w:r>
          </w:p>
        </w:tc>
        <w:tc>
          <w:tcPr>
            <w:tcW w:w="1720" w:type="dxa"/>
            <w:vAlign w:val="bottom"/>
            <w:gridSpan w:val="2"/>
          </w:tcPr>
          <w:p>
            <w:pPr>
              <w:ind w:left="560"/>
              <w:spacing w:after="0"/>
              <w:rPr>
                <w:sz w:val="20"/>
                <w:szCs w:val="20"/>
                <w:color w:val="auto"/>
              </w:rPr>
            </w:pPr>
            <w:r>
              <w:rPr>
                <w:rFonts w:ascii="Arial" w:cs="Arial" w:eastAsia="Arial" w:hAnsi="Arial"/>
                <w:sz w:val="14"/>
                <w:szCs w:val="14"/>
                <w:b w:val="1"/>
                <w:bCs w:val="1"/>
                <w:color w:val="auto"/>
              </w:rPr>
              <w:t>Against</w:t>
            </w:r>
          </w:p>
        </w:tc>
        <w:tc>
          <w:tcPr>
            <w:tcW w:w="174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3680" w:type="dxa"/>
            <w:vAlign w:val="bottom"/>
            <w:gridSpan w:val="2"/>
          </w:tcPr>
          <w:p>
            <w:pPr>
              <w:ind w:left="280"/>
              <w:spacing w:after="0"/>
              <w:rPr>
                <w:sz w:val="20"/>
                <w:szCs w:val="20"/>
                <w:color w:val="auto"/>
              </w:rPr>
            </w:pPr>
            <w:r>
              <w:rPr>
                <w:rFonts w:ascii="Arial" w:cs="Arial" w:eastAsia="Arial" w:hAnsi="Arial"/>
                <w:sz w:val="14"/>
                <w:szCs w:val="14"/>
                <w:b w:val="1"/>
                <w:bCs w:val="1"/>
                <w:color w:val="auto"/>
              </w:rPr>
              <w:t>Broker Non-Vote</w:t>
            </w:r>
          </w:p>
        </w:tc>
      </w:tr>
      <w:tr>
        <w:trPr>
          <w:trHeight w:val="229"/>
        </w:trPr>
        <w:tc>
          <w:tcPr>
            <w:tcW w:w="2080" w:type="dxa"/>
            <w:vAlign w:val="bottom"/>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5,692,031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148,990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756,567</w:t>
            </w:r>
          </w:p>
        </w:tc>
        <w:tc>
          <w:tcPr>
            <w:tcW w:w="2060" w:type="dxa"/>
            <w:vAlign w:val="bottom"/>
          </w:tcPr>
          <w:p>
            <w:pPr>
              <w:spacing w:after="0"/>
              <w:rPr>
                <w:sz w:val="19"/>
                <w:szCs w:val="19"/>
                <w:color w:val="auto"/>
              </w:rPr>
            </w:pPr>
          </w:p>
        </w:tc>
      </w:tr>
      <w:tr>
        <w:trPr>
          <w:trHeight w:val="1964"/>
        </w:trPr>
        <w:tc>
          <w:tcPr>
            <w:tcW w:w="20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WESTWOOD HOLDINGS GROUP, INC.</w:t>
            </w:r>
          </w:p>
        </w:tc>
      </w:tr>
      <w:tr>
        <w:trPr>
          <w:trHeight w:val="499"/>
        </w:trPr>
        <w:tc>
          <w:tcPr>
            <w:tcW w:w="6680" w:type="dxa"/>
            <w:vAlign w:val="bottom"/>
          </w:tcPr>
          <w:p>
            <w:pPr>
              <w:spacing w:after="0"/>
              <w:rPr>
                <w:sz w:val="20"/>
                <w:szCs w:val="20"/>
                <w:color w:val="auto"/>
              </w:rPr>
            </w:pPr>
            <w:r>
              <w:rPr>
                <w:rFonts w:ascii="Arial" w:cs="Arial" w:eastAsia="Arial" w:hAnsi="Arial"/>
                <w:sz w:val="18"/>
                <w:szCs w:val="18"/>
                <w:color w:val="auto"/>
              </w:rPr>
              <w:t>Date: April 29, 2021</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O. Casey</w:t>
            </w:r>
          </w:p>
        </w:tc>
      </w:tr>
      <w:tr>
        <w:trPr>
          <w:trHeight w:val="222"/>
        </w:trPr>
        <w:tc>
          <w:tcPr>
            <w:tcW w:w="66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30"/>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0760"/>
      </w:cols>
      <w:pgMar w:left="320" w:top="89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2021-04-29T17:04:41Z</dcterms:created>
  <dcterms:modified xsi:type="dcterms:W3CDTF">2021-04-29T17:04:41Z</dcterms:modified>
</cp:coreProperties>
</file>