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20" w:after="283"/>
        <w:jc w:val="center"/>
        <w:rPr/>
      </w:pPr>
      <w:r>
        <w:rPr>
          <w:color w:val="000000"/>
        </w:rPr>
        <w:t> </w:t>
      </w: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8, 2025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WESTWOOD HOLDINGS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left"/>
        <w:rPr/>
      </w:pPr>
      <w:r>
        <w:rPr/>
      </w:r>
    </w:p>
    <w:tbl>
      <w:tblPr>
        <w:tblW w:w="8092" w:type="dxa"/>
        <w:jc w:val="left"/>
        <w:tblInd w:w="0" w:type="dxa"/>
        <w:tblLayout w:type="fixed"/>
        <w:tblCellMar>
          <w:top w:w="28" w:type="dxa"/>
          <w:left w:w="28" w:type="dxa"/>
          <w:bottom w:w="28" w:type="dxa"/>
          <w:right w:w="28" w:type="dxa"/>
        </w:tblCellMar>
      </w:tblPr>
      <w:tblGrid>
        <w:gridCol w:w="812"/>
        <w:gridCol w:w="715"/>
        <w:gridCol w:w="722"/>
        <w:gridCol w:w="109"/>
        <w:gridCol w:w="109"/>
        <w:gridCol w:w="109"/>
        <w:gridCol w:w="762"/>
        <w:gridCol w:w="762"/>
        <w:gridCol w:w="770"/>
        <w:gridCol w:w="109"/>
        <w:gridCol w:w="109"/>
        <w:gridCol w:w="109"/>
        <w:gridCol w:w="845"/>
        <w:gridCol w:w="845"/>
        <w:gridCol w:w="1205"/>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001-31234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75-2969997</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 Crescent Court, Suite 1200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Dallas, Texas 75201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 756-6900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968" w:type="dxa"/>
        <w:jc w:val="center"/>
        <w:tblInd w:w="0" w:type="dxa"/>
        <w:tblLayout w:type="fixed"/>
        <w:tblCellMar>
          <w:top w:w="28" w:type="dxa"/>
          <w:left w:w="28" w:type="dxa"/>
          <w:bottom w:w="28" w:type="dxa"/>
          <w:right w:w="28" w:type="dxa"/>
        </w:tblCellMar>
      </w:tblPr>
      <w:tblGrid>
        <w:gridCol w:w="1252"/>
        <w:gridCol w:w="1103"/>
        <w:gridCol w:w="1109"/>
        <w:gridCol w:w="539"/>
        <w:gridCol w:w="539"/>
        <w:gridCol w:w="541"/>
        <w:gridCol w:w="1138"/>
        <w:gridCol w:w="1138"/>
        <w:gridCol w:w="1609"/>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WHG</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12" w:before="180" w:after="283"/>
        <w:jc w:val="left"/>
        <w:rPr/>
      </w:pPr>
      <w:r>
        <w:rPr>
          <w:rFonts w:ascii="Times New Roman;serif" w:hAnsi="Times New Roman;serif"/>
          <w:b w:val="false"/>
          <w:color w:val="000000"/>
          <w:sz w:val="18"/>
        </w:rPr>
        <w:t>Emerging growth company  </w:t>
      </w:r>
      <w:r>
        <w:rPr>
          <w:color w:val="000000"/>
        </w:rPr>
        <w:t>☐</w:t>
      </w:r>
    </w:p>
    <w:p>
      <w:pPr>
        <w:pStyle w:val="TextBody"/>
        <w:bidi w:val="0"/>
        <w:spacing w:lineRule="auto" w:line="312" w:before="180" w:after="283"/>
        <w:jc w:val="left"/>
        <w:rPr/>
      </w:pPr>
      <w:r>
        <w:rPr>
          <w:rFonts w:ascii="Times New Roman;serif" w:hAnsi="Times New Roman;serif"/>
          <w:b w:val="false"/>
          <w:color w:val="000000"/>
          <w:sz w:val="20"/>
        </w:rPr>
        <w:t>If an emerging growth company, indicate by checkmark if the registrant has elected not to use the extended transition period for complying with any new revised financial accounting standards provided pursuant to Section 13(a) of the Exchange Act.</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August 8, 2025, Westwood Holdings Group, Inc. (“Westwood”) announced its financial results for the quarter ended June 30, 2025, a copy of which is furnished with this Current Report on Form 8-K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ITEM 7.01:    REGULATION FD DISCLOSURE</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Westwood announced today that its Board of Directors has approved the payment of a quarterly cash dividend of $0.15 per common share, payable on October 1, 2025 to stockholders of record on September 2,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 The following exhibit is furnished with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Number                    Description</w:t>
      </w:r>
    </w:p>
    <w:p>
      <w:pPr>
        <w:pStyle w:val="TextBody"/>
        <w:bidi w:val="0"/>
        <w:spacing w:before="0" w:after="0"/>
        <w:jc w:val="left"/>
        <w:rPr/>
      </w:pPr>
      <w:r>
        <w:rPr/>
      </w:r>
    </w:p>
    <w:p>
      <w:pPr>
        <w:pStyle w:val="TextBody"/>
        <w:bidi w:val="0"/>
        <w:spacing w:lineRule="auto" w:line="288" w:before="0" w:after="0"/>
        <w:ind w:left="0" w:right="0" w:hanging="1440"/>
        <w:jc w:val="left"/>
        <w:rPr/>
      </w:pPr>
      <w:r>
        <w:rPr>
          <w:rFonts w:ascii="Times New Roman;serif" w:hAnsi="Times New Roman;serif"/>
          <w:b w:val="false"/>
          <w:color w:val="000000"/>
          <w:sz w:val="22"/>
        </w:rPr>
        <w:t>99.1    </w:t>
      </w:r>
      <w:hyperlink w:anchor="a2q25earningsrelease.htm">
        <w:r>
          <w:rPr>
            <w:rStyle w:val="InternetLink"/>
          </w:rPr>
          <w:t xml:space="preserve">Press Release Dated </w:t>
        </w:r>
      </w:hyperlink>
      <w:hyperlink w:anchor="a2q25earningsrelease.htm">
        <w:r>
          <w:rPr>
            <w:rStyle w:val="InternetLink"/>
          </w:rPr>
          <w:t>August 8</w:t>
        </w:r>
      </w:hyperlink>
      <w:hyperlink w:anchor="a2q25earningsrelease.htm">
        <w:r>
          <w:rPr>
            <w:rStyle w:val="InternetLink"/>
          </w:rPr>
          <w:t>, 2025</w:t>
        </w:r>
      </w:hyperlink>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104    Cover Page Interactive Date File (embedded within the Inline XBRL document)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August 8,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840" w:type="dxa"/>
        <w:jc w:val="right"/>
        <w:tblInd w:w="0" w:type="dxa"/>
        <w:tblLayout w:type="fixed"/>
        <w:tblCellMar>
          <w:top w:w="28" w:type="dxa"/>
          <w:left w:w="28" w:type="dxa"/>
          <w:bottom w:w="28" w:type="dxa"/>
          <w:right w:w="28" w:type="dxa"/>
        </w:tblCellMar>
      </w:tblPr>
      <w:tblGrid>
        <w:gridCol w:w="151"/>
        <w:gridCol w:w="134"/>
        <w:gridCol w:w="135"/>
        <w:gridCol w:w="1001"/>
        <w:gridCol w:w="1001"/>
        <w:gridCol w:w="1418"/>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WESTWOOD HOLDINGS GROUP,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524125"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24125" cy="8001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Westwood Holdings Group, Inc. Reports Second Quarter 2025 Results</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Assets Under Management totaled $18.3 billion, up from $16.8 billion last year</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WHG joined the Russell 2000 Index in our 24th Year as a Public Company</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Enhanced Midstream Energy ETF (MDST) surpassed $100 million with a 10.2% p.a. Distribution Rate</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WEBs Investments, in Partnership with WHG, Expands Defined Volatility℠ ETF Suite with Launch of 11 Sector Funds</w:t>
      </w:r>
    </w:p>
    <w:p>
      <w:pPr>
        <w:pStyle w:val="TextBody"/>
        <w:bidi w:val="0"/>
        <w:spacing w:before="0" w:after="0"/>
        <w:jc w:val="center"/>
        <w:rPr/>
      </w:pPr>
      <w:r>
        <w:rPr/>
      </w:r>
    </w:p>
    <w:p>
      <w:pPr>
        <w:pStyle w:val="TextBody"/>
        <w:bidi w:val="0"/>
        <w:spacing w:lineRule="auto" w:line="288" w:before="120" w:after="220"/>
        <w:jc w:val="left"/>
        <w:rPr>
          <w:rFonts w:ascii="Times New Roman;serif" w:hAnsi="Times New Roman;serif"/>
          <w:b w:val="false"/>
          <w:color w:val="000000"/>
          <w:sz w:val="24"/>
        </w:rPr>
      </w:pPr>
      <w:r>
        <w:rPr>
          <w:rFonts w:ascii="Times New Roman;serif" w:hAnsi="Times New Roman;serif"/>
          <w:b w:val="false"/>
          <w:color w:val="000000"/>
          <w:sz w:val="24"/>
        </w:rPr>
        <w:t>Dallas, TX, August 8, 2025 – Westwood Holdings Group, Inc. (NYSE: WHG) today reported second quarter 2025 earnings. Significant items included: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Multiple investment strategies beating their primary benchmarks included SmallCap Value, AllCap Value, MidCap Value, Dividend Select, Alternative Income, Credit Opportunities, Enhanced Midstream Income and Enhanced Energy Income.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AllCap Value posted a top third ranking vs. peers and MidCap Value, Credit Opportunities and Enhanced Midstream Income each posted top quarter rankings.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Quarterly revenues totaled $23.1 million vs. $23.3 million in the first quarter and $22.7 million a year ago. Income of $1.0 million compared with $0.5 million in the first quarter and a $2.2 million loss in 2024's second quarter.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Non-GAAP Economic Earnings of $2.8 million compared with $2.5 million in the first quarter and $0.5 million of Economic Loss in the second quarter of 2024.</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Westwood held $33.1 million in cash and liquid investments as of June 30, 2025, up $6.0 million from the first quarter. Stockholders' equity totaled $120.3 million and we carry no debt.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4"/>
        </w:rPr>
        <w:t>We declared a cash dividend of $0.15 per common share, payable on October 1, 2025 to stockholders of record on September 2, 2025.</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Brian Casey, Westwood’s CEO, commented, "We delivered exceptional progress this quarter with assets under management growing to $18.3 billion from $16.8 billion a year ago while achieving several significant milestones including our addition to the Russell 2000 index, thereby enhancing our institutional accessibility, and our MDST ETF surpassed the $100 million threshold. These achievements, combined with our strongest intermediary sales quarter since 2022 and strong performance by numerous investment strategies, demonstrate continued momentum across our diversified platform."</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Firmwide assets under management and advisement totaled $18.3 billion, consisting of assets under management ("AUM") of $17.3 billion and assets under advisement ("AUA") of $0.9 billion.</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While revenues were flat compared to the first quarter, second quarter net income of $1.0 million compared to the first quarter's net income of $0.5 million on lower operating expenses, primarily related to the timing of compensation and benefits payments. Diluted earnings per share ("EPS") of $0.12 compared to $0.05 for the first quarter. Non-GAAP Economic Earnings of $2.8 million, or $0.32 per share, compared with $2.5 million, or $0.29 per share, in the first quarter.</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Second quarter net income of $1.0 million compared favorably to last year's second quarter loss of $2.2 million due to changes in the fair value of contingent consideration in 2024 offset by an increase in income tax expense in 2025. Diluted EPS of $0.12 compared with a loss of $0.27 per share for 2024's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second quarter. Non-GAAP Economic Earnings were $2.8 million, or $0.32 per share, compared with an Economic Loss of $0.5 million, or $0.06 per share, in the second quarter of 2024.</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Economic Earnings (Loss) and Economic EPS are non-GAAP performance measures and are explained and reconciled with the most comparable GAAP numbers in the attached tables.</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Westwood will host a conference call to discuss second quarter 2025 results and other business matters at 4:30 p.m. Eastern time today. To join the conference call, please register here:</w:t>
      </w:r>
    </w:p>
    <w:p>
      <w:pPr>
        <w:pStyle w:val="TextBody"/>
        <w:bidi w:val="0"/>
        <w:spacing w:lineRule="auto" w:line="288" w:before="12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https://register-conf.media-server.com/register/BI2402c4ea40024a52ba458853a1c8a596</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After registering, you will be provided with a dial-in number containing a personalized PIN.</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To view the webcast, please register here:</w:t>
      </w:r>
    </w:p>
    <w:p>
      <w:pPr>
        <w:pStyle w:val="TextBody"/>
        <w:bidi w:val="0"/>
        <w:spacing w:lineRule="auto" w:line="288" w:before="12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https://edge.media-server.com/mmc/p/9epbqgq5</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Once registered, an email will be sent with important details for this conference call, as well as a unique Registrant ID.</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ABOUT WESTWOOD HOLDINGS GROUP</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Westwood Holdings Group (NYSE: WHG) is a boutique asset management firm that offers a diverse array of actively-managed and outcome-oriented investment strategies, along with white-glove trust and wealth services, to institutional, intermediary and private wealth clients. For over 40 years, Westwood’s client-first approach has fostered strong, long-term client relationships due to our unwavering commitment to delivering bespoke investment strategies with a vehicle-optimized approach, exceptional counsel and unparalleled client service. Our flexible and agile approach to investing allows us to adapt to constantly changing markets, while continually seeking innovative strategies that meet our investors’ short and long-term needs. </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Our team at Westwood comes from varied backgrounds and life experiences, which reflects our origins as a woman-founded firm. We are committed to incorporating diverse insights and knowledge into all aspects of our services and solutions. Our culture and approach to our business reflect our core values - integrity, reliability, responsiveness, adaptability, teamwork and driving results - and underpin our constant pursuit of excellence.</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For more information on Westwood, please visit westwoodgroup.com.</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AUM and AUA;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competition in the investment management industry; our ability to avoid termination of client agreements and the related investment redemptions; the significant concentration of our revenues in a small number of customers; we have made and may continue to make business combinations as a part of our business strategy, which may present certain risks and uncertainties; our relationships with investment consulting firms;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2024 and its quarterly reports on Form 10-Q for the quarters ended March 31, 2025 and June 30, 2025.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 #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SOURCE: Westwood Holdings Group,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(WHG-G)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Westwood Holdings Group,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Terry Forbes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 and Treasurer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(214) 756-6900</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7"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WESTWOOD HOLDINGS GROUP, INC. AND SUBSIDIARIES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 thousands, except per share and share amounts)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(unaudited)</w:t>
      </w:r>
    </w:p>
    <w:tbl>
      <w:tblPr>
        <w:tblW w:w="8842" w:type="dxa"/>
        <w:jc w:val="left"/>
        <w:tblInd w:w="0" w:type="dxa"/>
        <w:tblLayout w:type="fixed"/>
        <w:tblCellMar>
          <w:top w:w="28" w:type="dxa"/>
          <w:left w:w="28" w:type="dxa"/>
          <w:bottom w:w="28" w:type="dxa"/>
          <w:right w:w="28" w:type="dxa"/>
        </w:tblCellMar>
      </w:tblPr>
      <w:tblGrid>
        <w:gridCol w:w="1643"/>
        <w:gridCol w:w="1447"/>
        <w:gridCol w:w="1455"/>
        <w:gridCol w:w="238"/>
        <w:gridCol w:w="785"/>
        <w:gridCol w:w="132"/>
        <w:gridCol w:w="109"/>
        <w:gridCol w:w="109"/>
        <w:gridCol w:w="109"/>
        <w:gridCol w:w="266"/>
        <w:gridCol w:w="876"/>
        <w:gridCol w:w="147"/>
        <w:gridCol w:w="109"/>
        <w:gridCol w:w="109"/>
        <w:gridCol w:w="109"/>
        <w:gridCol w:w="236"/>
        <w:gridCol w:w="778"/>
        <w:gridCol w:w="185"/>
      </w:tblGrid>
      <w:tr>
        <w:trPr/>
        <w:tc>
          <w:tcPr>
            <w:tcW w:w="16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Advisory fees: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Asset-based</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fees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22,688 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Westwood mutual funds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Information technology</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change in fair value of contingent consideration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(loss)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(4,178)</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(3,406)</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(2,213)</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income (loss) attributable to noncontrolling interest</w:t>
            </w:r>
          </w:p>
        </w:tc>
        <w:tc>
          <w:tcPr>
            <w:tcW w:w="10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attributable to Westwood Holdings Group, Inc.</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(loss) per Westwood Holdings Group, Inc. share:</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outstanding:</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8,404,859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8,253,912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8,218,596</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8,813,606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8,781,743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8,218,596</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Earnings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EPS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8"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WESTWOOD HOLDINGS GROUP, INC. AND SUBSIDIARIES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 thousands, except per share and share amounts)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(unaudited)</w:t>
      </w:r>
    </w:p>
    <w:tbl>
      <w:tblPr>
        <w:tblW w:w="6881" w:type="dxa"/>
        <w:jc w:val="left"/>
        <w:tblInd w:w="0" w:type="dxa"/>
        <w:tblLayout w:type="fixed"/>
        <w:tblCellMar>
          <w:top w:w="28" w:type="dxa"/>
          <w:left w:w="28" w:type="dxa"/>
          <w:bottom w:w="28" w:type="dxa"/>
          <w:right w:w="28" w:type="dxa"/>
        </w:tblCellMar>
      </w:tblPr>
      <w:tblGrid>
        <w:gridCol w:w="1518"/>
        <w:gridCol w:w="1337"/>
        <w:gridCol w:w="1345"/>
        <w:gridCol w:w="238"/>
        <w:gridCol w:w="785"/>
        <w:gridCol w:w="132"/>
        <w:gridCol w:w="109"/>
        <w:gridCol w:w="109"/>
        <w:gridCol w:w="109"/>
        <w:gridCol w:w="236"/>
        <w:gridCol w:w="778"/>
        <w:gridCol w:w="185"/>
      </w:tblGrid>
      <w:tr>
        <w:trPr/>
        <w:tc>
          <w:tcPr>
            <w:tcW w:w="151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Advisory fees: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Asset-based</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fees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46,372 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45,420 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Westwood mutual funds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Information technology</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change in fair value of contingent consideration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45,572 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46,657 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 (loss)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income (loss) attributable to noncontrolling interest</w:t>
            </w:r>
          </w:p>
        </w:tc>
        <w:tc>
          <w:tcPr>
            <w:tcW w:w="10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attributable to Westwood Holdings Group, Inc.</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share:</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outstanding:</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8,329,803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8,158,812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8,798,092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8,438,431</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Earnings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EPS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1460"/>
                <wp:effectExtent l="0" t="0" r="0" b="0"/>
                <wp:wrapNone/>
                <wp:docPr id="9"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WESTWOOD HOLDINGS GROUP, INC. AND SUBSIDIARIES</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 thousands, except par value and share amounts)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874"/>
        <w:gridCol w:w="2208"/>
        <w:gridCol w:w="2221"/>
        <w:gridCol w:w="207"/>
        <w:gridCol w:w="780"/>
        <w:gridCol w:w="115"/>
        <w:gridCol w:w="109"/>
        <w:gridCol w:w="109"/>
        <w:gridCol w:w="109"/>
        <w:gridCol w:w="247"/>
        <w:gridCol w:w="930"/>
        <w:gridCol w:w="137"/>
        <w:gridCol w:w="159"/>
      </w:tblGrid>
      <w:tr>
        <w:trPr/>
        <w:tc>
          <w:tcPr>
            <w:tcW w:w="2874"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at fair value (amortized cost of $18,316 and $26,788)</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under measurement alternative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$8,716 and $8,424</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146,279 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149,989 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 payable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authorized 25,000,000 shares, issued 12,391,817 and 12,137,080, respectively and outstanding 9,408,125 and 9,234,575, respectively</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 – 2,983,692 and 2,902,505, respectively</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(88,277)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Westwood Holdings Group, Inc. stockholders’ equity</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120,306 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120,291 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Noncontrolling interest in consolidated subsidiary</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122,358 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122,332 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146,279 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149,989 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1460"/>
                <wp:effectExtent l="0" t="0" r="0" b="0"/>
                <wp:wrapNone/>
                <wp:docPr id="10"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WESTWOOD HOLDINGS GROUP, INC. AND SUBSIDIARIES</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(unaudited)</w:t>
      </w:r>
    </w:p>
    <w:tbl>
      <w:tblPr>
        <w:tblW w:w="8516" w:type="dxa"/>
        <w:jc w:val="center"/>
        <w:tblInd w:w="0" w:type="dxa"/>
        <w:tblLayout w:type="fixed"/>
        <w:tblCellMar>
          <w:top w:w="28" w:type="dxa"/>
          <w:left w:w="28" w:type="dxa"/>
          <w:bottom w:w="28" w:type="dxa"/>
          <w:right w:w="28" w:type="dxa"/>
        </w:tblCellMar>
      </w:tblPr>
      <w:tblGrid>
        <w:gridCol w:w="2258"/>
        <w:gridCol w:w="1986"/>
        <w:gridCol w:w="1996"/>
        <w:gridCol w:w="196"/>
        <w:gridCol w:w="647"/>
        <w:gridCol w:w="109"/>
        <w:gridCol w:w="109"/>
        <w:gridCol w:w="109"/>
        <w:gridCol w:w="109"/>
        <w:gridCol w:w="196"/>
        <w:gridCol w:w="647"/>
        <w:gridCol w:w="154"/>
      </w:tblGrid>
      <w:tr>
        <w:trPr/>
        <w:tc>
          <w:tcPr>
            <w:tcW w:w="2258"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(appreciation) depreciation on investments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change of contingent consideration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 payable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of trading securities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internally developed software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returned for payment of taxes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 in acquisition</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w:t>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dividends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obtained in exchange for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1460"/>
                <wp:effectExtent l="0" t="0" r="0" b="0"/>
                <wp:wrapNone/>
                <wp:docPr id="11" name="Frame1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WESTWOOD HOLDINGS GROUP, INC. AND SUBSIDIARIES</w:t>
      </w:r>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Reconciliation of Income (Loss) Attributable to Westwood Holdings Group, Inc. to Economic Earnings (Loss)</w:t>
      </w:r>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(in thousands, except per share and share amounts)</w:t>
      </w:r>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(unaudited)</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As supplemental information, we are providing non-GAAP performance measures that we refer to as Economic earnings (loss) and Economic earnings (loss) per share. We provide these measures in addition to, not as a substitute for, income attributable to Westwood Holdings Group, Inc. and earnings per share, which are reported on a GAAP basis. Our management and Board of Directors review Economic earnings (loss) and Economic earnings (loss) per share to evaluate our ongoing performance, allocate resources, and review our dividend policy. We believe that these non-GAAP performance measures, while not substitutes for GAAP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We define Economic earnings (loss) as income (loss)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(loss)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(loss) because gains and losses on changes in the fair value of contingent consideration are considered regular following an acquisition. In addition, we do not adjust Economic earnings (loss) for tax deductions related to restricted stock expense or amortization of intangible assets. Economic earnings per share represents Economic earnings (loss) divided by diluted weighted average shares outstanding.</w:t>
      </w:r>
    </w:p>
    <w:p>
      <w:pPr>
        <w:pStyle w:val="TextBody"/>
        <w:bidi w:val="0"/>
        <w:spacing w:before="12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1460"/>
                <wp:effectExtent l="0" t="0" r="0" b="0"/>
                <wp:wrapNone/>
                <wp:docPr id="12" name="Frame1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tbl>
      <w:tblPr>
        <w:tblW w:w="8754" w:type="dxa"/>
        <w:jc w:val="center"/>
        <w:tblInd w:w="0" w:type="dxa"/>
        <w:tblLayout w:type="fixed"/>
        <w:tblCellMar>
          <w:top w:w="28" w:type="dxa"/>
          <w:left w:w="28" w:type="dxa"/>
          <w:bottom w:w="28" w:type="dxa"/>
          <w:right w:w="28" w:type="dxa"/>
        </w:tblCellMar>
      </w:tblPr>
      <w:tblGrid>
        <w:gridCol w:w="1644"/>
        <w:gridCol w:w="1445"/>
        <w:gridCol w:w="1456"/>
        <w:gridCol w:w="256"/>
        <w:gridCol w:w="727"/>
        <w:gridCol w:w="142"/>
        <w:gridCol w:w="109"/>
        <w:gridCol w:w="109"/>
        <w:gridCol w:w="109"/>
        <w:gridCol w:w="287"/>
        <w:gridCol w:w="814"/>
        <w:gridCol w:w="159"/>
        <w:gridCol w:w="109"/>
        <w:gridCol w:w="109"/>
        <w:gridCol w:w="109"/>
        <w:gridCol w:w="233"/>
        <w:gridCol w:w="754"/>
        <w:gridCol w:w="183"/>
      </w:tblGrid>
      <w:tr>
        <w:trPr/>
        <w:tc>
          <w:tcPr>
            <w:tcW w:w="1644"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(loss) attributable to Westwood Holdings Group, Inc.</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(2,243)</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amortization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benefit from goodwill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impact of adjustments to GAAP income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Economic earnings (loss)</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Earnings (loss) per share</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0.12 </w:t>
            </w:r>
          </w:p>
        </w:tc>
        <w:tc>
          <w:tcPr>
            <w:tcW w:w="1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0.05 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(0.27)</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amortization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benefit from goodwill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impact of adjustments to GAAP income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Economic earnings (loss) per share</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weighted average shares</w:t>
            </w:r>
          </w:p>
        </w:tc>
        <w:tc>
          <w:tcPr>
            <w:tcW w:w="112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8,813,606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8,781,743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8,218,596</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attributable to Westwood Holdings Group, Inc.</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amortization</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benefit from goodwill amortization</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impact of adjustments to GAAP income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Economic earnings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5,306 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Earnings per share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0.17 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0.35</w:t>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amortization</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0.24</w:t>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benefit from goodwill amortization</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0.03</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impact of adjustments to GAAP income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Economic earnings per share</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weighted average shares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8,798,092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8,438,431</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51460"/>
                <wp:effectExtent l="0" t="0" r="0" b="0"/>
                <wp:wrapNone/>
                <wp:docPr id="13" name="Frame1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3318</Words>
  <Characters>19232</Characters>
  <CharactersWithSpaces>22212</CharactersWithSpaces>
  <Paragraphs>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