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 w:lineRule="exact"/>
        <w:rPr>
          <w:sz w:val="24"/>
          <w:szCs w:val="24"/>
          <w:color w:val="auto"/>
        </w:rPr>
      </w:pPr>
    </w:p>
    <w:p>
      <w:pPr>
        <w:ind w:left="40"/>
        <w:spacing w:after="0" w:line="161" w:lineRule="exact"/>
        <w:tabs>
          <w:tab w:leader="none" w:pos="258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31" w:lineRule="exact"/>
        <w:rPr>
          <w:sz w:val="24"/>
          <w:szCs w:val="24"/>
          <w:color w:val="auto"/>
        </w:rPr>
      </w:pPr>
    </w:p>
    <w:p>
      <w:pPr>
        <w:ind w:left="520" w:hanging="45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49" w:lineRule="exact"/>
        <w:rPr>
          <w:rFonts w:ascii="MS PGothic" w:cs="MS PGothic" w:eastAsia="MS PGothic" w:hAnsi="MS PGothic"/>
          <w:sz w:val="14"/>
          <w:szCs w:val="14"/>
          <w:color w:val="auto"/>
        </w:rPr>
      </w:pPr>
    </w:p>
    <w:p>
      <w:pPr>
        <w:ind w:left="520" w:hanging="45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63" w:lineRule="exact"/>
        <w:rPr>
          <w:sz w:val="24"/>
          <w:szCs w:val="24"/>
          <w:color w:val="auto"/>
        </w:rPr>
      </w:pPr>
    </w:p>
    <w:p>
      <w:pPr>
        <w:ind w:left="520" w:hanging="453"/>
        <w:spacing w:after="0"/>
        <w:tabs>
          <w:tab w:leader="none" w:pos="52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Proxy Statement</w:t>
      </w:r>
    </w:p>
    <w:p>
      <w:pPr>
        <w:spacing w:after="0" w:line="156" w:lineRule="exact"/>
        <w:rPr>
          <w:sz w:val="24"/>
          <w:szCs w:val="24"/>
          <w:color w:val="auto"/>
        </w:rPr>
      </w:pPr>
    </w:p>
    <w:p>
      <w:pPr>
        <w:ind w:left="520" w:hanging="453"/>
        <w:spacing w:after="0"/>
        <w:tabs>
          <w:tab w:leader="none" w:pos="520" w:val="left"/>
        </w:tabs>
        <w:numPr>
          <w:ilvl w:val="0"/>
          <w:numId w:val="3"/>
        </w:numPr>
        <w:rPr>
          <w:rFonts w:ascii="MS PGothic" w:cs="MS PGothic" w:eastAsia="MS PGothic" w:hAnsi="MS PGothic"/>
          <w:sz w:val="29"/>
          <w:szCs w:val="29"/>
          <w:color w:val="auto"/>
          <w:vertAlign w:val="superscript"/>
        </w:rPr>
      </w:pPr>
      <w:r>
        <w:rPr>
          <w:rFonts w:ascii="Times New Roman" w:cs="Times New Roman" w:eastAsia="Times New Roman" w:hAnsi="Times New Roman"/>
          <w:sz w:val="14"/>
          <w:szCs w:val="14"/>
          <w:color w:val="auto"/>
        </w:rPr>
        <w:t>Definitive Additional Materials</w:t>
      </w:r>
    </w:p>
    <w:p>
      <w:pPr>
        <w:spacing w:after="0" w:line="141" w:lineRule="exact"/>
        <w:rPr>
          <w:rFonts w:ascii="MS PGothic" w:cs="MS PGothic" w:eastAsia="MS PGothic" w:hAnsi="MS PGothic"/>
          <w:sz w:val="29"/>
          <w:szCs w:val="29"/>
          <w:color w:val="auto"/>
          <w:vertAlign w:val="superscript"/>
        </w:rPr>
      </w:pPr>
    </w:p>
    <w:p>
      <w:pPr>
        <w:ind w:left="520" w:hanging="453"/>
        <w:spacing w:after="0"/>
        <w:tabs>
          <w:tab w:leader="none" w:pos="520" w:val="left"/>
        </w:tabs>
        <w:numPr>
          <w:ilvl w:val="0"/>
          <w:numId w:val="3"/>
        </w:numPr>
        <w:rPr>
          <w:rFonts w:ascii="MS PGothic" w:cs="MS PGothic" w:eastAsia="MS PGothic" w:hAnsi="MS PGothic"/>
          <w:sz w:val="29"/>
          <w:szCs w:val="29"/>
          <w:color w:val="auto"/>
          <w:vertAlign w:val="superscript"/>
        </w:rPr>
      </w:pPr>
      <w:r>
        <w:rPr>
          <w:rFonts w:ascii="Times New Roman" w:cs="Times New Roman" w:eastAsia="Times New Roman" w:hAnsi="Times New Roman"/>
          <w:sz w:val="14"/>
          <w:szCs w:val="14"/>
          <w:color w:val="auto"/>
        </w:rPr>
        <w:t>Soliciting Material Pursuant to §240.14a-12</w:t>
      </w:r>
    </w:p>
    <w:p>
      <w:pPr>
        <w:spacing w:after="0" w:line="2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17"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163"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260" w:lineRule="exact"/>
        <w:rPr>
          <w:rFonts w:ascii="MS PGothic" w:cs="MS PGothic" w:eastAsia="MS PGothic" w:hAnsi="MS PGothic"/>
          <w:sz w:val="14"/>
          <w:szCs w:val="14"/>
          <w:color w:val="auto"/>
        </w:rPr>
      </w:pPr>
    </w:p>
    <w:p>
      <w:pPr>
        <w:ind w:left="940" w:hanging="455"/>
        <w:spacing w:after="0"/>
        <w:tabs>
          <w:tab w:leader="none" w:pos="940" w:val="left"/>
        </w:tabs>
        <w:numPr>
          <w:ilvl w:val="2"/>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Title of each class of securities to which transaction applies:</w:t>
      </w:r>
    </w:p>
    <w:p>
      <w:pPr>
        <w:spacing w:after="0" w:line="200" w:lineRule="exact"/>
        <w:rPr>
          <w:rFonts w:ascii="Times New Roman" w:cs="Times New Roman" w:eastAsia="Times New Roman" w:hAnsi="Times New Roman"/>
          <w:sz w:val="29"/>
          <w:szCs w:val="29"/>
          <w:color w:val="auto"/>
          <w:vertAlign w:val="superscript"/>
        </w:rPr>
      </w:pPr>
    </w:p>
    <w:p>
      <w:pPr>
        <w:spacing w:after="0" w:line="340" w:lineRule="exact"/>
        <w:rPr>
          <w:rFonts w:ascii="Times New Roman" w:cs="Times New Roman" w:eastAsia="Times New Roman" w:hAnsi="Times New Roman"/>
          <w:sz w:val="29"/>
          <w:szCs w:val="29"/>
          <w:color w:val="auto"/>
          <w:vertAlign w:val="superscript"/>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200" w:lineRule="exact"/>
        <w:rPr>
          <w:rFonts w:ascii="Times New Roman" w:cs="Times New Roman" w:eastAsia="Times New Roman" w:hAnsi="Times New Roman"/>
          <w:sz w:val="14"/>
          <w:szCs w:val="14"/>
          <w:color w:val="auto"/>
        </w:rPr>
      </w:pPr>
    </w:p>
    <w:p>
      <w:pPr>
        <w:spacing w:after="0" w:line="354" w:lineRule="exact"/>
        <w:rPr>
          <w:rFonts w:ascii="Times New Roman" w:cs="Times New Roman" w:eastAsia="Times New Roman" w:hAnsi="Times New Roman"/>
          <w:sz w:val="14"/>
          <w:szCs w:val="14"/>
          <w:color w:val="auto"/>
        </w:rPr>
      </w:pPr>
    </w:p>
    <w:p>
      <w:pPr>
        <w:ind w:left="940" w:right="120" w:hanging="468"/>
        <w:spacing w:after="0" w:line="241" w:lineRule="auto"/>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4"/>
          <w:szCs w:val="14"/>
          <w:color w:val="auto"/>
        </w:rPr>
      </w:pPr>
    </w:p>
    <w:p>
      <w:pPr>
        <w:spacing w:after="0" w:line="313"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200" w:lineRule="exact"/>
        <w:rPr>
          <w:rFonts w:ascii="Times New Roman" w:cs="Times New Roman" w:eastAsia="Times New Roman" w:hAnsi="Times New Roman"/>
          <w:sz w:val="14"/>
          <w:szCs w:val="14"/>
          <w:color w:val="auto"/>
        </w:rPr>
      </w:pPr>
    </w:p>
    <w:p>
      <w:pPr>
        <w:spacing w:after="0" w:line="341" w:lineRule="exact"/>
        <w:rPr>
          <w:rFonts w:ascii="Times New Roman" w:cs="Times New Roman" w:eastAsia="Times New Roman" w:hAnsi="Times New Roman"/>
          <w:sz w:val="14"/>
          <w:szCs w:val="14"/>
          <w:color w:val="auto"/>
        </w:rPr>
      </w:pPr>
    </w:p>
    <w:p>
      <w:pPr>
        <w:ind w:left="960" w:hanging="488"/>
        <w:spacing w:after="0"/>
        <w:tabs>
          <w:tab w:leader="none" w:pos="9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392"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49" w:lineRule="exact"/>
        <w:rPr>
          <w:rFonts w:ascii="MS PGothic" w:cs="MS PGothic" w:eastAsia="MS PGothic" w:hAnsi="MS PGothic"/>
          <w:sz w:val="14"/>
          <w:szCs w:val="14"/>
          <w:color w:val="auto"/>
        </w:rPr>
      </w:pPr>
    </w:p>
    <w:p>
      <w:pPr>
        <w:ind w:left="480" w:hanging="454"/>
        <w:spacing w:after="0" w:line="261" w:lineRule="auto"/>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4"/>
          <w:szCs w:val="14"/>
          <w:color w:val="auto"/>
        </w:rPr>
      </w:pPr>
    </w:p>
    <w:p>
      <w:pPr>
        <w:ind w:left="980" w:hanging="468"/>
        <w:spacing w:after="0"/>
        <w:tabs>
          <w:tab w:leader="none" w:pos="980" w:val="left"/>
        </w:tabs>
        <w:numPr>
          <w:ilvl w:val="3"/>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92"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79"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379" w:lineRule="exact"/>
        <w:rPr>
          <w:rFonts w:ascii="Times New Roman" w:cs="Times New Roman" w:eastAsia="Times New Roman" w:hAnsi="Times New Roman"/>
          <w:sz w:val="14"/>
          <w:szCs w:val="14"/>
          <w:color w:val="auto"/>
        </w:rPr>
      </w:pPr>
    </w:p>
    <w:p>
      <w:pPr>
        <w:ind w:left="940" w:hanging="468"/>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-3584575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-3138805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-2607310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-2153285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-1707515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7"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5754370</wp:posOffset>
            </wp:positionH>
            <wp:positionV relativeFrom="page">
              <wp:posOffset>448945</wp:posOffset>
            </wp:positionV>
            <wp:extent cx="158559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88315"/>
                    </a:xfrm>
                    <a:prstGeom prst="rect">
                      <a:avLst/>
                    </a:prstGeom>
                    <a:noFill/>
                  </pic:spPr>
                </pic:pic>
              </a:graphicData>
            </a:graphic>
          </wp:anchor>
        </w:drawing>
      </w:r>
    </w:p>
    <w:p>
      <w:pPr>
        <w:spacing w:after="0" w:line="25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March 12,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0" w:lineRule="exact"/>
        <w:rPr>
          <w:sz w:val="20"/>
          <w:szCs w:val="20"/>
          <w:color w:val="auto"/>
        </w:rPr>
      </w:pPr>
    </w:p>
    <w:p>
      <w:pPr>
        <w:spacing w:after="0" w:line="26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You are cordially invited to virtually attend the 2025 Annual Meeting of Stockholders of Westwood Holdings Group, Inc., which will be held online on Wednesday, April 30, 2025, at 10:00 a.m., Central Time, at </w:t>
      </w:r>
      <w:r>
        <w:rPr>
          <w:rFonts w:ascii="Times New Roman" w:cs="Times New Roman" w:eastAsia="Times New Roman" w:hAnsi="Times New Roman"/>
          <w:sz w:val="18"/>
          <w:szCs w:val="18"/>
          <w:i w:val="1"/>
          <w:iCs w:val="1"/>
          <w:u w:val="single" w:color="auto"/>
          <w:color w:val="auto"/>
        </w:rPr>
        <w:t>www.virtualshareholdermeeting.com/WHG2025</w:t>
      </w:r>
      <w:r>
        <w:rPr>
          <w:rFonts w:ascii="Times New Roman" w:cs="Times New Roman" w:eastAsia="Times New Roman" w:hAnsi="Times New Roman"/>
          <w:sz w:val="18"/>
          <w:szCs w:val="18"/>
          <w:color w:val="auto"/>
        </w:rPr>
        <w:t>. The official Notice of Annual Meeting together with a proxy statement and proxy card are enclosed. Please give this information your careful attention.</w:t>
      </w:r>
    </w:p>
    <w:p>
      <w:pPr>
        <w:spacing w:after="0" w:line="6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Westwood invites all stockholders to attend the virtual meeting. Whether or not you expect to virtually attend the Annual Meeting, we urge you to complete, sign, date and promptly return the accompanying proxy card in the enclosed postage-paid envelope or vote by Internet by following the instructions in the Notice of Annual Meeting to ensure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137160</wp:posOffset>
            </wp:positionV>
            <wp:extent cx="122555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55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Brian O. Casey</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2"/>
          <w:szCs w:val="12"/>
          <w:color w:val="auto"/>
        </w:rPr>
        <w:t>WESTWOOD MANAGEMENT • WESTWOOD TRUST • WESTWOOD ADVISORS</w:t>
      </w:r>
    </w:p>
    <w:p>
      <w:pPr>
        <w:spacing w:after="0" w:line="2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2"/>
          <w:szCs w:val="12"/>
          <w:color w:val="auto"/>
        </w:rPr>
        <w:t>200 CRESCENT COURT, SUITE 1200 • DALLAS, TEXAS 75201 • T.214.756.6900 • F.214.756.6979 • westwoodgroup.com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Page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018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NOTICE OF ANNUAL MEETING OF STOCKHOLDERS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u w:val="single" w:color="auto"/>
                <w:color w:val="0000FF"/>
              </w:rPr>
              <w:t>i</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w w:val="99"/>
              </w:rPr>
              <w:t>NOTICE OF INTERNET AVAILABILITY OF PROXY MATERIALS</w:t>
            </w:r>
          </w:p>
        </w:tc>
        <w:tc>
          <w:tcPr>
            <w:tcW w:w="556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9"/>
              </w:rPr>
              <w:t>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GENERAL QUESTIONS AND ANSWERS</w:t>
            </w:r>
          </w:p>
        </w:tc>
        <w:tc>
          <w:tcPr>
            <w:tcW w:w="6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4"/>
              </w:rPr>
              <w:t>The Annual Meeting</w:t>
            </w:r>
          </w:p>
        </w:tc>
        <w:tc>
          <w:tcPr>
            <w:tcW w:w="8440" w:type="dxa"/>
            <w:vAlign w:val="bottom"/>
            <w:gridSpan w:val="27"/>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4"/>
              </w:rPr>
              <w:t>Procedures for Voting</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color w:val="0000FF"/>
                <w:w w:val="96"/>
              </w:rPr>
              <w:t>Our Current Stock Ownership</w:t>
            </w: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11"/>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Borders>
              <w:bottom w:val="single" w:sz="8" w:color="0000FF"/>
            </w:tcBorders>
            <w:gridSpan w:val="11"/>
            <w:vMerge w:val="continue"/>
          </w:tcPr>
          <w:p>
            <w:pPr>
              <w:spacing w:after="0"/>
              <w:rPr>
                <w:sz w:val="24"/>
                <w:szCs w:val="24"/>
                <w:color w:val="auto"/>
              </w:rPr>
            </w:pPr>
          </w:p>
        </w:tc>
        <w:tc>
          <w:tcPr>
            <w:tcW w:w="6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w w:val="94"/>
              </w:rPr>
              <w:t>Other Information</w:t>
            </w: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Borders>
              <w:bottom w:val="single" w:sz="8" w:color="0000FF"/>
            </w:tcBorders>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20" w:type="dxa"/>
            <w:vAlign w:val="bottom"/>
            <w:gridSpan w:val="21"/>
            <w:vMerge w:val="restart"/>
          </w:tcPr>
          <w:p>
            <w:pPr>
              <w:spacing w:after="0"/>
              <w:rPr>
                <w:sz w:val="20"/>
                <w:szCs w:val="20"/>
                <w:color w:val="auto"/>
              </w:rPr>
            </w:pPr>
            <w:r>
              <w:rPr>
                <w:rFonts w:ascii="Times New Roman" w:cs="Times New Roman" w:eastAsia="Times New Roman" w:hAnsi="Times New Roman"/>
                <w:sz w:val="16"/>
                <w:szCs w:val="16"/>
                <w:color w:val="0000FF"/>
              </w:rPr>
              <w:t>PROPOSAL 1: ELECTION OF DIRECTORS</w:t>
            </w:r>
          </w:p>
        </w:tc>
        <w:tc>
          <w:tcPr>
            <w:tcW w:w="16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20" w:type="dxa"/>
            <w:vAlign w:val="bottom"/>
            <w:gridSpan w:val="21"/>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3020" w:type="dxa"/>
            <w:vAlign w:val="bottom"/>
            <w:tcBorders>
              <w:bottom w:val="single" w:sz="8" w:color="0000FF"/>
            </w:tcBorders>
            <w:gridSpan w:val="21"/>
            <w:vMerge w:val="continue"/>
          </w:tcPr>
          <w:p>
            <w:pPr>
              <w:spacing w:after="0"/>
              <w:rPr>
                <w:sz w:val="24"/>
                <w:szCs w:val="24"/>
                <w:color w:val="auto"/>
              </w:rPr>
            </w:pPr>
          </w:p>
        </w:tc>
        <w:tc>
          <w:tcPr>
            <w:tcW w:w="160" w:type="dxa"/>
            <w:vAlign w:val="bottom"/>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Nominees</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7"/>
              </w:rPr>
              <w:t>Corporate Governance Information</w:t>
            </w:r>
          </w:p>
        </w:tc>
        <w:tc>
          <w:tcPr>
            <w:tcW w:w="12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w w:val="94"/>
              </w:rPr>
              <w:t>Director Compensation</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8"/>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Borders>
              <w:bottom w:val="single" w:sz="8" w:color="0000FF"/>
            </w:tcBorders>
            <w:gridSpan w:val="8"/>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74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EXECUTIVE OFFICERS</w:t>
            </w:r>
          </w:p>
        </w:tc>
        <w:tc>
          <w:tcPr>
            <w:tcW w:w="140" w:type="dxa"/>
            <w:vAlign w:val="bottom"/>
            <w:gridSpan w:val="2"/>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40" w:type="dxa"/>
            <w:vAlign w:val="bottom"/>
            <w:gridSpan w:val="7"/>
            <w:vMerge w:val="continu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80" w:type="dxa"/>
            <w:vAlign w:val="bottom"/>
          </w:tcPr>
          <w:p>
            <w:pPr>
              <w:spacing w:after="0"/>
              <w:rPr>
                <w:sz w:val="24"/>
                <w:szCs w:val="24"/>
                <w:color w:val="auto"/>
              </w:rPr>
            </w:pPr>
          </w:p>
        </w:tc>
        <w:tc>
          <w:tcPr>
            <w:tcW w:w="1740" w:type="dxa"/>
            <w:vAlign w:val="bottom"/>
            <w:tcBorders>
              <w:bottom w:val="single" w:sz="8" w:color="0000FF"/>
            </w:tcBorders>
            <w:gridSpan w:val="7"/>
            <w:vMerge w:val="continue"/>
          </w:tcPr>
          <w:p>
            <w:pPr>
              <w:spacing w:after="0"/>
              <w:rPr>
                <w:sz w:val="24"/>
                <w:szCs w:val="24"/>
                <w:color w:val="auto"/>
              </w:rPr>
            </w:pPr>
          </w:p>
        </w:tc>
        <w:tc>
          <w:tcPr>
            <w:tcW w:w="4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20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1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0" w:type="dxa"/>
            <w:vAlign w:val="bottom"/>
            <w:gridSpan w:val="11"/>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2200" w:type="dxa"/>
            <w:vAlign w:val="bottom"/>
            <w:tcBorders>
              <w:bottom w:val="single" w:sz="8" w:color="0000FF"/>
            </w:tcBorders>
            <w:gridSpan w:val="11"/>
            <w:vMerge w:val="continue"/>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color w:val="0000FF"/>
                <w:w w:val="96"/>
              </w:rPr>
              <w:t>Summary Compensation Table</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Borders>
              <w:bottom w:val="single" w:sz="8" w:color="0000FF"/>
            </w:tcBorders>
            <w:gridSpan w:val="1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840" w:type="dxa"/>
            <w:vAlign w:val="bottom"/>
            <w:gridSpan w:val="2"/>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16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0000FF"/>
                <w:w w:val="96"/>
              </w:rPr>
              <w:t>Outstanding Equity Awards at Year-End</w:t>
            </w:r>
          </w:p>
        </w:tc>
        <w:tc>
          <w:tcPr>
            <w:tcW w:w="2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19"/>
            <w:vMerge w:val="continu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Borders>
              <w:bottom w:val="single" w:sz="8" w:color="0000FF"/>
            </w:tcBorders>
            <w:gridSpan w:val="19"/>
            <w:vMerge w:val="continue"/>
          </w:tcPr>
          <w:p>
            <w:pPr>
              <w:spacing w:after="0"/>
              <w:rPr>
                <w:sz w:val="24"/>
                <w:szCs w:val="24"/>
                <w:color w:val="auto"/>
              </w:rPr>
            </w:pPr>
          </w:p>
        </w:tc>
        <w:tc>
          <w:tcPr>
            <w:tcW w:w="200" w:type="dxa"/>
            <w:vAlign w:val="bottom"/>
            <w:gridSpan w:val="2"/>
          </w:tcPr>
          <w:p>
            <w:pPr>
              <w:spacing w:after="0"/>
              <w:rPr>
                <w:sz w:val="24"/>
                <w:szCs w:val="24"/>
                <w:color w:val="auto"/>
              </w:rPr>
            </w:pPr>
          </w:p>
        </w:tc>
        <w:tc>
          <w:tcPr>
            <w:tcW w:w="8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7180" w:type="dxa"/>
            <w:vAlign w:val="bottom"/>
            <w:gridSpan w:val="30"/>
            <w:vMerge w:val="restart"/>
          </w:tcPr>
          <w:p>
            <w:pPr>
              <w:spacing w:after="0"/>
              <w:rPr>
                <w:sz w:val="20"/>
                <w:szCs w:val="20"/>
                <w:color w:val="auto"/>
              </w:rPr>
            </w:pPr>
            <w:r>
              <w:rPr>
                <w:rFonts w:ascii="Times New Roman" w:cs="Times New Roman" w:eastAsia="Times New Roman" w:hAnsi="Times New Roman"/>
                <w:sz w:val="16"/>
                <w:szCs w:val="16"/>
                <w:color w:val="0000FF"/>
              </w:rPr>
              <w:t>PROPOSAL 2: RATIFICATION OF APPOINTMENT OF BDO USA, P.C. AS INDEPENDENT AUDITORS</w:t>
            </w: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80" w:type="dxa"/>
            <w:vAlign w:val="bottom"/>
            <w:gridSpan w:val="30"/>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7180" w:type="dxa"/>
            <w:vAlign w:val="bottom"/>
            <w:tcBorders>
              <w:bottom w:val="single" w:sz="8" w:color="0000FF"/>
            </w:tcBorders>
            <w:gridSpan w:val="30"/>
            <w:vMerge w:val="continue"/>
          </w:tcPr>
          <w:p>
            <w:pPr>
              <w:spacing w:after="0"/>
              <w:rPr>
                <w:sz w:val="24"/>
                <w:szCs w:val="24"/>
                <w:color w:val="auto"/>
              </w:rPr>
            </w:pPr>
          </w:p>
        </w:tc>
        <w:tc>
          <w:tcPr>
            <w:tcW w:w="10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29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gridSpan w:val="25"/>
            <w:vMerge w:val="restart"/>
          </w:tcPr>
          <w:p>
            <w:pPr>
              <w:spacing w:after="0"/>
              <w:rPr>
                <w:sz w:val="20"/>
                <w:szCs w:val="20"/>
                <w:color w:val="auto"/>
              </w:rPr>
            </w:pPr>
            <w:r>
              <w:rPr>
                <w:rFonts w:ascii="Times New Roman" w:cs="Times New Roman" w:eastAsia="Times New Roman" w:hAnsi="Times New Roman"/>
                <w:sz w:val="16"/>
                <w:szCs w:val="16"/>
                <w:color w:val="0000FF"/>
                <w:w w:val="99"/>
              </w:rPr>
              <w:t>Fees Billed by Independent Registered Public Accounting Firms</w:t>
            </w: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tcBorders>
              <w:bottom w:val="single" w:sz="8" w:color="0000FF"/>
            </w:tcBorders>
            <w:gridSpan w:val="25"/>
            <w:vMerge w:val="continue"/>
          </w:tcPr>
          <w:p>
            <w:pPr>
              <w:spacing w:after="0"/>
              <w:rPr>
                <w:sz w:val="24"/>
                <w:szCs w:val="24"/>
                <w:color w:val="auto"/>
              </w:rPr>
            </w:pPr>
          </w:p>
        </w:tc>
        <w:tc>
          <w:tcPr>
            <w:tcW w:w="5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140" w:type="dxa"/>
            <w:vAlign w:val="bottom"/>
            <w:gridSpan w:val="2"/>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29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15"/>
            <w:vMerge w:val="restart"/>
          </w:tcPr>
          <w:p>
            <w:pPr>
              <w:spacing w:after="0"/>
              <w:rPr>
                <w:sz w:val="20"/>
                <w:szCs w:val="20"/>
                <w:color w:val="auto"/>
              </w:rPr>
            </w:pPr>
            <w:r>
              <w:rPr>
                <w:rFonts w:ascii="Times New Roman" w:cs="Times New Roman" w:eastAsia="Times New Roman" w:hAnsi="Times New Roman"/>
                <w:sz w:val="16"/>
                <w:szCs w:val="16"/>
                <w:color w:val="0000FF"/>
                <w:w w:val="97"/>
              </w:rPr>
              <w:t>Vote Sought and Recommendation</w:t>
            </w:r>
          </w:p>
        </w:tc>
        <w:tc>
          <w:tcPr>
            <w:tcW w:w="1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15"/>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Borders>
              <w:bottom w:val="single" w:sz="8" w:color="0000FF"/>
            </w:tcBorders>
            <w:gridSpan w:val="15"/>
            <w:vMerge w:val="continue"/>
          </w:tcPr>
          <w:p>
            <w:pPr>
              <w:spacing w:after="0"/>
              <w:rPr>
                <w:sz w:val="24"/>
                <w:szCs w:val="24"/>
                <w:color w:val="auto"/>
              </w:rPr>
            </w:pPr>
          </w:p>
        </w:tc>
        <w:tc>
          <w:tcPr>
            <w:tcW w:w="140" w:type="dxa"/>
            <w:vAlign w:val="bottom"/>
            <w:gridSpan w:val="2"/>
          </w:tcPr>
          <w:p>
            <w:pPr>
              <w:spacing w:after="0"/>
              <w:rPr>
                <w:sz w:val="24"/>
                <w:szCs w:val="24"/>
                <w:color w:val="auto"/>
              </w:rPr>
            </w:pPr>
          </w:p>
        </w:tc>
        <w:tc>
          <w:tcPr>
            <w:tcW w:w="400" w:type="dxa"/>
            <w:vAlign w:val="bottom"/>
            <w:gridSpan w:val="4"/>
          </w:tcPr>
          <w:p>
            <w:pPr>
              <w:spacing w:after="0"/>
              <w:rPr>
                <w:sz w:val="24"/>
                <w:szCs w:val="24"/>
                <w:color w:val="auto"/>
              </w:rPr>
            </w:pPr>
          </w:p>
        </w:tc>
        <w:tc>
          <w:tcPr>
            <w:tcW w:w="8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29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9660" w:type="dxa"/>
            <w:vAlign w:val="bottom"/>
            <w:gridSpan w:val="33"/>
            <w:vMerge w:val="restart"/>
          </w:tcPr>
          <w:p>
            <w:pPr>
              <w:spacing w:after="0"/>
              <w:rPr>
                <w:sz w:val="20"/>
                <w:szCs w:val="20"/>
                <w:color w:val="auto"/>
              </w:rPr>
            </w:pPr>
            <w:r>
              <w:rPr>
                <w:rFonts w:ascii="Times New Roman" w:cs="Times New Roman" w:eastAsia="Times New Roman" w:hAnsi="Times New Roman"/>
                <w:sz w:val="16"/>
                <w:szCs w:val="16"/>
                <w:color w:val="0000FF"/>
              </w:rPr>
              <w:t>PROPOSAL 3: TO APPROVE THE ELEVENTH AMENDED AND RESTATED WESTWOOD HOLDINGS GROUP, INC. STOCK INCENTIVE</w:t>
            </w:r>
          </w:p>
        </w:tc>
        <w:tc>
          <w:tcPr>
            <w:tcW w:w="520" w:type="dxa"/>
            <w:vAlign w:val="bottom"/>
            <w:vMerge w:val="restart"/>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6"/>
        </w:trPr>
        <w:tc>
          <w:tcPr>
            <w:tcW w:w="180" w:type="dxa"/>
            <w:vAlign w:val="bottom"/>
          </w:tcPr>
          <w:p>
            <w:pPr>
              <w:spacing w:after="0"/>
              <w:rPr>
                <w:sz w:val="24"/>
                <w:szCs w:val="24"/>
                <w:color w:val="auto"/>
              </w:rPr>
            </w:pPr>
          </w:p>
        </w:tc>
        <w:tc>
          <w:tcPr>
            <w:tcW w:w="9660" w:type="dxa"/>
            <w:vAlign w:val="bottom"/>
            <w:tcBorders>
              <w:bottom w:val="single" w:sz="8" w:color="0000FF"/>
            </w:tcBorders>
            <w:gridSpan w:val="33"/>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4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5"/>
              </w:rPr>
              <w:t>PLAN</w:t>
            </w:r>
          </w:p>
        </w:tc>
        <w:tc>
          <w:tcPr>
            <w:tcW w:w="8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700" w:type="dxa"/>
            <w:vAlign w:val="bottom"/>
            <w:gridSpan w:val="5"/>
            <w:vMerge w:val="restart"/>
          </w:tcPr>
          <w:p>
            <w:pPr>
              <w:spacing w:after="0"/>
              <w:rPr>
                <w:sz w:val="15"/>
                <w:szCs w:val="15"/>
                <w:color w:val="auto"/>
              </w:rPr>
            </w:pPr>
          </w:p>
        </w:tc>
        <w:tc>
          <w:tcPr>
            <w:tcW w:w="280" w:type="dxa"/>
            <w:vAlign w:val="bottom"/>
            <w:gridSpan w:val="4"/>
            <w:vMerge w:val="restart"/>
          </w:tcPr>
          <w:p>
            <w:pPr>
              <w:spacing w:after="0"/>
              <w:rPr>
                <w:sz w:val="15"/>
                <w:szCs w:val="15"/>
                <w:color w:val="auto"/>
              </w:rPr>
            </w:pPr>
          </w:p>
        </w:tc>
        <w:tc>
          <w:tcPr>
            <w:tcW w:w="180" w:type="dxa"/>
            <w:vAlign w:val="bottom"/>
            <w:vMerge w:val="restart"/>
          </w:tcPr>
          <w:p>
            <w:pPr>
              <w:spacing w:after="0"/>
              <w:rPr>
                <w:sz w:val="15"/>
                <w:szCs w:val="15"/>
                <w:color w:val="auto"/>
              </w:rPr>
            </w:pPr>
          </w:p>
        </w:tc>
        <w:tc>
          <w:tcPr>
            <w:tcW w:w="160" w:type="dxa"/>
            <w:vAlign w:val="bottom"/>
            <w:gridSpan w:val="3"/>
            <w:vMerge w:val="restart"/>
          </w:tcPr>
          <w:p>
            <w:pPr>
              <w:spacing w:after="0"/>
              <w:rPr>
                <w:sz w:val="15"/>
                <w:szCs w:val="15"/>
                <w:color w:val="auto"/>
              </w:rPr>
            </w:pPr>
          </w:p>
        </w:tc>
        <w:tc>
          <w:tcPr>
            <w:tcW w:w="400" w:type="dxa"/>
            <w:vAlign w:val="bottom"/>
            <w:gridSpan w:val="4"/>
            <w:vMerge w:val="restart"/>
          </w:tcPr>
          <w:p>
            <w:pPr>
              <w:spacing w:after="0"/>
              <w:rPr>
                <w:sz w:val="15"/>
                <w:szCs w:val="15"/>
                <w:color w:val="auto"/>
              </w:rPr>
            </w:pPr>
          </w:p>
        </w:tc>
        <w:tc>
          <w:tcPr>
            <w:tcW w:w="840" w:type="dxa"/>
            <w:vAlign w:val="bottom"/>
            <w:gridSpan w:val="2"/>
            <w:vMerge w:val="restart"/>
          </w:tcPr>
          <w:p>
            <w:pPr>
              <w:spacing w:after="0"/>
              <w:rPr>
                <w:sz w:val="15"/>
                <w:szCs w:val="15"/>
                <w:color w:val="auto"/>
              </w:rPr>
            </w:pPr>
          </w:p>
        </w:tc>
        <w:tc>
          <w:tcPr>
            <w:tcW w:w="360" w:type="dxa"/>
            <w:vAlign w:val="bottom"/>
            <w:vMerge w:val="restart"/>
          </w:tcPr>
          <w:p>
            <w:pPr>
              <w:spacing w:after="0"/>
              <w:rPr>
                <w:sz w:val="15"/>
                <w:szCs w:val="15"/>
                <w:color w:val="auto"/>
              </w:rPr>
            </w:pPr>
          </w:p>
        </w:tc>
        <w:tc>
          <w:tcPr>
            <w:tcW w:w="740" w:type="dxa"/>
            <w:vAlign w:val="bottom"/>
            <w:gridSpan w:val="3"/>
            <w:vMerge w:val="restart"/>
          </w:tcPr>
          <w:p>
            <w:pPr>
              <w:spacing w:after="0"/>
              <w:rPr>
                <w:sz w:val="15"/>
                <w:szCs w:val="15"/>
                <w:color w:val="auto"/>
              </w:rPr>
            </w:pPr>
          </w:p>
        </w:tc>
        <w:tc>
          <w:tcPr>
            <w:tcW w:w="940" w:type="dxa"/>
            <w:vAlign w:val="bottom"/>
            <w:vMerge w:val="restart"/>
          </w:tcPr>
          <w:p>
            <w:pPr>
              <w:spacing w:after="0"/>
              <w:rPr>
                <w:sz w:val="15"/>
                <w:szCs w:val="15"/>
                <w:color w:val="auto"/>
              </w:rPr>
            </w:pPr>
          </w:p>
        </w:tc>
        <w:tc>
          <w:tcPr>
            <w:tcW w:w="2140" w:type="dxa"/>
            <w:vAlign w:val="bottom"/>
            <w:gridSpan w:val="2"/>
            <w:vMerge w:val="restart"/>
          </w:tcPr>
          <w:p>
            <w:pPr>
              <w:spacing w:after="0"/>
              <w:rPr>
                <w:sz w:val="15"/>
                <w:szCs w:val="15"/>
                <w:color w:val="auto"/>
              </w:rPr>
            </w:pPr>
          </w:p>
        </w:tc>
        <w:tc>
          <w:tcPr>
            <w:tcW w:w="620" w:type="dxa"/>
            <w:vAlign w:val="bottom"/>
            <w:vMerge w:val="restart"/>
          </w:tcPr>
          <w:p>
            <w:pPr>
              <w:spacing w:after="0"/>
              <w:rPr>
                <w:sz w:val="15"/>
                <w:szCs w:val="15"/>
                <w:color w:val="auto"/>
              </w:rPr>
            </w:pPr>
          </w:p>
        </w:tc>
        <w:tc>
          <w:tcPr>
            <w:tcW w:w="1360" w:type="dxa"/>
            <w:vAlign w:val="bottom"/>
            <w:gridSpan w:val="2"/>
            <w:vMerge w:val="restart"/>
          </w:tcPr>
          <w:p>
            <w:pPr>
              <w:spacing w:after="0"/>
              <w:rPr>
                <w:sz w:val="15"/>
                <w:szCs w:val="15"/>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gridSpan w:val="5"/>
            <w:vMerge w:val="continue"/>
          </w:tcPr>
          <w:p>
            <w:pPr>
              <w:spacing w:after="0" w:line="20" w:lineRule="exact"/>
              <w:rPr>
                <w:sz w:val="1"/>
                <w:szCs w:val="1"/>
                <w:color w:val="auto"/>
              </w:rPr>
            </w:pPr>
          </w:p>
        </w:tc>
        <w:tc>
          <w:tcPr>
            <w:tcW w:w="280" w:type="dxa"/>
            <w:vAlign w:val="bottom"/>
            <w:gridSpan w:val="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0" w:type="dxa"/>
            <w:vAlign w:val="bottom"/>
            <w:gridSpan w:val="4"/>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Description of the Eleventh Amended and Restated Plan</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0"/>
              </w:rPr>
              <w:t>Types of Awards</w:t>
            </w:r>
          </w:p>
        </w:tc>
        <w:tc>
          <w:tcPr>
            <w:tcW w:w="700" w:type="dxa"/>
            <w:vAlign w:val="bottom"/>
            <w:gridSpan w:val="5"/>
          </w:tcPr>
          <w:p>
            <w:pPr>
              <w:spacing w:after="0"/>
              <w:rPr>
                <w:sz w:val="24"/>
                <w:szCs w:val="24"/>
                <w:color w:val="auto"/>
              </w:rPr>
            </w:pPr>
          </w:p>
        </w:tc>
        <w:tc>
          <w:tcPr>
            <w:tcW w:w="2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400" w:type="dxa"/>
            <w:vAlign w:val="bottom"/>
            <w:gridSpan w:val="4"/>
          </w:tcPr>
          <w:p>
            <w:pPr>
              <w:spacing w:after="0"/>
              <w:rPr>
                <w:sz w:val="24"/>
                <w:szCs w:val="24"/>
                <w:color w:val="auto"/>
              </w:rPr>
            </w:pPr>
          </w:p>
        </w:tc>
        <w:tc>
          <w:tcPr>
            <w:tcW w:w="840" w:type="dxa"/>
            <w:vAlign w:val="bottom"/>
            <w:gridSpan w:val="2"/>
          </w:tcPr>
          <w:p>
            <w:pPr>
              <w:spacing w:after="0"/>
              <w:rPr>
                <w:sz w:val="24"/>
                <w:szCs w:val="24"/>
                <w:color w:val="auto"/>
              </w:rPr>
            </w:pPr>
          </w:p>
        </w:tc>
        <w:tc>
          <w:tcPr>
            <w:tcW w:w="360" w:type="dxa"/>
            <w:vAlign w:val="bottom"/>
            <w:vMerge w:val="restart"/>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140" w:type="dxa"/>
            <w:vAlign w:val="bottom"/>
            <w:gridSpan w:val="2"/>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gridSpan w:val="23"/>
            <w:vMerge w:val="restart"/>
          </w:tcPr>
          <w:p>
            <w:pPr>
              <w:spacing w:after="0"/>
              <w:rPr>
                <w:sz w:val="20"/>
                <w:szCs w:val="20"/>
                <w:color w:val="auto"/>
              </w:rPr>
            </w:pPr>
            <w:r>
              <w:rPr>
                <w:rFonts w:ascii="Times New Roman" w:cs="Times New Roman" w:eastAsia="Times New Roman" w:hAnsi="Times New Roman"/>
                <w:sz w:val="16"/>
                <w:szCs w:val="16"/>
                <w:color w:val="0000FF"/>
                <w:w w:val="99"/>
              </w:rPr>
              <w:t>Material Federal Income Tax Consequences of the Plan</w:t>
            </w:r>
          </w:p>
        </w:tc>
        <w:tc>
          <w:tcPr>
            <w:tcW w:w="360" w:type="dxa"/>
            <w:vAlign w:val="bottom"/>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gridSpan w:val="2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80" w:type="dxa"/>
            <w:vAlign w:val="bottom"/>
            <w:tcBorders>
              <w:bottom w:val="single" w:sz="8" w:color="0000FF"/>
            </w:tcBorders>
            <w:gridSpan w:val="23"/>
            <w:vMerge w:val="continue"/>
          </w:tcPr>
          <w:p>
            <w:pPr>
              <w:spacing w:after="0"/>
              <w:rPr>
                <w:sz w:val="24"/>
                <w:szCs w:val="24"/>
                <w:color w:val="auto"/>
              </w:rPr>
            </w:pPr>
          </w:p>
        </w:tc>
        <w:tc>
          <w:tcPr>
            <w:tcW w:w="360" w:type="dxa"/>
            <w:vAlign w:val="bottom"/>
            <w:vMerge w:val="restart"/>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140" w:type="dxa"/>
            <w:vAlign w:val="bottom"/>
            <w:gridSpan w:val="2"/>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14"/>
            <w:vMerge w:val="restart"/>
          </w:tcPr>
          <w:p>
            <w:pPr>
              <w:spacing w:after="0"/>
              <w:rPr>
                <w:sz w:val="20"/>
                <w:szCs w:val="20"/>
                <w:color w:val="auto"/>
              </w:rPr>
            </w:pPr>
            <w:r>
              <w:rPr>
                <w:rFonts w:ascii="Times New Roman" w:cs="Times New Roman" w:eastAsia="Times New Roman" w:hAnsi="Times New Roman"/>
                <w:sz w:val="16"/>
                <w:szCs w:val="16"/>
                <w:color w:val="0000FF"/>
                <w:w w:val="96"/>
              </w:rPr>
              <w:t>Vote Sought and Recommendation</w:t>
            </w:r>
          </w:p>
        </w:tc>
        <w:tc>
          <w:tcPr>
            <w:tcW w:w="1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14"/>
            <w:vMerge w:val="continu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Borders>
              <w:bottom w:val="single" w:sz="8" w:color="0000FF"/>
            </w:tcBorders>
            <w:gridSpan w:val="14"/>
            <w:vMerge w:val="continue"/>
          </w:tcPr>
          <w:p>
            <w:pPr>
              <w:spacing w:after="0"/>
              <w:rPr>
                <w:sz w:val="24"/>
                <w:szCs w:val="24"/>
                <w:color w:val="auto"/>
              </w:rPr>
            </w:pPr>
          </w:p>
        </w:tc>
        <w:tc>
          <w:tcPr>
            <w:tcW w:w="160" w:type="dxa"/>
            <w:vAlign w:val="bottom"/>
            <w:gridSpan w:val="3"/>
          </w:tcPr>
          <w:p>
            <w:pPr>
              <w:spacing w:after="0"/>
              <w:rPr>
                <w:sz w:val="24"/>
                <w:szCs w:val="24"/>
                <w:color w:val="auto"/>
              </w:rPr>
            </w:pPr>
          </w:p>
        </w:tc>
        <w:tc>
          <w:tcPr>
            <w:tcW w:w="400" w:type="dxa"/>
            <w:vAlign w:val="bottom"/>
            <w:gridSpan w:val="4"/>
          </w:tcPr>
          <w:p>
            <w:pPr>
              <w:spacing w:after="0"/>
              <w:rPr>
                <w:sz w:val="24"/>
                <w:szCs w:val="24"/>
                <w:color w:val="auto"/>
              </w:rPr>
            </w:pPr>
          </w:p>
        </w:tc>
        <w:tc>
          <w:tcPr>
            <w:tcW w:w="1200" w:type="dxa"/>
            <w:vAlign w:val="bottom"/>
            <w:gridSpan w:val="3"/>
          </w:tcPr>
          <w:p>
            <w:pPr>
              <w:spacing w:after="0"/>
              <w:rPr>
                <w:sz w:val="24"/>
                <w:szCs w:val="24"/>
                <w:color w:val="auto"/>
              </w:rPr>
            </w:pPr>
          </w:p>
        </w:tc>
        <w:tc>
          <w:tcPr>
            <w:tcW w:w="7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620" w:type="dxa"/>
            <w:vAlign w:val="bottom"/>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8200" w:type="dxa"/>
            <w:vAlign w:val="bottom"/>
            <w:gridSpan w:val="31"/>
            <w:vMerge w:val="restart"/>
          </w:tcPr>
          <w:p>
            <w:pPr>
              <w:spacing w:after="0"/>
              <w:rPr>
                <w:sz w:val="20"/>
                <w:szCs w:val="20"/>
                <w:color w:val="auto"/>
              </w:rPr>
            </w:pPr>
            <w:r>
              <w:rPr>
                <w:rFonts w:ascii="Times New Roman" w:cs="Times New Roman" w:eastAsia="Times New Roman" w:hAnsi="Times New Roman"/>
                <w:sz w:val="16"/>
                <w:szCs w:val="16"/>
                <w:color w:val="0000FF"/>
              </w:rPr>
              <w:t>PROPOSAL 4: TO CAST A NON-BINDING, ADVISORY VOTE ON THE COMPANY'S EXECUTIVE COMPENSATION</w:t>
            </w:r>
          </w:p>
        </w:tc>
        <w:tc>
          <w:tcPr>
            <w:tcW w:w="6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0" w:type="dxa"/>
            <w:vAlign w:val="bottom"/>
            <w:gridSpan w:val="31"/>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8200" w:type="dxa"/>
            <w:vAlign w:val="bottom"/>
            <w:tcBorders>
              <w:bottom w:val="single" w:sz="8" w:color="0000FF"/>
            </w:tcBorders>
            <w:gridSpan w:val="31"/>
            <w:vMerge w:val="continue"/>
          </w:tcPr>
          <w:p>
            <w:pPr>
              <w:spacing w:after="0"/>
              <w:rPr>
                <w:sz w:val="24"/>
                <w:szCs w:val="24"/>
                <w:color w:val="auto"/>
              </w:rPr>
            </w:pPr>
          </w:p>
        </w:tc>
        <w:tc>
          <w:tcPr>
            <w:tcW w:w="620" w:type="dxa"/>
            <w:vAlign w:val="bottom"/>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gridSpan w:val="21"/>
            <w:vMerge w:val="restart"/>
          </w:tcPr>
          <w:p>
            <w:pPr>
              <w:spacing w:after="0"/>
              <w:rPr>
                <w:sz w:val="20"/>
                <w:szCs w:val="20"/>
                <w:color w:val="auto"/>
              </w:rPr>
            </w:pPr>
            <w:r>
              <w:rPr>
                <w:rFonts w:ascii="Times New Roman" w:cs="Times New Roman" w:eastAsia="Times New Roman" w:hAnsi="Times New Roman"/>
                <w:sz w:val="16"/>
                <w:szCs w:val="16"/>
                <w:color w:val="0000FF"/>
                <w:w w:val="97"/>
              </w:rPr>
              <w:t>Advisory Vote on Executive Compensation</w:t>
            </w: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tcBorders>
              <w:bottom w:val="single" w:sz="8" w:color="0000FF"/>
            </w:tcBorders>
            <w:gridSpan w:val="21"/>
            <w:vMerge w:val="continue"/>
          </w:tcPr>
          <w:p>
            <w:pPr>
              <w:spacing w:after="0"/>
              <w:rPr>
                <w:sz w:val="24"/>
                <w:szCs w:val="24"/>
                <w:color w:val="auto"/>
              </w:rPr>
            </w:pPr>
          </w:p>
        </w:tc>
        <w:tc>
          <w:tcPr>
            <w:tcW w:w="1200" w:type="dxa"/>
            <w:vAlign w:val="bottom"/>
            <w:gridSpan w:val="3"/>
            <w:vMerge w:val="restart"/>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760" w:type="dxa"/>
            <w:vAlign w:val="bottom"/>
            <w:gridSpan w:val="3"/>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760" w:type="dxa"/>
            <w:vAlign w:val="bottom"/>
            <w:gridSpan w:val="3"/>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7"/>
              </w:rPr>
              <w:t>Vote Sought and Recommendation</w:t>
            </w:r>
          </w:p>
        </w:tc>
        <w:tc>
          <w:tcPr>
            <w:tcW w:w="140" w:type="dxa"/>
            <w:vAlign w:val="bottom"/>
            <w:gridSpan w:val="2"/>
          </w:tcPr>
          <w:p>
            <w:pPr>
              <w:spacing w:after="0"/>
              <w:rPr>
                <w:sz w:val="24"/>
                <w:szCs w:val="24"/>
                <w:color w:val="auto"/>
              </w:rPr>
            </w:pPr>
          </w:p>
        </w:tc>
        <w:tc>
          <w:tcPr>
            <w:tcW w:w="1600" w:type="dxa"/>
            <w:vAlign w:val="bottom"/>
            <w:gridSpan w:val="7"/>
          </w:tcPr>
          <w:p>
            <w:pPr>
              <w:spacing w:after="0"/>
              <w:rPr>
                <w:sz w:val="24"/>
                <w:szCs w:val="24"/>
                <w:color w:val="auto"/>
              </w:rPr>
            </w:pPr>
          </w:p>
        </w:tc>
        <w:tc>
          <w:tcPr>
            <w:tcW w:w="74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2760" w:type="dxa"/>
            <w:vAlign w:val="bottom"/>
            <w:gridSpan w:val="3"/>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80" w:type="dxa"/>
            <w:vAlign w:val="bottom"/>
            <w:gridSpan w:val="25"/>
            <w:vMerge w:val="restart"/>
          </w:tcPr>
          <w:p>
            <w:pPr>
              <w:spacing w:after="0"/>
              <w:rPr>
                <w:sz w:val="20"/>
                <w:szCs w:val="20"/>
                <w:color w:val="auto"/>
              </w:rPr>
            </w:pPr>
            <w:r>
              <w:rPr>
                <w:rFonts w:ascii="Times New Roman" w:cs="Times New Roman" w:eastAsia="Times New Roman" w:hAnsi="Times New Roman"/>
                <w:sz w:val="16"/>
                <w:szCs w:val="16"/>
                <w:color w:val="0000FF"/>
                <w:w w:val="99"/>
              </w:rPr>
              <w:t>CERTAIN RELATIONSHIPS AND RELATED TRANSACTIONS</w:t>
            </w:r>
          </w:p>
        </w:tc>
        <w:tc>
          <w:tcPr>
            <w:tcW w:w="74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760" w:type="dxa"/>
            <w:vAlign w:val="bottom"/>
            <w:gridSpan w:val="3"/>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80" w:type="dxa"/>
            <w:vAlign w:val="bottom"/>
            <w:gridSpan w:val="25"/>
            <w:vMerge w:val="continu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4380" w:type="dxa"/>
            <w:vAlign w:val="bottom"/>
            <w:tcBorders>
              <w:bottom w:val="single" w:sz="8" w:color="0000FF"/>
            </w:tcBorders>
            <w:gridSpan w:val="25"/>
            <w:vMerge w:val="continue"/>
          </w:tcPr>
          <w:p>
            <w:pPr>
              <w:spacing w:after="0"/>
              <w:rPr>
                <w:sz w:val="24"/>
                <w:szCs w:val="24"/>
                <w:color w:val="auto"/>
              </w:rPr>
            </w:pPr>
          </w:p>
        </w:tc>
        <w:tc>
          <w:tcPr>
            <w:tcW w:w="7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3"/>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60" w:type="dxa"/>
            <w:vAlign w:val="bottom"/>
            <w:gridSpan w:val="29"/>
            <w:vMerge w:val="restart"/>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w:t>
            </w:r>
          </w:p>
        </w:tc>
        <w:tc>
          <w:tcPr>
            <w:tcW w:w="2760" w:type="dxa"/>
            <w:vAlign w:val="bottom"/>
            <w:gridSpan w:val="3"/>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60" w:type="dxa"/>
            <w:vAlign w:val="bottom"/>
            <w:gridSpan w:val="29"/>
            <w:vMerge w:val="continue"/>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6060" w:type="dxa"/>
            <w:vAlign w:val="bottom"/>
            <w:tcBorders>
              <w:bottom w:val="single" w:sz="8" w:color="0000FF"/>
            </w:tcBorders>
            <w:gridSpan w:val="29"/>
            <w:vMerge w:val="continue"/>
          </w:tcPr>
          <w:p>
            <w:pPr>
              <w:spacing w:after="0"/>
              <w:rPr>
                <w:sz w:val="24"/>
                <w:szCs w:val="24"/>
                <w:color w:val="auto"/>
              </w:rPr>
            </w:pPr>
          </w:p>
        </w:tc>
        <w:tc>
          <w:tcPr>
            <w:tcW w:w="2760" w:type="dxa"/>
            <w:vAlign w:val="bottom"/>
            <w:gridSpan w:val="3"/>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78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color w:val="0000FF"/>
              </w:rPr>
              <w:t>REPORT OF THE AUDIT COMMITTEE</w:t>
            </w:r>
          </w:p>
        </w:tc>
        <w:tc>
          <w:tcPr>
            <w:tcW w:w="234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gridSpan w:val="3"/>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2780" w:type="dxa"/>
            <w:vAlign w:val="bottom"/>
            <w:gridSpan w:val="18"/>
            <w:vMerge w:val="continue"/>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2780" w:type="dxa"/>
            <w:vAlign w:val="bottom"/>
            <w:tcBorders>
              <w:bottom w:val="single" w:sz="8" w:color="0000FF"/>
            </w:tcBorders>
            <w:gridSpan w:val="18"/>
            <w:vMerge w:val="continue"/>
          </w:tcPr>
          <w:p>
            <w:pPr>
              <w:spacing w:after="0"/>
              <w:rPr>
                <w:sz w:val="24"/>
                <w:szCs w:val="24"/>
                <w:color w:val="auto"/>
              </w:rPr>
            </w:pPr>
          </w:p>
        </w:tc>
        <w:tc>
          <w:tcPr>
            <w:tcW w:w="2340" w:type="dxa"/>
            <w:vAlign w:val="bottom"/>
            <w:gridSpan w:val="10"/>
          </w:tcPr>
          <w:p>
            <w:pPr>
              <w:spacing w:after="0"/>
              <w:rPr>
                <w:sz w:val="24"/>
                <w:szCs w:val="24"/>
                <w:color w:val="auto"/>
              </w:rPr>
            </w:pPr>
          </w:p>
        </w:tc>
        <w:tc>
          <w:tcPr>
            <w:tcW w:w="3700" w:type="dxa"/>
            <w:vAlign w:val="bottom"/>
            <w:gridSpan w:val="4"/>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20" w:type="dxa"/>
            <w:vAlign w:val="bottom"/>
            <w:gridSpan w:val="28"/>
            <w:vMerge w:val="restart"/>
          </w:tcPr>
          <w:p>
            <w:pPr>
              <w:spacing w:after="0"/>
              <w:rPr>
                <w:sz w:val="20"/>
                <w:szCs w:val="20"/>
                <w:color w:val="auto"/>
              </w:rPr>
            </w:pPr>
            <w:r>
              <w:rPr>
                <w:rFonts w:ascii="Times New Roman" w:cs="Times New Roman" w:eastAsia="Times New Roman" w:hAnsi="Times New Roman"/>
                <w:sz w:val="16"/>
                <w:szCs w:val="16"/>
                <w:color w:val="0000FF"/>
              </w:rPr>
              <w:t>SECTION 16(A) BENEFICIAL OWNERSHIP REPORTING COMPLIANCE</w:t>
            </w:r>
          </w:p>
        </w:tc>
        <w:tc>
          <w:tcPr>
            <w:tcW w:w="3700" w:type="dxa"/>
            <w:vAlign w:val="bottom"/>
            <w:gridSpan w:val="4"/>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20" w:type="dxa"/>
            <w:vAlign w:val="bottom"/>
            <w:gridSpan w:val="28"/>
            <w:vMerge w:val="continue"/>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5120" w:type="dxa"/>
            <w:vAlign w:val="bottom"/>
            <w:tcBorders>
              <w:bottom w:val="single" w:sz="8" w:color="0000FF"/>
            </w:tcBorders>
            <w:gridSpan w:val="28"/>
            <w:vMerge w:val="continue"/>
          </w:tcPr>
          <w:p>
            <w:pPr>
              <w:spacing w:after="0"/>
              <w:rPr>
                <w:sz w:val="24"/>
                <w:szCs w:val="24"/>
                <w:color w:val="auto"/>
              </w:rPr>
            </w:pPr>
          </w:p>
        </w:tc>
        <w:tc>
          <w:tcPr>
            <w:tcW w:w="3700" w:type="dxa"/>
            <w:vAlign w:val="bottom"/>
            <w:gridSpan w:val="4"/>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0000FF"/>
              </w:rPr>
              <w:t>STOCKHOLDER PROPOSALS</w:t>
            </w:r>
          </w:p>
        </w:tc>
        <w:tc>
          <w:tcPr>
            <w:tcW w:w="280" w:type="dxa"/>
            <w:vAlign w:val="bottom"/>
            <w:gridSpan w:val="4"/>
          </w:tcPr>
          <w:p>
            <w:pPr>
              <w:spacing w:after="0" w:line="20" w:lineRule="exact"/>
              <w:rPr>
                <w:sz w:val="1"/>
                <w:szCs w:val="1"/>
                <w:color w:val="auto"/>
              </w:rPr>
            </w:pPr>
          </w:p>
        </w:tc>
        <w:tc>
          <w:tcPr>
            <w:tcW w:w="2680" w:type="dxa"/>
            <w:vAlign w:val="bottom"/>
            <w:gridSpan w:val="14"/>
          </w:tcPr>
          <w:p>
            <w:pPr>
              <w:spacing w:after="0" w:line="20" w:lineRule="exact"/>
              <w:rPr>
                <w:sz w:val="1"/>
                <w:szCs w:val="1"/>
                <w:color w:val="auto"/>
              </w:rPr>
            </w:pPr>
          </w:p>
        </w:tc>
        <w:tc>
          <w:tcPr>
            <w:tcW w:w="3700" w:type="dxa"/>
            <w:vAlign w:val="bottom"/>
            <w:gridSpan w:val="4"/>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gridSpan w:val="10"/>
            <w:vMerge w:val="continu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380" w:type="dxa"/>
            <w:vAlign w:val="bottom"/>
            <w:gridSpan w:val="18"/>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2160" w:type="dxa"/>
            <w:vAlign w:val="bottom"/>
            <w:tcBorders>
              <w:bottom w:val="single" w:sz="8" w:color="0000FF"/>
            </w:tcBorders>
            <w:gridSpan w:val="10"/>
            <w:vMerge w:val="continue"/>
          </w:tcPr>
          <w:p>
            <w:pPr>
              <w:spacing w:after="0"/>
              <w:rPr>
                <w:sz w:val="24"/>
                <w:szCs w:val="24"/>
                <w:color w:val="auto"/>
              </w:rPr>
            </w:pPr>
          </w:p>
        </w:tc>
        <w:tc>
          <w:tcPr>
            <w:tcW w:w="280" w:type="dxa"/>
            <w:vAlign w:val="bottom"/>
            <w:gridSpan w:val="4"/>
            <w:vMerge w:val="restart"/>
          </w:tcPr>
          <w:p>
            <w:pPr>
              <w:spacing w:after="0"/>
              <w:rPr>
                <w:sz w:val="24"/>
                <w:szCs w:val="24"/>
                <w:color w:val="auto"/>
              </w:rPr>
            </w:pPr>
          </w:p>
        </w:tc>
        <w:tc>
          <w:tcPr>
            <w:tcW w:w="6380" w:type="dxa"/>
            <w:vAlign w:val="bottom"/>
            <w:gridSpan w:val="18"/>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w w:val="99"/>
              </w:rPr>
              <w:t>ANNUAL REPORT</w:t>
            </w:r>
          </w:p>
        </w:tc>
        <w:tc>
          <w:tcPr>
            <w:tcW w:w="820" w:type="dxa"/>
            <w:vAlign w:val="bottom"/>
            <w:gridSpan w:val="6"/>
          </w:tcPr>
          <w:p>
            <w:pPr>
              <w:spacing w:after="0" w:line="20" w:lineRule="exact"/>
              <w:rPr>
                <w:sz w:val="1"/>
                <w:szCs w:val="1"/>
                <w:color w:val="auto"/>
              </w:rPr>
            </w:pPr>
          </w:p>
        </w:tc>
        <w:tc>
          <w:tcPr>
            <w:tcW w:w="280" w:type="dxa"/>
            <w:vAlign w:val="bottom"/>
            <w:gridSpan w:val="4"/>
            <w:vMerge w:val="continue"/>
          </w:tcPr>
          <w:p>
            <w:pPr>
              <w:spacing w:after="0" w:line="20" w:lineRule="exact"/>
              <w:rPr>
                <w:sz w:val="1"/>
                <w:szCs w:val="1"/>
                <w:color w:val="auto"/>
              </w:rPr>
            </w:pPr>
          </w:p>
        </w:tc>
        <w:tc>
          <w:tcPr>
            <w:tcW w:w="6380" w:type="dxa"/>
            <w:vAlign w:val="bottom"/>
            <w:gridSpan w:val="18"/>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4"/>
            <w:vMerge w:val="continue"/>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6380" w:type="dxa"/>
            <w:vAlign w:val="bottom"/>
            <w:gridSpan w:val="18"/>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1340" w:type="dxa"/>
            <w:vAlign w:val="bottom"/>
            <w:tcBorders>
              <w:bottom w:val="single" w:sz="8" w:color="0000FF"/>
            </w:tcBorders>
            <w:gridSpan w:val="4"/>
            <w:vMerge w:val="continue"/>
          </w:tcPr>
          <w:p>
            <w:pPr>
              <w:spacing w:after="0"/>
              <w:rPr>
                <w:sz w:val="24"/>
                <w:szCs w:val="24"/>
                <w:color w:val="auto"/>
              </w:rPr>
            </w:pPr>
          </w:p>
        </w:tc>
        <w:tc>
          <w:tcPr>
            <w:tcW w:w="1100" w:type="dxa"/>
            <w:vAlign w:val="bottom"/>
            <w:gridSpan w:val="10"/>
          </w:tcPr>
          <w:p>
            <w:pPr>
              <w:spacing w:after="0"/>
              <w:rPr>
                <w:sz w:val="24"/>
                <w:szCs w:val="24"/>
                <w:color w:val="auto"/>
              </w:rPr>
            </w:pPr>
          </w:p>
        </w:tc>
        <w:tc>
          <w:tcPr>
            <w:tcW w:w="6380" w:type="dxa"/>
            <w:vAlign w:val="bottom"/>
            <w:gridSpan w:val="18"/>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440" w:type="dxa"/>
            <w:vAlign w:val="bottom"/>
            <w:gridSpan w:val="14"/>
            <w:vMerge w:val="restart"/>
          </w:tcPr>
          <w:p>
            <w:pPr>
              <w:spacing w:after="0"/>
              <w:rPr>
                <w:sz w:val="20"/>
                <w:szCs w:val="20"/>
                <w:color w:val="auto"/>
              </w:rPr>
            </w:pPr>
            <w:r>
              <w:rPr>
                <w:rFonts w:ascii="Times New Roman" w:cs="Times New Roman" w:eastAsia="Times New Roman" w:hAnsi="Times New Roman"/>
                <w:sz w:val="16"/>
                <w:szCs w:val="16"/>
                <w:color w:val="0000FF"/>
                <w:w w:val="99"/>
              </w:rPr>
              <w:t>HOUSEHOLDING INFORMATION</w:t>
            </w:r>
          </w:p>
        </w:tc>
        <w:tc>
          <w:tcPr>
            <w:tcW w:w="6380" w:type="dxa"/>
            <w:vAlign w:val="bottom"/>
            <w:gridSpan w:val="18"/>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40" w:type="dxa"/>
            <w:vAlign w:val="bottom"/>
            <w:gridSpan w:val="14"/>
            <w:vMerge w:val="continue"/>
          </w:tcPr>
          <w:p>
            <w:pPr>
              <w:spacing w:after="0" w:line="20" w:lineRule="exact"/>
              <w:rPr>
                <w:sz w:val="1"/>
                <w:szCs w:val="1"/>
                <w:color w:val="auto"/>
              </w:rPr>
            </w:pPr>
          </w:p>
        </w:tc>
        <w:tc>
          <w:tcPr>
            <w:tcW w:w="6380" w:type="dxa"/>
            <w:vAlign w:val="bottom"/>
            <w:gridSpan w:val="18"/>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2440" w:type="dxa"/>
            <w:vAlign w:val="bottom"/>
            <w:tcBorders>
              <w:bottom w:val="single" w:sz="8" w:color="0000FF"/>
            </w:tcBorders>
            <w:gridSpan w:val="14"/>
            <w:vMerge w:val="continue"/>
          </w:tcPr>
          <w:p>
            <w:pPr>
              <w:spacing w:after="0"/>
              <w:rPr>
                <w:sz w:val="24"/>
                <w:szCs w:val="24"/>
                <w:color w:val="auto"/>
              </w:rPr>
            </w:pPr>
          </w:p>
        </w:tc>
        <w:tc>
          <w:tcPr>
            <w:tcW w:w="6380" w:type="dxa"/>
            <w:vAlign w:val="bottom"/>
            <w:gridSpan w:val="18"/>
            <w:vMerge w:val="restart"/>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w w:val="98"/>
              </w:rPr>
              <w:t>OTHER MATTERS</w:t>
            </w:r>
          </w:p>
        </w:tc>
        <w:tc>
          <w:tcPr>
            <w:tcW w:w="1120" w:type="dxa"/>
            <w:vAlign w:val="bottom"/>
            <w:gridSpan w:val="11"/>
          </w:tcPr>
          <w:p>
            <w:pPr>
              <w:spacing w:after="0" w:line="20" w:lineRule="exact"/>
              <w:rPr>
                <w:sz w:val="1"/>
                <w:szCs w:val="1"/>
                <w:color w:val="auto"/>
              </w:rPr>
            </w:pPr>
          </w:p>
        </w:tc>
        <w:tc>
          <w:tcPr>
            <w:tcW w:w="6380" w:type="dxa"/>
            <w:vAlign w:val="bottom"/>
            <w:gridSpan w:val="18"/>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7500" w:type="dxa"/>
            <w:vAlign w:val="bottom"/>
            <w:gridSpan w:val="29"/>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1320" w:type="dxa"/>
            <w:vAlign w:val="bottom"/>
            <w:tcBorders>
              <w:bottom w:val="single" w:sz="8" w:color="0000FF"/>
            </w:tcBorders>
            <w:gridSpan w:val="3"/>
            <w:vMerge w:val="continue"/>
          </w:tcPr>
          <w:p>
            <w:pPr>
              <w:spacing w:after="0"/>
              <w:rPr>
                <w:sz w:val="24"/>
                <w:szCs w:val="24"/>
                <w:color w:val="auto"/>
              </w:rPr>
            </w:pPr>
          </w:p>
        </w:tc>
        <w:tc>
          <w:tcPr>
            <w:tcW w:w="7500" w:type="dxa"/>
            <w:vAlign w:val="bottom"/>
            <w:gridSpan w:val="29"/>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20" w:type="dxa"/>
            <w:vAlign w:val="bottom"/>
            <w:gridSpan w:val="32"/>
            <w:vMerge w:val="restart"/>
          </w:tcPr>
          <w:p>
            <w:pPr>
              <w:spacing w:after="0"/>
              <w:rPr>
                <w:sz w:val="20"/>
                <w:szCs w:val="20"/>
                <w:color w:val="auto"/>
              </w:rPr>
            </w:pPr>
            <w:r>
              <w:rPr>
                <w:rFonts w:ascii="Times New Roman" w:cs="Times New Roman" w:eastAsia="Times New Roman" w:hAnsi="Times New Roman"/>
                <w:sz w:val="16"/>
                <w:szCs w:val="16"/>
                <w:color w:val="0000FF"/>
              </w:rPr>
              <w:t>APPENDIX A – ELEVENTH AMENDED AND RESTATED WESTWOOD HOLDINGS GROUP, INC. STOCK INCENTIVE PLAN</w:t>
            </w: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20" w:type="dxa"/>
            <w:vAlign w:val="bottom"/>
            <w:gridSpan w:val="32"/>
            <w:vMerge w:val="continu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8820" w:type="dxa"/>
            <w:vAlign w:val="bottom"/>
            <w:tcBorders>
              <w:bottom w:val="single" w:sz="8" w:color="0000FF"/>
            </w:tcBorders>
            <w:gridSpan w:val="32"/>
            <w:vMerge w:val="continue"/>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20" w:type="dxa"/>
            <w:vAlign w:val="bottom"/>
            <w:gridSpan w:val="32"/>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0"/>
        </w:trPr>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APRIL 30, 2025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Westwood Holdings Group, Inc.:</w:t>
      </w:r>
    </w:p>
    <w:p>
      <w:pPr>
        <w:spacing w:after="0" w:line="11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NOTICE IS HEREBY GIVEN that the annual meeting of the stockholders of Westwood Holdings Group, Inc. ("Westwood," the "Company," "we," "us" or "our") will be held virtually at </w:t>
      </w:r>
      <w:r>
        <w:rPr>
          <w:rFonts w:ascii="Times New Roman" w:cs="Times New Roman" w:eastAsia="Times New Roman" w:hAnsi="Times New Roman"/>
          <w:sz w:val="18"/>
          <w:szCs w:val="18"/>
          <w:i w:val="1"/>
          <w:iCs w:val="1"/>
          <w:u w:val="single" w:color="auto"/>
          <w:color w:val="auto"/>
        </w:rPr>
        <w:t>www.virtualshareholdermeeting.com/WHG2025</w:t>
      </w:r>
      <w:r>
        <w:rPr>
          <w:rFonts w:ascii="Times New Roman" w:cs="Times New Roman" w:eastAsia="Times New Roman" w:hAnsi="Times New Roman"/>
          <w:sz w:val="18"/>
          <w:szCs w:val="18"/>
          <w:color w:val="auto"/>
        </w:rPr>
        <w:t xml:space="preserve"> on Wednesday, April 30, 2025, at 10:00 a.m., Central Time, to consider and vote on the following proposals: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0" w:type="dxa"/>
            <w:vAlign w:val="bottom"/>
          </w:tcPr>
          <w:p>
            <w:pPr>
              <w:spacing w:after="0"/>
              <w:rPr>
                <w:sz w:val="1"/>
                <w:szCs w:val="1"/>
                <w:color w:val="auto"/>
              </w:rPr>
            </w:pPr>
          </w:p>
        </w:tc>
      </w:tr>
      <w:tr>
        <w:trPr>
          <w:trHeight w:val="25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election of six directors to hold office until the next annual meeting of Westwood's stockholders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until their respective successors shall have been duly elected and qualified;</w:t>
            </w:r>
          </w:p>
        </w:tc>
        <w:tc>
          <w:tcPr>
            <w:tcW w:w="0" w:type="dxa"/>
            <w:vAlign w:val="bottom"/>
          </w:tcPr>
          <w:p>
            <w:pPr>
              <w:spacing w:after="0"/>
              <w:rPr>
                <w:sz w:val="1"/>
                <w:szCs w:val="1"/>
                <w:color w:val="auto"/>
              </w:rPr>
            </w:pPr>
          </w:p>
        </w:tc>
      </w:tr>
      <w:tr>
        <w:trPr>
          <w:trHeight w:val="33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80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The ratification of the appointment of BDO USA, P.C. as Westwood's independent auditors for the year</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8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ending December 31, 2025;</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approve the Eleventh Amended and Restated Westwood Holdings Group, Inc. Stock Incentive Plan;</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33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4.</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cast a non-binding, advisory vote on the Company's executive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47625</wp:posOffset>
            </wp:positionV>
            <wp:extent cx="120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 all nominees</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t>
      </w: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t>
      </w:r>
    </w:p>
    <w:p>
      <w:pPr>
        <w:spacing w:after="0" w:line="211" w:lineRule="exact"/>
        <w:rPr>
          <w:sz w:val="20"/>
          <w:szCs w:val="20"/>
          <w:color w:val="auto"/>
        </w:rPr>
      </w:pPr>
    </w:p>
    <w:p>
      <w:pPr>
        <w:sectPr>
          <w:pgSz w:w="11900" w:h="16838" w:orient="portrait"/>
          <w:cols w:equalWidth="0" w:num="2">
            <w:col w:w="9200" w:space="420"/>
            <w:col w:w="1620"/>
          </w:cols>
          <w:pgMar w:left="320" w:top="549" w:right="339" w:bottom="1440" w:gutter="0" w:footer="0" w:header="0"/>
          <w:type w:val="continuous"/>
        </w:sectPr>
      </w:pPr>
    </w:p>
    <w:p>
      <w:pPr>
        <w:ind w:right="1100" w:firstLine="405"/>
        <w:spacing w:after="0" w:line="282" w:lineRule="auto"/>
        <w:rPr>
          <w:sz w:val="20"/>
          <w:szCs w:val="20"/>
          <w:color w:val="auto"/>
        </w:rPr>
      </w:pPr>
      <w:r>
        <w:rPr>
          <w:rFonts w:ascii="Times New Roman" w:cs="Times New Roman" w:eastAsia="Times New Roman" w:hAnsi="Times New Roman"/>
          <w:sz w:val="18"/>
          <w:szCs w:val="18"/>
          <w:color w:val="auto"/>
        </w:rPr>
        <w:t>In addition, we will consider the transaction of such other business as may properly come before the meeting or at any adjournments or postponements.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w:t>
      </w:r>
    </w:p>
    <w:p>
      <w:pPr>
        <w:spacing w:after="0" w:line="11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 2025,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Times New Roman" w:cs="Times New Roman" w:eastAsia="Times New Roman" w:hAnsi="Times New Roman"/>
          <w:sz w:val="18"/>
          <w:szCs w:val="18"/>
          <w:i w:val="1"/>
          <w:iCs w:val="1"/>
          <w:u w:val="single" w:color="auto"/>
          <w:color w:val="auto"/>
        </w:rPr>
        <w:t>www.virtualshareholdermeeting.com/WHG2025</w:t>
      </w:r>
      <w:r>
        <w:rPr>
          <w:rFonts w:ascii="Times New Roman" w:cs="Times New Roman" w:eastAsia="Times New Roman" w:hAnsi="Times New Roman"/>
          <w:sz w:val="18"/>
          <w:szCs w:val="18"/>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7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electronically at the annual meeting. Pursuant to the New York Stock Exchange ("NYSE") rules, if you hold your shares in street name, nominees will not have discretion to vote these shares on the election of directors, the approval of the Eleventh Amended and Restated Westwood Holdings Group, Inc. Stock Incentive Plan, or the matter pertaining to executive compensation. Accordingly, if your shares are held in street name and you do not submit voting instructions to your broker, bank, or other nominee, these shares will not be counted in determining the outcome on Proposals 1, 3 and 4 set forth in this proxy statement at the annual meeting. If you hold your shares in street name, we encourage you to provide voting instructions to your broker, bank, or other nominee so that your voice is heard on these proposals.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proxy statement and proxy card are being mailed to our stockholders on or about March 15, 2025.</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4" w:name="page5"/>
    <w:bookmarkEnd w:id="4"/>
    <w:p>
      <w:pPr>
        <w:ind w:left="2900"/>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 for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Meeting to be Held on April 30, 2025</w:t>
      </w:r>
    </w:p>
    <w:p>
      <w:pPr>
        <w:spacing w:after="0" w:line="200" w:lineRule="exact"/>
        <w:rPr>
          <w:sz w:val="20"/>
          <w:szCs w:val="20"/>
          <w:color w:val="auto"/>
        </w:rPr>
      </w:pPr>
    </w:p>
    <w:p>
      <w:pPr>
        <w:spacing w:after="0" w:line="25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proxy materials for the Company's Annual Meeting of Stockholders, including the 2024 Annual Report to Stockholders, the Proxy Statement and any other additional soliciting materials, are available over the Internet by accessing our website at </w:t>
      </w:r>
      <w:r>
        <w:rPr>
          <w:rFonts w:ascii="Times New Roman" w:cs="Times New Roman" w:eastAsia="Times New Roman" w:hAnsi="Times New Roman"/>
          <w:sz w:val="18"/>
          <w:szCs w:val="18"/>
          <w:i w:val="1"/>
          <w:iCs w:val="1"/>
          <w:u w:val="single" w:color="auto"/>
          <w:color w:val="auto"/>
        </w:rPr>
        <w:t>https://westwoodgroup.com/investor-relations/annual-reports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Other information on our website does not constitute part of the Company's proxy materials.</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97726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Brian O. Casey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APRIL 30, 2025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QUESTIONS AND ANSWERS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15,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ANNUAL MEETING</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annual meeting?</w:t>
      </w:r>
    </w:p>
    <w:p>
      <w:pPr>
        <w:spacing w:after="0" w:line="121" w:lineRule="exact"/>
        <w:rPr>
          <w:sz w:val="20"/>
          <w:szCs w:val="20"/>
          <w:color w:val="auto"/>
        </w:rPr>
      </w:pPr>
    </w:p>
    <w:p>
      <w:pPr>
        <w:ind w:left="420" w:right="3340" w:hanging="412"/>
        <w:spacing w:after="0" w:line="282" w:lineRule="auto"/>
        <w:tabs>
          <w:tab w:leader="none" w:pos="38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annual meeting will be held virtually on Wednesday, April 30, 2025, at 10:00 a.m., Central Time, at </w:t>
      </w:r>
      <w:r>
        <w:rPr>
          <w:rFonts w:ascii="Times New Roman" w:cs="Times New Roman" w:eastAsia="Times New Roman" w:hAnsi="Times New Roman"/>
          <w:sz w:val="18"/>
          <w:szCs w:val="18"/>
          <w:i w:val="1"/>
          <w:iCs w:val="1"/>
          <w:u w:val="single" w:color="auto"/>
          <w:color w:val="auto"/>
        </w:rPr>
        <w:t>www.virtualshareholdermeeting.com/WHG2025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21"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being asked to vote on the following proposals at the annual meeting:</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To elect six directors to hold office until the next annual meeting of Westwood’s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To ratify the appointment of BDO USA, P.C. ("BDO") as Westwood’s independent auditors for the year ending December 31, 2025;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To approve the Eleventh Amended and Restated Westwood Holdings Group, Inc. Stock Incentive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To cast a non-binding, advisory vote on the Company's executive compensation.</w:t>
      </w:r>
    </w:p>
    <w:p>
      <w:pPr>
        <w:spacing w:after="0" w:line="11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121" w:lineRule="exact"/>
        <w:rPr>
          <w:sz w:val="20"/>
          <w:szCs w:val="20"/>
          <w:color w:val="auto"/>
        </w:rPr>
      </w:pPr>
    </w:p>
    <w:p>
      <w:pPr>
        <w:ind w:left="420" w:right="160" w:hanging="412"/>
        <w:spacing w:after="0" w:line="261" w:lineRule="auto"/>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recommends that you vote your shares (i) "FOR" each of the six director nominees for election to the Board of Directors, (ii) "FOR" the ratification of the appointment of BDO as Westwood’s independent auditors for the year ending December 31, 2025, (iii) "FOR" the approval of the Eleventh Amended and Restated Westwood Holdings Group, Inc. Stock Incentive Plan, and (iv) "FOR" the approval, on a non-binding, advisory basis, of the Company’s executive compensation.</w:t>
      </w:r>
    </w:p>
    <w:p>
      <w:pPr>
        <w:spacing w:after="0" w:line="72" w:lineRule="exact"/>
        <w:rPr>
          <w:sz w:val="20"/>
          <w:szCs w:val="20"/>
          <w:color w:val="auto"/>
        </w:rPr>
      </w:pPr>
    </w:p>
    <w:p>
      <w:pPr>
        <w:ind w:left="420" w:right="380" w:hanging="224"/>
        <w:spacing w:after="0" w:line="282" w:lineRule="auto"/>
        <w:rPr>
          <w:sz w:val="20"/>
          <w:szCs w:val="20"/>
          <w:color w:val="auto"/>
        </w:rPr>
      </w:pPr>
      <w:r>
        <w:rPr>
          <w:rFonts w:ascii="Times New Roman" w:cs="Times New Roman" w:eastAsia="Times New Roman" w:hAnsi="Times New Roman"/>
          <w:sz w:val="18"/>
          <w:szCs w:val="18"/>
          <w:color w:val="auto"/>
        </w:rPr>
        <w:t>If you submit your properly executed proxy without voting instructions, your shares represented by that proxy will be voted as recommended by the Board of Directors.</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annual meeting?</w:t>
      </w:r>
    </w:p>
    <w:p>
      <w:pPr>
        <w:spacing w:after="0" w:line="121" w:lineRule="exact"/>
        <w:rPr>
          <w:sz w:val="20"/>
          <w:szCs w:val="20"/>
          <w:color w:val="auto"/>
        </w:rPr>
      </w:pPr>
    </w:p>
    <w:p>
      <w:pPr>
        <w:ind w:left="420" w:hanging="412"/>
        <w:spacing w:after="0" w:line="281" w:lineRule="auto"/>
        <w:tabs>
          <w:tab w:leader="none" w:pos="3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of record at the close of business on March 3, 2025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3, 2025, there were 9,379,675 shares of common stock outstanding and entitled to vote on each of the proposals.</w:t>
      </w:r>
    </w:p>
    <w:p>
      <w:pPr>
        <w:spacing w:after="0" w:line="5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constitutes a quorum?</w:t>
      </w:r>
    </w:p>
    <w:p>
      <w:pPr>
        <w:spacing w:after="0" w:line="121" w:lineRule="exact"/>
        <w:rPr>
          <w:sz w:val="20"/>
          <w:szCs w:val="20"/>
          <w:color w:val="auto"/>
        </w:rPr>
      </w:pPr>
    </w:p>
    <w:p>
      <w:pPr>
        <w:ind w:left="420" w:right="40" w:hanging="412"/>
        <w:spacing w:after="0" w:line="266" w:lineRule="auto"/>
        <w:tabs>
          <w:tab w:leader="none" w:pos="3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is the difference between holding shares as a "stockholder of record" and as a "beneficial owner"?</w:t>
      </w:r>
    </w:p>
    <w:p>
      <w:pPr>
        <w:spacing w:after="0" w:line="121" w:lineRule="exact"/>
        <w:rPr>
          <w:sz w:val="20"/>
          <w:szCs w:val="20"/>
          <w:color w:val="auto"/>
        </w:rPr>
      </w:pPr>
    </w:p>
    <w:p>
      <w:pPr>
        <w:ind w:left="420" w:right="100" w:hanging="412"/>
        <w:spacing w:after="0" w:line="266"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 w:name="page7"/>
    <w:bookmarkEnd w:id="6"/>
    <w:p>
      <w:pPr>
        <w:ind w:left="420" w:right="20"/>
        <w:spacing w:after="0" w:line="256" w:lineRule="auto"/>
        <w:rPr>
          <w:sz w:val="20"/>
          <w:szCs w:val="20"/>
          <w:color w:val="auto"/>
        </w:rPr>
      </w:pPr>
      <w:r>
        <w:rPr>
          <w:rFonts w:ascii="Times New Roman" w:cs="Times New Roman" w:eastAsia="Times New Roman" w:hAnsi="Times New Roman"/>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w:t>
      </w:r>
    </w:p>
    <w:p>
      <w:pPr>
        <w:spacing w:after="0" w:line="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is a broker non-vote?</w:t>
      </w:r>
    </w:p>
    <w:p>
      <w:pPr>
        <w:spacing w:after="0" w:line="121" w:lineRule="exact"/>
        <w:rPr>
          <w:sz w:val="20"/>
          <w:szCs w:val="20"/>
          <w:color w:val="auto"/>
        </w:rPr>
      </w:pPr>
    </w:p>
    <w:p>
      <w:pPr>
        <w:ind w:left="420" w:hanging="412"/>
        <w:spacing w:after="0" w:line="258"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75" w:lineRule="exact"/>
        <w:rPr>
          <w:sz w:val="20"/>
          <w:szCs w:val="20"/>
          <w:color w:val="auto"/>
        </w:rPr>
      </w:pPr>
    </w:p>
    <w:p>
      <w:pPr>
        <w:ind w:left="420" w:right="100"/>
        <w:spacing w:after="0" w:line="256" w:lineRule="auto"/>
        <w:rPr>
          <w:sz w:val="20"/>
          <w:szCs w:val="20"/>
          <w:color w:val="auto"/>
        </w:rPr>
      </w:pPr>
      <w:r>
        <w:rPr>
          <w:rFonts w:ascii="Times New Roman" w:cs="Times New Roman" w:eastAsia="Times New Roman" w:hAnsi="Times New Roman"/>
          <w:sz w:val="18"/>
          <w:szCs w:val="18"/>
          <w:color w:val="auto"/>
        </w:rPr>
        <w:t>Under applicable rules, Proposals 1, 3 and 4 are considered "non-routine" matters, on which banks, brokers, and other nominees are not allowed to vote unless they have received voting instructions from the beneficial owners of such shares. The proposal to ratify the appointment of BDO as Westwood’s independent auditors for the year ending December 31, 2025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is required to approve each proposal?</w:t>
      </w:r>
    </w:p>
    <w:p>
      <w:pPr>
        <w:spacing w:after="0" w:line="121" w:lineRule="exact"/>
        <w:rPr>
          <w:sz w:val="20"/>
          <w:szCs w:val="20"/>
          <w:color w:val="auto"/>
        </w:rPr>
      </w:pPr>
    </w:p>
    <w:p>
      <w:pPr>
        <w:ind w:left="420" w:right="120" w:hanging="412"/>
        <w:spacing w:after="0" w:line="261"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election of directors requires the affirmative "FOR" vote of a majority of the shares present in person (or virtually) or represented by proxy and entitled to vote on the election of directors at the annual meeting at which a quorum is present. You may vote “FOR,” “AGAINST,” or “ABSTAIN” with respect to the election of each director nominee. Abstentions will have the effect of votes “AGAINST” a director nominee, and broker non-votes will have no effect on the outcome of the election of directors.</w:t>
      </w:r>
    </w:p>
    <w:p>
      <w:pPr>
        <w:spacing w:after="0" w:line="72" w:lineRule="exact"/>
        <w:rPr>
          <w:sz w:val="20"/>
          <w:szCs w:val="20"/>
          <w:color w:val="auto"/>
        </w:rPr>
      </w:pPr>
    </w:p>
    <w:p>
      <w:pPr>
        <w:ind w:left="420" w:right="80"/>
        <w:spacing w:after="0" w:line="258" w:lineRule="auto"/>
        <w:rPr>
          <w:sz w:val="20"/>
          <w:szCs w:val="20"/>
          <w:color w:val="auto"/>
        </w:rPr>
      </w:pPr>
      <w:r>
        <w:rPr>
          <w:rFonts w:ascii="Times New Roman" w:cs="Times New Roman" w:eastAsia="Times New Roman" w:hAnsi="Times New Roman"/>
          <w:sz w:val="18"/>
          <w:szCs w:val="18"/>
          <w:color w:val="auto"/>
        </w:rPr>
        <w:t>Proposal 2: The ratification of the appointment of BDO as Westwood’s independent auditors for the year ending December 31, 2025 requires the affirmative "FOR" vote of a majority of the votes cast at the annual meeting. You may vote "FOR," “AGAINST,” or “ABSTAIN” with respect to the ratification of our auditors. This proposal is considered a “routine” matter under applicable rules on which banks, brokers, and other nominees may vote in their discretion on behalf of beneficial owners who have not provided voting instructions. Abstentions will have no effect on the outcome of this proposal.</w:t>
      </w:r>
    </w:p>
    <w:p>
      <w:pPr>
        <w:spacing w:after="0" w:line="75" w:lineRule="exact"/>
        <w:rPr>
          <w:sz w:val="20"/>
          <w:szCs w:val="20"/>
          <w:color w:val="auto"/>
        </w:rPr>
      </w:pPr>
    </w:p>
    <w:p>
      <w:pPr>
        <w:ind w:left="420" w:right="120"/>
        <w:spacing w:after="0" w:line="258" w:lineRule="auto"/>
        <w:rPr>
          <w:sz w:val="20"/>
          <w:szCs w:val="20"/>
          <w:color w:val="auto"/>
        </w:rPr>
      </w:pPr>
      <w:r>
        <w:rPr>
          <w:rFonts w:ascii="Times New Roman" w:cs="Times New Roman" w:eastAsia="Times New Roman" w:hAnsi="Times New Roman"/>
          <w:sz w:val="18"/>
          <w:szCs w:val="18"/>
          <w:color w:val="auto"/>
        </w:rPr>
        <w:t>Proposal 3: The approval of the Eleventh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Neither a broker non-vote nor an abstention is a vote cast under applicable law or applicable NYSE rules and will have no effect on the outcome of this proposal.</w:t>
      </w:r>
    </w:p>
    <w:p>
      <w:pPr>
        <w:spacing w:after="0" w:line="75" w:lineRule="exact"/>
        <w:rPr>
          <w:sz w:val="20"/>
          <w:szCs w:val="20"/>
          <w:color w:val="auto"/>
        </w:rPr>
      </w:pPr>
    </w:p>
    <w:p>
      <w:pPr>
        <w:ind w:left="420" w:right="40"/>
        <w:spacing w:after="0" w:line="261" w:lineRule="auto"/>
        <w:rPr>
          <w:sz w:val="20"/>
          <w:szCs w:val="20"/>
          <w:color w:val="auto"/>
        </w:rPr>
      </w:pPr>
      <w:r>
        <w:rPr>
          <w:rFonts w:ascii="Times New Roman" w:cs="Times New Roman" w:eastAsia="Times New Roman" w:hAnsi="Times New Roman"/>
          <w:sz w:val="18"/>
          <w:szCs w:val="18"/>
          <w:color w:val="auto"/>
        </w:rPr>
        <w:t>Proposal 4: The non-binding, advisory vote on the Company's executive compensation requires the affirmative “FOR” vote of a majority of the votes cast at the annual meeting. You may vote “FOR,” “AGAINST,” or “ABSTAIN” with respect to this proposal. As the advisory vote on the Company's executive compensation is a “non-routine” matter under applicable rules, your bank, broker, or other nominee cannot vote without instructions from you. Abstentions and broker non-votes will have no effect on the outcome of this proposal.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 FOR VOTING</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is entitled to vote?</w:t>
      </w:r>
    </w:p>
    <w:p>
      <w:pPr>
        <w:spacing w:after="0" w:line="121" w:lineRule="exact"/>
        <w:rPr>
          <w:sz w:val="20"/>
          <w:szCs w:val="20"/>
          <w:color w:val="auto"/>
        </w:rPr>
      </w:pPr>
    </w:p>
    <w:p>
      <w:pPr>
        <w:ind w:left="420" w:right="460" w:hanging="412"/>
        <w:spacing w:after="0" w:line="282"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close of business on March 3, 2025, the record date, will be entitled to vote on the proposals at the Annual Meeting. Each share of common stock is entitled to one vote.</w:t>
      </w:r>
    </w:p>
    <w:p>
      <w:pPr>
        <w:spacing w:after="0" w:line="50"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420" w:right="100" w:hanging="412"/>
        <w:spacing w:after="0" w:line="266"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the record holder of your shares, you can vote by attending the Annual Meeting virtually, or by completing, signing and returning your proxy card in the enclosed postage-paid envelope. You can also vote by Internet at </w:t>
      </w:r>
      <w:r>
        <w:rPr>
          <w:rFonts w:ascii="Times New Roman" w:cs="Times New Roman" w:eastAsia="Times New Roman" w:hAnsi="Times New Roman"/>
          <w:sz w:val="18"/>
          <w:szCs w:val="18"/>
          <w:i w:val="1"/>
          <w:iCs w:val="1"/>
          <w:u w:val="single" w:color="auto"/>
          <w:color w:val="auto"/>
        </w:rPr>
        <w:t>www.virtualshareholdermeeting.com/WHG2025</w:t>
      </w:r>
      <w:r>
        <w:rPr>
          <w:rFonts w:ascii="Times New Roman" w:cs="Times New Roman" w:eastAsia="Times New Roman" w:hAnsi="Times New Roman"/>
          <w:sz w:val="18"/>
          <w:szCs w:val="18"/>
          <w:color w:val="auto"/>
        </w:rPr>
        <w:t xml:space="preserve"> using the control number shown on your proxy card or voting instruction card.</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 w:name="page8"/>
    <w:bookmarkEnd w:id="7"/>
    <w:p>
      <w:pPr>
        <w:jc w:val="both"/>
        <w:ind w:left="420" w:right="240"/>
        <w:spacing w:after="0" w:line="261" w:lineRule="auto"/>
        <w:rPr>
          <w:sz w:val="20"/>
          <w:szCs w:val="20"/>
          <w:color w:val="auto"/>
        </w:rPr>
      </w:pPr>
      <w:r>
        <w:rPr>
          <w:rFonts w:ascii="Times New Roman" w:cs="Times New Roman" w:eastAsia="Times New Roman" w:hAnsi="Times New Roman"/>
          <w:sz w:val="18"/>
          <w:szCs w:val="18"/>
          <w:color w:val="auto"/>
        </w:rPr>
        <w:t>If your shares are held by your broker as your nominee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81"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proxy revocable, and can I change my vote?</w:t>
      </w:r>
    </w:p>
    <w:p>
      <w:pPr>
        <w:spacing w:after="0" w:line="148"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you are a stockholder of record you may revoke your proxy at any time before it is officially voted by doing one of the following:</w:t>
      </w:r>
    </w:p>
    <w:p>
      <w:pPr>
        <w:spacing w:after="0" w:line="117"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revoking your proxy to our Corporate Secretary at Westwood Holdings Group, 200 Crescent Court, Suite 1200, Dallas, Texas 75201;</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mailing to us a proxy bearing a later date;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your vote by Internet (if you voted by Internet); 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our virtual annual meeting and voting then.</w:t>
      </w:r>
    </w:p>
    <w:p>
      <w:pPr>
        <w:spacing w:after="0" w:line="117" w:lineRule="exact"/>
        <w:rPr>
          <w:sz w:val="20"/>
          <w:szCs w:val="20"/>
          <w:color w:val="auto"/>
        </w:rPr>
      </w:pPr>
    </w:p>
    <w:p>
      <w:pPr>
        <w:ind w:left="420" w:hanging="224"/>
        <w:spacing w:after="0" w:line="266" w:lineRule="auto"/>
        <w:rPr>
          <w:sz w:val="20"/>
          <w:szCs w:val="20"/>
          <w:color w:val="auto"/>
        </w:rPr>
      </w:pPr>
      <w:r>
        <w:rPr>
          <w:rFonts w:ascii="Times New Roman" w:cs="Times New Roman" w:eastAsia="Times New Roman" w:hAnsi="Times New Roman"/>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7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148" w:lineRule="exact"/>
        <w:rPr>
          <w:sz w:val="20"/>
          <w:szCs w:val="20"/>
          <w:color w:val="auto"/>
        </w:rPr>
      </w:pPr>
    </w:p>
    <w:p>
      <w:pPr>
        <w:ind w:left="420" w:right="80" w:hanging="412"/>
        <w:spacing w:after="0" w:line="329" w:lineRule="auto"/>
        <w:tabs>
          <w:tab w:leader="none" w:pos="4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Only the inspector of votes and certain of our employees will have access to your proxy card. All comments will remain confidential, unless you ask that your name be disclosed.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CURRENT STOCK OWNERSHIP</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percentage of stock do the directors and executive officers own?</w:t>
      </w:r>
    </w:p>
    <w:p>
      <w:pPr>
        <w:spacing w:after="0" w:line="121" w:lineRule="exact"/>
        <w:rPr>
          <w:sz w:val="20"/>
          <w:szCs w:val="20"/>
          <w:color w:val="auto"/>
        </w:rPr>
      </w:pPr>
    </w:p>
    <w:p>
      <w:pPr>
        <w:ind w:left="420" w:right="300" w:hanging="412"/>
        <w:spacing w:after="0" w:line="282"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our named executive officers (“NEO”) and directors beneficially owned approximately 770,004 shares, or approximately 8.2% of our outstanding common stock as of March 3, 2025.</w:t>
      </w:r>
    </w:p>
    <w:p>
      <w:pPr>
        <w:spacing w:after="0" w:line="54" w:lineRule="exact"/>
        <w:rPr>
          <w:sz w:val="20"/>
          <w:szCs w:val="20"/>
          <w:color w:val="auto"/>
        </w:rPr>
      </w:pPr>
    </w:p>
    <w:p>
      <w:pPr>
        <w:ind w:left="420" w:right="160"/>
        <w:spacing w:after="0" w:line="282" w:lineRule="auto"/>
        <w:rPr>
          <w:sz w:val="20"/>
          <w:szCs w:val="20"/>
          <w:color w:val="auto"/>
        </w:rPr>
      </w:pPr>
      <w:r>
        <w:rPr>
          <w:rFonts w:ascii="Times New Roman" w:cs="Times New Roman" w:eastAsia="Times New Roman" w:hAnsi="Times New Roman"/>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are the largest principal stockholders?</w:t>
      </w:r>
    </w:p>
    <w:p>
      <w:pPr>
        <w:spacing w:after="0" w:line="121" w:lineRule="exact"/>
        <w:rPr>
          <w:sz w:val="20"/>
          <w:szCs w:val="20"/>
          <w:color w:val="auto"/>
        </w:rPr>
      </w:pPr>
    </w:p>
    <w:p>
      <w:pPr>
        <w:ind w:left="420" w:right="80" w:hanging="412"/>
        <w:spacing w:after="0" w:line="258"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review of Schedule 13G, Schedule 13D, and Form 13F filings, as of March 3, 2025, 10 institutional stockholders with the largest percentage ownership of our outstanding common stock were Hoak Public Equities, L.P. (7.9%), Allspring Global Investments Holding LLC (6.2%), GAMCO Investors, Inc. (4.8%), Renaissance Technologies LLC (4.5%), The Vanguard Group, Inc. (4.0%), North Star Investment Management Group (3.9%), DePrince, Race &amp; Zollo, Inc. (3.7%), Dimensional Fund Advisors LP (2.6%), Russell Investment Management LLC (2.0%) and BlackRock Fund Advisors (2.0%).</w:t>
      </w:r>
    </w:p>
    <w:p>
      <w:pPr>
        <w:spacing w:after="0" w:line="75" w:lineRule="exact"/>
        <w:rPr>
          <w:sz w:val="20"/>
          <w:szCs w:val="20"/>
          <w:color w:val="auto"/>
        </w:rPr>
      </w:pPr>
    </w:p>
    <w:p>
      <w:pPr>
        <w:ind w:left="420" w:right="500"/>
        <w:spacing w:after="0" w:line="282" w:lineRule="auto"/>
        <w:rPr>
          <w:sz w:val="20"/>
          <w:szCs w:val="20"/>
          <w:color w:val="auto"/>
        </w:rPr>
      </w:pPr>
      <w:r>
        <w:rPr>
          <w:rFonts w:ascii="Times New Roman" w:cs="Times New Roman" w:eastAsia="Times New Roman" w:hAnsi="Times New Roman"/>
          <w:sz w:val="18"/>
          <w:szCs w:val="18"/>
          <w:color w:val="auto"/>
        </w:rPr>
        <w:t>Brian O. Casey, our Chief Executive Officer, owned 5.1% of our outstanding common stock as of March 3, 2025. Our employees and directors, including Mr. Casey, collectively owned approximately 24.1% of our outstanding common stock as of March 3,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is soliciting my proxy and who will pay the solicitation expenses?</w:t>
      </w:r>
    </w:p>
    <w:p>
      <w:pPr>
        <w:spacing w:after="0" w:line="121" w:lineRule="exact"/>
        <w:rPr>
          <w:sz w:val="20"/>
          <w:szCs w:val="20"/>
          <w:color w:val="auto"/>
        </w:rPr>
      </w:pPr>
    </w:p>
    <w:p>
      <w:pPr>
        <w:ind w:left="420" w:right="200" w:hanging="412"/>
        <w:spacing w:after="0" w:line="266" w:lineRule="auto"/>
        <w:tabs>
          <w:tab w:leader="none" w:pos="3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additional questions?</w:t>
      </w:r>
    </w:p>
    <w:p>
      <w:pPr>
        <w:spacing w:after="0" w:line="121" w:lineRule="exact"/>
        <w:rPr>
          <w:sz w:val="20"/>
          <w:szCs w:val="20"/>
          <w:color w:val="auto"/>
        </w:rPr>
      </w:pPr>
    </w:p>
    <w:p>
      <w:pPr>
        <w:ind w:left="420" w:right="540" w:hanging="412"/>
        <w:spacing w:after="0" w:line="282" w:lineRule="auto"/>
        <w:tabs>
          <w:tab w:leader="none" w:pos="3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Terry Forbes, Chief Financial Officer &amp; Treasurer</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Telephone: (214) 756-6900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This question and answer section is qualified in its entirety by the more detailed information contained in this proxy statement.</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2024, filed with the Securities and Exchange Commission (“SEC”) on March 5, 2025 (the “2024 Form 10-K”), which is being sent to you with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Bylaws provide that the Board of Directors of the Company (the “Board” or the “Board of Directors”) will consist of between three and eleven directors, as may be determined from time to time by resolution of the Board. In accordance with the 2024 Annual Meeting of the Board of Directors, the Board approved by vote the number of directors to be six. Each director elected at the 2025 Annual Meeting will serve until the 2026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not serve if elected.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stockholder is entitled to cast one vote for each director nominee per share of common stock held by them at the close of business on March 3,</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2025. The affirmative “FOR” vote of a majority of the shares present in person (or virtually) or represented by proxy and entitled to vote on the election of directors is required for the election of directors. Stockholders may vote “FOR,” “AGAINST,” or “ABSTAIN” with respect to the election of each director nominee. Abstentions will have the same effect as votes against a director nominee, and broker non-votes will have no effect on the outcome of the election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persons nominated to be directors are listed below. The following information is submitted concerning the nominees for election as directors: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Westwood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4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1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1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Hale Hoak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Murray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38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1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EACH OF THE DIRECTOR NOMINEES.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biographical information for each director nominee is set forth below.</w:t>
      </w:r>
    </w:p>
    <w:p>
      <w:pPr>
        <w:spacing w:after="0" w:line="115"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Brian O. Casey </w:t>
      </w:r>
      <w:r>
        <w:rPr>
          <w:rFonts w:ascii="Times New Roman" w:cs="Times New Roman" w:eastAsia="Times New Roman" w:hAnsi="Times New Roman"/>
          <w:sz w:val="18"/>
          <w:szCs w:val="18"/>
          <w:color w:val="auto"/>
        </w:rPr>
        <w:t>has served as Chief Executive Officer of Westwood Holdings Group since 2005. Mr. Casey joined Westwood in 1992 as a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was appointed President and Chief Executive Officer of Westwood Trust in 1996. ln 2001, he was named President and Chief Operating Officer of Westwood Management Corp., and in 2002 he led the spin-off to form Westwood Holdings Group, lnc. During his tenure, Mr. Casey led the acquisitions of Woodway Financial Advisors in Houston in 2015 and the assets of Salient Partners in 2022.</w:t>
      </w:r>
    </w:p>
    <w:p>
      <w:pPr>
        <w:spacing w:after="0" w:line="7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the Chief Executive Officer of the Company with over 25 years in senior executive roles at Westwood, Mr. Casey brings extensive knowledge of and experience with the Company and its business, as well as valuable leadership and management skills. Mr. Casey has deep knowledge of the Company's operations, strategies, and competitive environment as well as of the asset management industry as a whole.</w:t>
      </w:r>
    </w:p>
    <w:p>
      <w:pPr>
        <w:spacing w:after="0" w:line="66"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Ellen H. Masterson </w:t>
      </w:r>
      <w:r>
        <w:rPr>
          <w:rFonts w:ascii="Times New Roman" w:cs="Times New Roman" w:eastAsia="Times New Roman" w:hAnsi="Times New Roman"/>
          <w:sz w:val="18"/>
          <w:szCs w:val="18"/>
          <w:color w:val="auto"/>
        </w:rPr>
        <w:t>has served as a director of Westwood Holdings Group and Westwood Trust since 2014. She retired as a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(“PwC”) in 2008, having served in such capacity since 1999 and also from 1985 to 1997. Ms. Masterson specialized in the audits of companies involved in several sectors of the financial services industry,</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t>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 largest doctor-owned medical malpractice insurer in the United States. Since 1982, she has served on the boards of directors for numerous nonprofit and charitable organizations.</w:t>
      </w:r>
    </w:p>
    <w:p>
      <w:pPr>
        <w:spacing w:after="0" w:line="7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over 40 years of serving clients and acting as a public company Chief Financial Officer and a trustee of nonprofit organizations.</w:t>
      </w:r>
    </w:p>
    <w:p>
      <w:pPr>
        <w:spacing w:after="0" w:line="66" w:lineRule="exact"/>
        <w:rPr>
          <w:sz w:val="20"/>
          <w:szCs w:val="20"/>
          <w:color w:val="auto"/>
        </w:rPr>
      </w:pPr>
    </w:p>
    <w:p>
      <w:pPr>
        <w:ind w:right="260"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Geoffrey R. Norman </w:t>
      </w:r>
      <w:r>
        <w:rPr>
          <w:rFonts w:ascii="Times New Roman" w:cs="Times New Roman" w:eastAsia="Times New Roman" w:hAnsi="Times New Roman"/>
          <w:sz w:val="18"/>
          <w:szCs w:val="18"/>
          <w:color w:val="auto"/>
        </w:rPr>
        <w:t>has served as a director of Westwood Holdings Group and Westwood Trust since April 2007. He was employed by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from 1968 to 2004, serving in various roles, including Comptroller of GE Española, Chief Financial Officer of GE International Contractor Equipment, Vice President &amp; Treasurer of GE Capital, and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headquartered in San Francisco, California.</w:t>
      </w:r>
    </w:p>
    <w:p>
      <w:pPr>
        <w:spacing w:after="0" w:line="7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Mr. Norman brings extensive financial, operational, regulatory, and strategic expertise to the Board, having served in several finance and executive management roles over his 36-year career at General Electric. As a former executive with GE Asset Management, where he led the creation of GE's external money management business and served on the Boards of Trustees of the GE Pension Fund and GE Canada's Pension Plan, Mr. Norman brings deep knowledge of the institutional investment management business from both asset manager and plan sponsor perspectives.</w:t>
      </w:r>
    </w:p>
    <w:p>
      <w:pPr>
        <w:spacing w:after="0" w:line="70"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Randy A. Bowman </w:t>
      </w:r>
      <w:r>
        <w:rPr>
          <w:rFonts w:ascii="Times New Roman" w:cs="Times New Roman" w:eastAsia="Times New Roman" w:hAnsi="Times New Roman"/>
          <w:sz w:val="18"/>
          <w:szCs w:val="18"/>
          <w:color w:val="auto"/>
        </w:rPr>
        <w:t>has served as a director of Westwood Holdings Group and Westwood Trust since 2021. In 2001, he co-founded an innovative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company serving primarily Fortune 200 manufacturers on the North American continent. As President and Co-Owner, Mr. Bowman led the company to 49 consecutive quarters of operating profit, and successfully exited via a sale in 2017. From 1989 to 2001, he served as a corporate finance lawyer, representing publicly-held and privately-owned clients in sophisticated transactions ranging from initial capitalizations to ultimate liquidity events. From 2016 to 2020, Mr. Bowman served as a Board member and Chair of the City of Dallas Employee Retirement Fund (“ERP”), the pension fund for the city’s non-first responder employees (and a top-performing municipal pension fund in Texas each of those years). From 2011 to 2015, he served as Board Chair of the Parkland Hospital Foundation, Dallas County’s nationally-renown trauma and safety net hospital, during the last 5 years of its fundraising campaign that completed the capital stack to build Parkland’s new $1.3B hospital. In 2017, he launched and became CEO of AT LAST! – The Urban Boarding Experience, a non-profit organization that provides 17 hours per day of supplemental educational resources to impoverished elementary school children. Its innovative model has received numerous awards and considerable acclaim since inception.</w:t>
      </w:r>
    </w:p>
    <w:p>
      <w:pPr>
        <w:spacing w:after="0" w:line="7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Mr. Bowman provides deep business acumen in the areas of operations, business development, and strategic planning, with a multi-industry scope, and the perspective of an entrepreneur and former deal lawyer. As former Chair of Dallas’ ERP, he also brings substantial knowledge of a plan sponsor’s perspective in the areas of investment management oversight and decision-making in the allocation process. He also has extensive community knowledge, and reputational and relationship capital through his nonprofit service.</w:t>
      </w:r>
    </w:p>
    <w:p>
      <w:pPr>
        <w:spacing w:after="0" w:line="7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 Hale Hoak </w:t>
      </w:r>
      <w:r>
        <w:rPr>
          <w:rFonts w:ascii="Times New Roman" w:cs="Times New Roman" w:eastAsia="Times New Roman" w:hAnsi="Times New Roman"/>
          <w:sz w:val="18"/>
          <w:szCs w:val="18"/>
          <w:color w:val="auto"/>
        </w:rPr>
        <w:t>has been an active investor in both private and publicly-traded companies for over 25 years. Since 2004, Mr. Hoak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Hoak &amp; Co., a Dallas-based investment holding company, where he is responsible for the daily operations of the firm including all asset allocation and investment decisions. From 2000 to 2004, Mr. Hoak was a founding partner of Inwood Capital Partners, L.P., a long/short equity hedge fund. From 1996 to 2000, Mr. Hoak was Vice President of Hoak Capital Corporation, where he was active in sourcing, evaluating, and managing private equity investments. Mr. Hoak is the founding equity partner of Berkshire Lane Development Partners, a multifamily apartment development company, and currently serves on the boards of Nova Compression, LLC, a provider of natural gas compression equipment and services; Ruan, Inc., the parent company for Ruan Transportation Management Systems, a leading trucking and logistics company; and BTC Financial Corporation, the largest independent bank in Iowa. Mr. Hoak previously served on the Baylor Health Care System Foundation Board of Directors and Southwestern Medical Foundation Board of Trustees as well as numerous other public and private company boards across a variety of industries. Mr. Hoak received a B.S. degree in Business from Miami University of Ohio in 1996.</w:t>
      </w:r>
    </w:p>
    <w:p>
      <w:pPr>
        <w:spacing w:after="0" w:line="7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Katherine Murray </w:t>
      </w:r>
      <w:r>
        <w:rPr>
          <w:rFonts w:ascii="Times New Roman" w:cs="Times New Roman" w:eastAsia="Times New Roman" w:hAnsi="Times New Roman"/>
          <w:sz w:val="18"/>
          <w:szCs w:val="18"/>
          <w:color w:val="auto"/>
        </w:rPr>
        <w:t>has over 33 years of experience as a senior finance executive in the energy sector and public accounting. She currently serves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and compensation committees as well as the board of directors of Core Laboratories, Inc., a public company providing reservoir description and production enhancement services/products with operations in over 50 countries. Since 2018, Ms. Murray has been an independent financial consultant/interim CFO, advising clients on finance strategies, cost optimization, and capital raises. She has also held leadership roles at McDermott International, Inc. and El Paso Corporation, gaining extensive experience in financial reporting, tax, and strategic planning. Ms.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right="240"/>
        <w:spacing w:after="0" w:line="266" w:lineRule="auto"/>
        <w:rPr>
          <w:sz w:val="20"/>
          <w:szCs w:val="20"/>
          <w:color w:val="auto"/>
        </w:rPr>
      </w:pPr>
      <w:r>
        <w:rPr>
          <w:rFonts w:ascii="Times New Roman" w:cs="Times New Roman" w:eastAsia="Times New Roman" w:hAnsi="Times New Roman"/>
          <w:sz w:val="18"/>
          <w:szCs w:val="18"/>
          <w:color w:val="auto"/>
        </w:rPr>
        <w:t>Murray began her career with Arthur Andersen and holds a B.B.A. from the University of St. Thomas. She is a certified public accountant. Her financial expertise and extensive experience in senior finance roles in large global energy companies, as well as her public accounting background, enable her to provide valuable insights in her board positions.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Information</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Board of Directors held five meetings during 2024. All director nominees who served in the capacity of director during the 2024 year attended all the meetings that were held. The standing committees of the Board of Directors currently consist of the Audit Committee, the Compensation and Human Capital Committee, and the Governance/Nominating Committee. The membership and duties of these committees are described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Compensation and</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Governance/Nominating</w:t>
            </w:r>
          </w:p>
        </w:tc>
        <w:tc>
          <w:tcPr>
            <w:tcW w:w="0" w:type="dxa"/>
            <w:vAlign w:val="bottom"/>
          </w:tcPr>
          <w:p>
            <w:pPr>
              <w:spacing w:after="0"/>
              <w:rPr>
                <w:sz w:val="1"/>
                <w:szCs w:val="1"/>
                <w:color w:val="auto"/>
              </w:rPr>
            </w:pPr>
          </w:p>
        </w:tc>
      </w:tr>
      <w:tr>
        <w:trPr>
          <w:trHeight w:val="201"/>
        </w:trPr>
        <w:tc>
          <w:tcPr>
            <w:tcW w:w="610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Independent Directors</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Human</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Committee</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0" w:type="dxa"/>
            <w:vAlign w:val="bottom"/>
          </w:tcPr>
          <w:p>
            <w:pPr>
              <w:spacing w:after="0"/>
              <w:rPr>
                <w:sz w:val="1"/>
                <w:szCs w:val="1"/>
                <w:color w:val="auto"/>
              </w:rPr>
            </w:pPr>
          </w:p>
        </w:tc>
      </w:tr>
      <w:tr>
        <w:trPr>
          <w:trHeight w:val="34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M. Frank</w:t>
            </w:r>
            <w:r>
              <w:rPr>
                <w:rFonts w:ascii="Times New Roman" w:cs="Times New Roman" w:eastAsia="Times New Roman" w:hAnsi="Times New Roman"/>
                <w:sz w:val="23"/>
                <w:szCs w:val="23"/>
                <w:color w:val="auto"/>
                <w:vertAlign w:val="superscript"/>
              </w:rPr>
              <w:t>(2)</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364"/>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(3)</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365"/>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31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323"/>
        </w:trPr>
        <w:tc>
          <w:tcPr>
            <w:tcW w:w="6100" w:type="dxa"/>
            <w:vAlign w:val="bottom"/>
          </w:tcPr>
          <w:p>
            <w:pPr>
              <w:ind w:left="40"/>
              <w:spacing w:after="0"/>
              <w:rPr>
                <w:sz w:val="20"/>
                <w:szCs w:val="20"/>
                <w:color w:val="auto"/>
              </w:rPr>
            </w:pPr>
            <w:r>
              <w:rPr>
                <w:rFonts w:ascii="Times New Roman" w:cs="Times New Roman" w:eastAsia="Times New Roman" w:hAnsi="Times New Roman"/>
                <w:sz w:val="9"/>
                <w:szCs w:val="9"/>
                <w:color w:val="auto"/>
              </w:rPr>
              <w:t>___________________</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9820" w:firstLine="8"/>
        <w:spacing w:after="0" w:line="422" w:lineRule="auto"/>
        <w:tabs>
          <w:tab w:leader="none" w:pos="27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 C Committee chair</w:t>
      </w:r>
    </w:p>
    <w:p>
      <w:pPr>
        <w:spacing w:after="0" w:line="1" w:lineRule="exact"/>
        <w:rPr>
          <w:sz w:val="20"/>
          <w:szCs w:val="20"/>
          <w:color w:val="auto"/>
        </w:rPr>
      </w:pPr>
    </w:p>
    <w:p>
      <w:pPr>
        <w:ind w:left="660" w:right="240" w:hanging="652"/>
        <w:spacing w:after="0" w:line="282" w:lineRule="auto"/>
        <w:tabs>
          <w:tab w:leader="none" w:pos="3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all members of the Audit, Compensation and Human Capital, and Governance/Nominating Committees are "independent directors" under the applicable rules of the NYSE and the Securities and Exchange Commission ("SEC")</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Richard M. Frank served as Chairman of the Board of Directors and, as such, he chaired executive sessions of the Board of Directors.</w:t>
      </w:r>
    </w:p>
    <w:p>
      <w:pPr>
        <w:spacing w:after="0" w:line="122" w:lineRule="exact"/>
        <w:rPr>
          <w:rFonts w:ascii="Times New Roman" w:cs="Times New Roman" w:eastAsia="Times New Roman" w:hAnsi="Times New Roman"/>
          <w:sz w:val="14"/>
          <w:szCs w:val="14"/>
          <w:color w:val="auto"/>
        </w:rPr>
      </w:pPr>
    </w:p>
    <w:p>
      <w:pPr>
        <w:ind w:left="660" w:right="300" w:hanging="652"/>
        <w:spacing w:after="0" w:line="302" w:lineRule="auto"/>
        <w:tabs>
          <w:tab w:leader="none" w:pos="3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Committees</w:t>
      </w:r>
    </w:p>
    <w:p>
      <w:pPr>
        <w:spacing w:after="0" w:line="11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operates pursuant to a charter approved by our Board of Directors, which the Audit Committee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cybersecurity testing and policies, and overall enterprise risk management, including Environmental, Social and Governance ("ESG"). The Audit Committee met five times during 2024 and all board members were in attendance.</w:t>
      </w:r>
    </w:p>
    <w:p>
      <w:pPr>
        <w:spacing w:after="0" w:line="7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Compensation and Human Capital Committee</w:t>
      </w:r>
      <w:r>
        <w:rPr>
          <w:rFonts w:ascii="Times New Roman" w:cs="Times New Roman" w:eastAsia="Times New Roman" w:hAnsi="Times New Roman"/>
          <w:sz w:val="18"/>
          <w:szCs w:val="18"/>
          <w:color w:val="auto"/>
        </w:rPr>
        <w:t>. The Compensation and Human Capital Committee (“CHC Committee”) operates pursuant to a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approved by our Board of Directors, which the CHC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CHC Committee supports the Board of Directors by establishing our executive compensation philosophy and objectives, overseeing the development and implementation of our compensation, benefits and retirement policies and programs, reviewing and approving Company and individual goals relevant to the compensation of the CEO and other executive officers, recommending the compensation of the CEO for approval by the Board of Directors, and determining and administering the compensation for our other executive officers. In addition, the CHC Committee oversees our incentive compensation plans, determines any incentive awards to be made to our officers, oversees our stock incentive and other equity ownership plans, reviews management development and succession plans related to executive officers, reviews our human capital initiatives related to diversity, equity and inclusion programs and other workforce initiatives, as well as oversees other matters relating to compensation and benefits. The CHC Committee met six times during 2024 and all board members were in attendance.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Company’s CEO, who is not a member of the CHC Committee, attended all of the CHC Committee’s meetings held in 2024 in order to contribute to and understand the CHC Committee’s oversight of our executive compensation. The CEO did not attend portions of meetings relating to his own compensation. The CHC Committee regularly conducts executive sessions without management present.</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CHC Committee engages in an ongoing dialog with the CEO and the CHC Committee’s independent compensation consultants in the evaluation and establishment of our executive compensation program and receives input from the Senior Vice President, Head of Human Capital, when making executive compensation decisions.</w:t>
      </w:r>
    </w:p>
    <w:p>
      <w:pPr>
        <w:spacing w:after="0" w:line="6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CHC Committee retained McLagan Partners to serve as an independent consultant to the CHC Committee regarding executive compensation. The CHC Committee did not direct McLagan Partners to perform its services in any particular manner or under any particular method. The CHC Committee has the final authority to retain the compensation consultant and it evaluates the compensation consultant annually. McLagan Partners does not provide any services to the Company other than as an advisor to the CHC Committee, and the CHC Committee has determined that no conflicts of interest exist as a result of the engagement of McLagan Partners.</w:t>
      </w:r>
    </w:p>
    <w:p>
      <w:pPr>
        <w:spacing w:after="0" w:line="73"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Governance/Nominating Committee</w:t>
      </w:r>
      <w:r>
        <w:rPr>
          <w:rFonts w:ascii="Times New Roman" w:cs="Times New Roman" w:eastAsia="Times New Roman" w:hAnsi="Times New Roman"/>
          <w:sz w:val="18"/>
          <w:szCs w:val="18"/>
          <w:color w:val="auto"/>
        </w:rPr>
        <w:t>. The Governance/Nominating Committee operates pursuant to a charter approved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the Governance/Nominating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primary functions of the Governance/Nominating Committee are to develop and oversee the application of corporate governance principles to Westwood, review and assess the composition of the Board, to identify and evaluate qualified candidates for Board membership, to recommend director nominees to the Board to be voted on at the annual meeting of stockholders, develop and recommend Corporate Governance Guidelines and determine a director’s independence, coordinate educational sessions on topics, and communicate with members of the Board regarding Board and committee meeting format and procedures. The Governance/Nominating Committee met four times during 2024 and all board members were in attendance.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Independence</w:t>
      </w:r>
    </w:p>
    <w:p>
      <w:pPr>
        <w:spacing w:after="0" w:line="11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regarding director independence, among other matters. The full text of our Corporate Governance Guidelines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our Corporate Governance Guidelines is available upon written request to our Corporate Secretary at our principal executive office (Westwood Holdings Group, 200 Crescent Court, Suite 1200, Dallas, Texas 75201).</w:t>
      </w:r>
    </w:p>
    <w:p>
      <w:pPr>
        <w:spacing w:after="0" w:line="72"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Pursuant to our Corporate Governance Guidelines, a majority of the members of our Board, as well as of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Securities Exchange Act of 1934, as amended (the “Exchange Act”). Our Board of Directors reviews director independence annually. In the 2024 review, the Board reviewed directors’ responses to a questionnaire inquiring about their relationships and the relationships of their family members with us, and other potential conflicts of interest. Our Board is aware that some of our directors and individuals or entities affiliated with such directors have asset management accounts held by one of our subsidiaries and managed by us. Our Board of Directors did not consider donations made during 2024 by Ms. Byrne, Messrs. Casey or Frank to AT LAST! to be an impairment of Mr. Bowman’s independence. After noting such items our Board of Directors unanimously determined that none of these relationships constituted a material relationship with us that would affect the “independence” of any such director under SEC and NYSE rules.</w:t>
      </w:r>
    </w:p>
    <w:p>
      <w:pPr>
        <w:spacing w:after="0" w:line="86"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Board has affirmatively determined that Messrs. Norman, Bowman, and Hoak and Mses. Masterson and Murray are “independent” as defined under SEC and NYSE rules. Mr. Casey, who served as an executive officer of the Company during 2024, is not an independent director.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Leadership Structure</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separates the roles of Chief Executive Officer and Chairman of the Board, however the Board does not have a policy that requires these two roles to remain separate. Brian O. Casey serves as Westwood Holdings Group’s Chief Executive Officer and Board director, and Richard M. Frank served as our Chairman of the Board in 2024. Mr. Frank will be stepping down from this role as of the 2025 Annual Meeting of Stockholders. An independent board member will be appointed as a new Chairman of the Board at Westwood’s 2025 Annual Meeting of Stockholders. As Chief Executive Officer, Mr. Casey manages the day-to-day operations of the Company together with Fabian Gomez, our President and Chief Operating Officer. Mr. Casey provides leadership on the Company’s key strategic objectives. The Chairman of the Board (i) provides leadership to the Board and chairs its meetings, (ii) chairs executive sessions of the non-management directors, and (iii) sets the agendas for such meetings and sessions. In accordance with our Corporate Governance Guidelines, our non-management directors meet in executive session without the presence of management on a regular basis.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3" w:name="page14"/>
    <w:bookmarkEnd w:id="13"/>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With a supermajority of independent directors, an Audit Committee, a CHC Committee, and a Governance/Nominating Committee each comprised entirely of independent directors, and an independent Chairman of the Board who chairs all executive sessions of the non-management directors, the Board of Directors believes that its current leadership structure provides an appropriate balance that best serves the Company and its stockholders.</w:t>
      </w:r>
    </w:p>
    <w:p>
      <w:pPr>
        <w:spacing w:after="0" w:line="6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Board has adopted a Board Refreshment Policy that sets age limits and tenure caps for Board members, with the ability to delay a limit or cap where appropriate. The Board Refreshment Policy also requires the Board to engage in routine evaluations of its members and establishes a Director Emerita/us position on the Board.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Board’s Role in Risk Oversight</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AI, cybersecurity, ESG and strategic risks. The Audit Committee is responsible for oversight of risks relating to accounting matters, financial reporting, cybersecurity, and legal and regulatory compliance. To satisfy these oversight responsibilities, the Audit Committee meets regularly with management, Protiviti, the Company’s internal auditor, and BDO, the Company's independent auditor. The Audit Committee also oversees and approves the engagement of a third-party service provider to perform cybersecurity assistance services and cybersecurity testing throughout the year. The CHC Committee is responsible for overseeing risks relating to employment policies and the Company's compensation and benefits programs, including diversity, equity and inclusion. To satisfy these oversight responsibilities, the CHC Committee meets regularly with management to understand the implications of compensation decisions, particularly the risks our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8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Board’s risk oversight function is supported by our Chief Executive Officer and Board director, Mr. Casey, whose industry knowledge and experience provide the Board with a deep understanding of risks facing the Company. The Board of Directors believes that having Mr. Casey on the Board, together with a supermajority of independent directors and three wholly independent Board committees, provides the appropriate leadership structure for effective risk oversight by the Board.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Compensation Policies and Practices</w:t>
      </w:r>
    </w:p>
    <w:p>
      <w:pPr>
        <w:spacing w:after="0" w:line="119"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As part of its oversight of our executive and non-executive compensation programs, the CHC Committee considers the impact on our risk profile of our compensation programs, including incentive awards. The CHC Committee reviews its compensation policies and procedures, including incentives and other factors that may influence excessive risk-taking, to determine whether they present a material risk to the Company. The CHC Committee also utilizes these risk mitigating factors:</w:t>
      </w:r>
    </w:p>
    <w:p>
      <w:pPr>
        <w:spacing w:after="0" w:line="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compensation levels that are competitive with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annual cash incentive awards;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authority to reduce annual cash incentive awards;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awards to reward executives and other key employees for driving sustainable, profitable growth for stockholders and clients;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periods for long-term equity incentive awards that encourage key employees to focus on sustained stock price appreciation;</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over financial reporting and other financial, operational and compliance policies and practices that are intended to prevent manipulation of performance;</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key risk mitigating policies, including a clawback policy to recover incentives for financial restatements due to misconduct or fraud, and stock ownership guidelines that require officers and directors to own a significant amount of Company stock;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related to the promotion of diversity, equity and inclusion in our workforce.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Core Principles</w:t>
      </w:r>
    </w:p>
    <w:p>
      <w:pPr>
        <w:spacing w:after="0" w:line="11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Since inception as a company, we have worked to create a corporate culture focused on our core values. In pursuit of that goal, we have found meaningful inspiration in Coach John Wooden’s </w:t>
      </w:r>
      <w:r>
        <w:rPr>
          <w:rFonts w:ascii="Times New Roman" w:cs="Times New Roman" w:eastAsia="Times New Roman" w:hAnsi="Times New Roman"/>
          <w:sz w:val="18"/>
          <w:szCs w:val="18"/>
          <w:i w:val="1"/>
          <w:iCs w:val="1"/>
          <w:color w:val="auto"/>
        </w:rPr>
        <w:t>Pyramid of Success</w:t>
      </w:r>
      <w:r>
        <w:rPr>
          <w:rFonts w:ascii="Times New Roman" w:cs="Times New Roman" w:eastAsia="Times New Roman" w:hAnsi="Times New Roman"/>
          <w:sz w:val="18"/>
          <w:szCs w:val="18"/>
          <w:color w:val="auto"/>
        </w:rPr>
        <w:t>™, which helps us to reach for and maintain a culture of teamwork and integrity that always puts the interests of our clients ahead of our own.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At Westwood, impacted by cultural shifts affecting our industry, we have reflected on and refined the criteria that we believe will keep us competitive and relevant. Our ESG focus is guided by the following six pillars:</w:t>
      </w:r>
    </w:p>
    <w:p>
      <w:pPr>
        <w:spacing w:after="0" w:line="5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equity and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investing;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w:t>
      </w:r>
    </w:p>
    <w:p>
      <w:pPr>
        <w:spacing w:after="0" w:line="11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consider ESG issues in our investment process and also in our daily business lives because doing so makes good business sense. ESG enables us to create an environment that values true diversity, inclusiveness and transparency and ultimately supports employee growth over the long term.</w:t>
      </w:r>
    </w:p>
    <w:p>
      <w:pPr>
        <w:spacing w:after="0" w:line="54" w:lineRule="exact"/>
        <w:rPr>
          <w:sz w:val="20"/>
          <w:szCs w:val="20"/>
          <w:color w:val="auto"/>
        </w:rPr>
      </w:pPr>
    </w:p>
    <w:p>
      <w:pPr>
        <w:ind w:right="380" w:firstLine="486"/>
        <w:spacing w:after="0" w:line="256" w:lineRule="auto"/>
        <w:rPr>
          <w:sz w:val="20"/>
          <w:szCs w:val="20"/>
          <w:color w:val="auto"/>
        </w:rPr>
      </w:pPr>
      <w:r>
        <w:rPr>
          <w:rFonts w:ascii="Times New Roman" w:cs="Times New Roman" w:eastAsia="Times New Roman" w:hAnsi="Times New Roman"/>
          <w:sz w:val="18"/>
          <w:szCs w:val="18"/>
          <w:color w:val="auto"/>
        </w:rPr>
        <w:t>As an active asset manager, we take a fundamental, financial materiality approach to identifying high-quality companies and strong businesses around the world. Our responsible investment commitment is linked into our investment process across our broad range of high-conviction equity and outcome-oriented solutions. We integrate ESG issues into our proprietary investment process and consider them important in conducting bottom-up, fundamental analysis when evaluating a company’s strategy, downside risk and valuation. Our research finds that sustainability plays a critical role in company selection and it has always been an input to our analytical process. As ESG evaluation techniques continue to evolve, we will adapt our investment approach to stay true to our fiduciary responsibilities.</w:t>
      </w:r>
    </w:p>
    <w:p>
      <w:pPr>
        <w:spacing w:after="0" w:line="7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Being an active manager describes more than just our approach to investing. It also sums up how we run our business as a publicly traded company. Our focus on transparency, corporate governance, life principles, ethical conduct and giving back to our communities is central to our values. Diversity is an important part of our culture: approximately 41% of our employees are women, including 24% at or above the Vice President level and about 32% of our employees self-identify as members of minority communities. In 2024, Westwood was honored as one of Pensions &amp; Investments’ “Best Places to Work in Money Management,” an award Westwood has received 10 times. Westwood is a signatory of the United Nations Principles for Responsible Investment ("UNPRI") and is committed to adopting and implementing responsible investment principles in a manner consistent with our fiduciary duties. We support the UNPRI and fully recognize the importance of considering ESG issues in our overall investment process.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Westwood is committed to the successful integration and promotion of ESG at both corporate and investment levels. We have established a Responsible Investment Committee and a Corporate Responsibility Committee to ensure that we have the strategic influence and leadership to create a clear corporate sustainability strategy across our business. The separation of responsibilities among these two structures is designed to ensure accountability across our firm.</w:t>
      </w:r>
    </w:p>
    <w:p>
      <w:pPr>
        <w:spacing w:after="0" w:line="7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Responsible Investment Committee deals with the maintenance, development and implementation of investment practices to support our ESG policy. The Corporate Responsibility Committee oversees and implements our corporate sustainability strategy and ESG policies, engaging leadership across corporate functions to provide oversight and strategic guidance. Diversity, Equity and Inclusion is central to our history, culture and identity. We support opportunities for individuals from all backgrounds and value unique ideas, perspectives and experiences. In such an environment, we want our employees to feel valued, included and empowered to do their best work and deliver the best possible service to our clients.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Using available data on Diversity, Equity and Inclusion best practices, the Committee’s efforts focus on these goals:</w:t>
      </w:r>
    </w:p>
    <w:p>
      <w:pPr>
        <w:spacing w:after="0" w:line="117" w:lineRule="exact"/>
        <w:rPr>
          <w:sz w:val="20"/>
          <w:szCs w:val="20"/>
          <w:color w:val="auto"/>
        </w:rPr>
      </w:pPr>
    </w:p>
    <w:p>
      <w:pPr>
        <w:ind w:left="740" w:hanging="31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managers on recruiting and managing a diverse workforce;</w:t>
      </w:r>
    </w:p>
    <w:p>
      <w:pPr>
        <w:spacing w:after="0" w:line="117"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 inclusive work environment to ensure equal opportunity for professional growth and advancement; and</w:t>
      </w:r>
    </w:p>
    <w:p>
      <w:pPr>
        <w:spacing w:after="0" w:line="117"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cultural competence and responsiveness to maximize our effectiveness in interpersonal interactions to best meet client needs.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w:t>
      </w:r>
    </w:p>
    <w:p>
      <w:pPr>
        <w:spacing w:after="0" w:line="11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Westwood treats proxy voting rights as valuable portfolio assets. Our overarching principle is to exercise voting responsibilities solely in the best interests of our stockholders. We view proxy voting as a way to address corporate governance issues and to encourage corporate actions that enhance stockholder value. Westwood uses guidelines from a third-party proxy research service, Glass-Lewis, that we believe create value for our clients. The Investment Operations Team oversees implementation of our proxy voting policy. Our Corporate Responsibility Committee, in collaboration with our investment</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5" w:name="page16"/>
    <w:bookmarkEnd w:id="15"/>
    <w:p>
      <w:pPr>
        <w:ind w:right="120"/>
        <w:spacing w:after="0" w:line="261" w:lineRule="auto"/>
        <w:rPr>
          <w:sz w:val="20"/>
          <w:szCs w:val="20"/>
          <w:color w:val="auto"/>
        </w:rPr>
      </w:pPr>
      <w:r>
        <w:rPr>
          <w:rFonts w:ascii="Times New Roman" w:cs="Times New Roman" w:eastAsia="Times New Roman" w:hAnsi="Times New Roman"/>
          <w:sz w:val="18"/>
          <w:szCs w:val="18"/>
          <w:color w:val="auto"/>
        </w:rPr>
        <w:t>team’s bi-monthly review of ballots, confirms that our proxy voting ESG guidelines generally match Glass-Lewis policy, which is to vote in favor when a clear link exists between the proposal and value enhancement or risk mitigation to stockholders. Our goal is to vote all proxies and, although we generally agree with the recommendations of our proxy research service, we vote against their recommendations when we believe it to be in our clients’ best interests. An annual summary of voting is sent to each client for whom proxies are voted.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 and Corporate Giving</w:t>
      </w:r>
    </w:p>
    <w:p>
      <w:pPr>
        <w:spacing w:after="0" w:line="11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Community involvement is a cornerstone of our culture, which drives employee engagement and makes employees proud to work at Westwood. Every year we donate to local and national nonprofit organizations and we are pleased to support clients and employees in their volunteer efforts. Westwood employees participate in various community volunteer activities throughout the year, such as serving food to the homeless and at-risk individuals at The Stewpot or building homes with Habitat for Humanity.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Stockholder Recommendations for Director Candidates</w:t>
      </w:r>
    </w:p>
    <w:p>
      <w:pPr>
        <w:spacing w:after="0" w:line="119"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7"/>
          <w:szCs w:val="17"/>
          <w:color w:val="auto"/>
        </w:rPr>
        <w:t>The Board of Directors has delegated specific responsibilities to the Governance/Nominating Committee relating to selection of directors to serve on the Board. The Governance/Nominating Committee is responsible for identifying potential candidates for Board membership and for recommending a slate of director candidates to stand for election at the Annual Meeting of our Stockholders. The Governance/Nominating Committee seeks to identify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 (v) are individuals with inquiring minds willing to challenge and stimulate management, (vi) offer diversity to the Board, with diversity being broadly construed to mean a variety of opinions, perspectives, experiences, and backgrounds, such as gender, race and ethnic differences, as well as other differentiating characteristics, and</w:t>
      </w:r>
    </w:p>
    <w:p>
      <w:pPr>
        <w:ind w:right="60" w:firstLine="8"/>
        <w:spacing w:after="0" w:line="260" w:lineRule="auto"/>
        <w:tabs>
          <w:tab w:leader="none" w:pos="3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the interests of Westwood as a whole and not just the interests of a particular stockholder or group. The Governance/Nominating Committee believes these criteria are the key factors in identifying qualified director candidates.</w:t>
      </w:r>
    </w:p>
    <w:p>
      <w:pPr>
        <w:spacing w:after="0" w:line="7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Governance/Nominating Committee has a policy for considering new director candidates recommended by our stockholders if such recommendations are made in compliance with applicable laws, rules and regulations, our Bylaws, and procedures established by the Governance/Nominating Committee. Director candidates recommended by stockholders are evaluated by the Governance/Nominating Committee using the same criteria described in the previous paragraph. Stockholders may submit their recommendations to the attention of the Board of Directors by following the procedures provided below under the heading “Communications with the Board.”</w:t>
      </w:r>
    </w:p>
    <w:p>
      <w:pPr>
        <w:spacing w:after="0" w:line="7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Under our Bylaws, stockholders can nominate persons for election to our Board of Directors. Any director nomination must comply with the requirements set forth in our Bylaws and must be received by our Corporate Secretary at our principal executive offices between the close of business on December 31, 2025 and the close of business on January 30, 2026, except in certain circumstances set forth in our Bylaws.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Communications with the Board</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legal@westwoodgroup.com, or by telephone to 214-756-6900. Our Corporate Compliance Officer will forward correspondence to its intended addressee.</w:t>
      </w:r>
    </w:p>
    <w:p>
      <w:pPr>
        <w:spacing w:after="0" w:line="7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Board encourages stockholder communication with the Board and company management. The Company conducts ongoing stockholder outreach and holds meetings or calls with requesting stockholders. Additionally, our Chief Executive Officer routinely conducts calls with the Company’s largest stockholders.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 stockholder or other interested party is encouraged to contact directly the Chairman of the Audit Committee, Ellen H. Masterson at emasterson@westwoodgroup.com.</w:t>
      </w:r>
    </w:p>
    <w:p>
      <w:pPr>
        <w:spacing w:after="0" w:line="8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Stockholders may also communicate with Board members at the Company’s annual meeting of stockholders, as it is our policy that Board members should attend such meetings and make themselves available to address any matters properly brought before the meetings. Instructions for methods to communicate with Board members at any virtual annual meeting of</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ind w:right="1260"/>
        <w:spacing w:after="0" w:line="375" w:lineRule="auto"/>
        <w:rPr>
          <w:sz w:val="20"/>
          <w:szCs w:val="20"/>
          <w:color w:val="auto"/>
        </w:rPr>
      </w:pPr>
      <w:r>
        <w:rPr>
          <w:rFonts w:ascii="Times New Roman" w:cs="Times New Roman" w:eastAsia="Times New Roman" w:hAnsi="Times New Roman"/>
          <w:sz w:val="18"/>
          <w:szCs w:val="18"/>
          <w:color w:val="auto"/>
        </w:rPr>
        <w:t xml:space="preserve">stockholders will be explained at the outset of the meeting. All of our Board members attended the 2024 Annual Meeting of Stockholders. </w:t>
      </w:r>
      <w:r>
        <w:rPr>
          <w:rFonts w:ascii="Times New Roman" w:cs="Times New Roman" w:eastAsia="Times New Roman" w:hAnsi="Times New Roman"/>
          <w:sz w:val="18"/>
          <w:szCs w:val="18"/>
          <w:i w:val="1"/>
          <w:iCs w:val="1"/>
          <w:u w:val="single" w:color="auto"/>
          <w:color w:val="auto"/>
        </w:rPr>
        <w:t>Code of Business Conduct</w:t>
      </w:r>
    </w:p>
    <w:p>
      <w:pPr>
        <w:spacing w:after="0" w:line="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A copy of the Code of Business Conduct may be obtained upon written request to our Corporate Secretary at our principal executive office address. We intend to post amendments to or waivers from the Code of Business Conduct as required by applicable rules on our website.</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employees are required to report any conduct that they believe could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For 2024, we paid each non-employee member of our Board of Directors a $70,000 annual retainer. The Chairman of the Board received an additional $20,000 annual retainer, the committee chairs for the Audit and CHC Committees each received an additional $15,000 annual retainer and the committee chair for the Governance/Nominating Committee received an additional $10,000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$95,000 on the date of the award. Stock awards include a $90,000 award for each non-employee director and a $5,000 award for each non-employee director also serving on the separate Board of Directors for Westwood Trust.</w:t>
      </w:r>
    </w:p>
    <w:p>
      <w:pPr>
        <w:spacing w:after="0" w:line="81"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Board has established stock ownership guidelines for non-employee directors, all of whom are in compliance with the policy by holding the required net vested shares until such time as the minimum is achieved.</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CHC Committee reviews our compensation arrangements for directors from time to time. Brian O. Casey, our Chief Executive Officer, is not included in this table as he is a Company employee and receives no compensation for his service as a Board director. See "Executive Compensation" for information concerning Mr. Casey's compensation. The Company's executive officers do not make recommendations regarding the non-employee directors'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Summary Compensation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(2)</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4"/>
        </w:trPr>
        <w:tc>
          <w:tcPr>
            <w:tcW w:w="5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190,000</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0" w:type="dxa"/>
            <w:vAlign w:val="bottom"/>
          </w:tcPr>
          <w:p>
            <w:pPr>
              <w:spacing w:after="0"/>
              <w:rPr>
                <w:sz w:val="1"/>
                <w:szCs w:val="1"/>
                <w:color w:val="auto"/>
              </w:rPr>
            </w:pPr>
          </w:p>
        </w:tc>
      </w:tr>
      <w:tr>
        <w:trPr>
          <w:trHeight w:val="31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80,000</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0" w:type="dxa"/>
            <w:vAlign w:val="bottom"/>
          </w:tcPr>
          <w:p>
            <w:pPr>
              <w:spacing w:after="0"/>
              <w:rPr>
                <w:sz w:val="1"/>
                <w:szCs w:val="1"/>
                <w:color w:val="auto"/>
              </w:rPr>
            </w:pPr>
          </w:p>
        </w:tc>
      </w:tr>
      <w:tr>
        <w:trPr>
          <w:trHeight w:val="54"/>
        </w:trPr>
        <w:tc>
          <w:tcPr>
            <w:tcW w:w="5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w:t>
      </w:r>
    </w:p>
    <w:p>
      <w:pPr>
        <w:spacing w:after="0" w:line="100"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also earns a $1,000 annual retainer and $1,000 for each regularly scheduled quarterly meeting for serving on the separate Board of Directors of Westwood Trust.</w:t>
      </w:r>
    </w:p>
    <w:p>
      <w:pPr>
        <w:spacing w:after="0" w:line="122" w:lineRule="exact"/>
        <w:rPr>
          <w:rFonts w:ascii="Times New Roman" w:cs="Times New Roman" w:eastAsia="Times New Roman" w:hAnsi="Times New Roman"/>
          <w:sz w:val="14"/>
          <w:szCs w:val="14"/>
          <w:color w:val="auto"/>
        </w:rPr>
      </w:pPr>
    </w:p>
    <w:p>
      <w:pPr>
        <w:ind w:left="340" w:right="40" w:hanging="332"/>
        <w:spacing w:after="0" w:line="266" w:lineRule="auto"/>
        <w:tabs>
          <w:tab w:leader="none" w:pos="32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include a $90,000 award of time-based restricted stock for each non-employee director and a $5,000 award of time-based restricted stock for each non-employee director serving on the separate Board of Directors for Westwood Trust. Stock awards reflect the grant date fair value of the time-based restricted stock granted to directors in 2024 in accordance with Accounting Standards Codification Topic 718 ("ASC 718"), "Stock Compensation." The assumptions used in the valuation of the restricted stock awards are discussed in Note 8 "Employee Benefits" of our audited financial statements, which are included in our 2024 Annual Report on Form 10-K. All restricted stock grants were made under the Westwood Holdings Group, Inc. Stock Incentive Plan and are subject to a one-year vesting period as described above.</w:t>
      </w:r>
    </w:p>
    <w:p>
      <w:pPr>
        <w:spacing w:after="0" w:line="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December 31, 2024, our directors, other than Brian O. Casey, held the following unvested restricted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5"/>
        </w:trPr>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r>
      <w:tr>
        <w:trPr>
          <w:trHeight w:val="172"/>
        </w:trPr>
        <w:tc>
          <w:tcPr>
            <w:tcW w:w="9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r>
      <w:tr>
        <w:trPr>
          <w:trHeight w:val="244"/>
        </w:trPr>
        <w:tc>
          <w:tcPr>
            <w:tcW w:w="9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Stock </w:t>
            </w:r>
            <w:r>
              <w:rPr>
                <w:rFonts w:ascii="Times New Roman" w:cs="Times New Roman" w:eastAsia="Times New Roman" w:hAnsi="Times New Roman"/>
                <w:sz w:val="18"/>
                <w:szCs w:val="18"/>
                <w:b w:val="1"/>
                <w:bCs w:val="1"/>
                <w:color w:val="auto"/>
                <w:w w:val="98"/>
                <w:vertAlign w:val="superscript"/>
              </w:rPr>
              <w:t>(1)</w:t>
            </w:r>
          </w:p>
        </w:tc>
      </w:tr>
      <w:tr>
        <w:trPr>
          <w:trHeight w:val="30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7,547</w:t>
            </w:r>
          </w:p>
        </w:tc>
      </w:tr>
      <w:tr>
        <w:trPr>
          <w:trHeight w:val="54"/>
        </w:trPr>
        <w:tc>
          <w:tcPr>
            <w:tcW w:w="9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44"/>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7,547</w:t>
            </w:r>
          </w:p>
        </w:tc>
      </w:tr>
      <w:tr>
        <w:trPr>
          <w:trHeight w:val="311"/>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7,547</w:t>
            </w:r>
          </w:p>
        </w:tc>
      </w:tr>
      <w:tr>
        <w:trPr>
          <w:trHeight w:val="54"/>
        </w:trPr>
        <w:tc>
          <w:tcPr>
            <w:tcW w:w="9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11"/>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7,547</w:t>
            </w:r>
          </w:p>
        </w:tc>
      </w:tr>
      <w:tr>
        <w:trPr>
          <w:trHeight w:val="54"/>
        </w:trPr>
        <w:tc>
          <w:tcPr>
            <w:tcW w:w="9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85"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on May 1, 2024 with a vesting date of May 1, 2025, subject to such director's continued service as a director through the vesting date.</w:t>
      </w:r>
    </w:p>
    <w:p>
      <w:pPr>
        <w:spacing w:after="0" w:line="1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Biographical information regarding Westwood's executive officers and other key employees during 2024 is as follows: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Brian O. Casey, </w:t>
      </w:r>
      <w:r>
        <w:rPr>
          <w:rFonts w:ascii="Times New Roman" w:cs="Times New Roman" w:eastAsia="Times New Roman" w:hAnsi="Times New Roman"/>
          <w:sz w:val="18"/>
          <w:szCs w:val="18"/>
          <w:color w:val="auto"/>
        </w:rPr>
        <w:t>age 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biographical information in the "Proposal 1 – Election of Directors" section.</w:t>
      </w:r>
    </w:p>
    <w:p>
      <w:pPr>
        <w:spacing w:after="0" w:line="11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Fabian Gomez, </w:t>
      </w:r>
      <w:r>
        <w:rPr>
          <w:rFonts w:ascii="Times New Roman" w:cs="Times New Roman" w:eastAsia="Times New Roman" w:hAnsi="Times New Roman"/>
          <w:sz w:val="18"/>
          <w:szCs w:val="18"/>
          <w:color w:val="auto"/>
        </w:rPr>
        <w:t>age 59, has served as President since May 2022 and as Chief Operating Officer since July 2023. He previously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Chief Operating Officer from February 2018 to May 2022. He served as Chief Information Officer from July 2015 and as Director of Operations from February 2016. Before joining Westwood, Mr. Gomez worked at Invesco Ltd. as Global Head of Equity and Alternative Investment Applications where he was responsible for strategic planning, oversight of all major project initiatives and staff development at a global level. Mr. Gomez worked at McDonnell Investment Management for six years as a Managing Director and Chief Information Officer and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75"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Murray "Terry" Forbes III, </w:t>
      </w:r>
      <w:r>
        <w:rPr>
          <w:rFonts w:ascii="Times New Roman" w:cs="Times New Roman" w:eastAsia="Times New Roman" w:hAnsi="Times New Roman"/>
          <w:sz w:val="18"/>
          <w:szCs w:val="18"/>
          <w:color w:val="auto"/>
        </w:rPr>
        <w:t>age 47, has served as Managing Director, Chief Financial Officer and Treasurer since November 2018. Previously,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Finance from December 2014 to October 2018. Prior to joining Westwood, Mr. Forbes served as Senior Director and Assistant Controller of CEC, an NYSE-listed company until February 2014. From 2000 to 2012, he was with KPMG LLP, most recently as an Audit Senior Manager. Mr. Forbes earned a B.B.A. in Accounting from the University of Richmond.</w:t>
      </w:r>
    </w:p>
    <w:p>
      <w:pPr>
        <w:spacing w:after="0" w:line="7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John A. Ehinger, Jr., </w:t>
      </w:r>
      <w:r>
        <w:rPr>
          <w:rFonts w:ascii="Times New Roman" w:cs="Times New Roman" w:eastAsia="Times New Roman" w:hAnsi="Times New Roman"/>
          <w:sz w:val="18"/>
          <w:szCs w:val="18"/>
          <w:color w:val="auto"/>
        </w:rPr>
        <w:t>age 51, has served as Westwood's Head of Legal and Chief Compliance Officer since April 2023. Mr. Ehinger joined Westwood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2016 as Senior Legal Counsel. Prior to joining Westwood, Mr. Ehinger served as General Counsel and Chief Compliance Officer with Placemark Investments, Inc. and as transition counsel with Envestnet Asset Management, Inc., following its acquisition of Placemark. Previously he was an Associate at Balch &amp; Bingham LP in Alabama and a Staff Attorney with the U.S. Securities and Exchange Commission, Division of Market Regulation (now Trading and Markets) in Washington, DC. Mr. Ehinger earned his B.A. in History from Auburn University and his JD from Vanderbilt University. He is a member of the Texas State Bar.</w:t>
      </w:r>
    </w:p>
    <w:p>
      <w:pPr>
        <w:spacing w:after="0" w:line="74" w:lineRule="exact"/>
        <w:rPr>
          <w:sz w:val="20"/>
          <w:szCs w:val="20"/>
          <w:color w:val="auto"/>
        </w:rPr>
      </w:pPr>
    </w:p>
    <w:p>
      <w:pPr>
        <w:jc w:val="both"/>
        <w:ind w:right="160" w:firstLine="405"/>
        <w:spacing w:after="0" w:line="281" w:lineRule="auto"/>
        <w:rPr>
          <w:sz w:val="20"/>
          <w:szCs w:val="20"/>
          <w:color w:val="auto"/>
        </w:rPr>
      </w:pPr>
      <w:r>
        <w:rPr>
          <w:rFonts w:ascii="Times New Roman" w:cs="Times New Roman" w:eastAsia="Times New Roman" w:hAnsi="Times New Roman"/>
          <w:sz w:val="17"/>
          <w:szCs w:val="17"/>
          <w:i w:val="1"/>
          <w:iCs w:val="1"/>
          <w:color w:val="auto"/>
        </w:rPr>
        <w:t>Leah Bennett</w:t>
      </w:r>
      <w:r>
        <w:rPr>
          <w:rFonts w:ascii="Times New Roman" w:cs="Times New Roman" w:eastAsia="Times New Roman" w:hAnsi="Times New Roman"/>
          <w:sz w:val="17"/>
          <w:szCs w:val="17"/>
          <w:color w:val="auto"/>
        </w:rPr>
        <w:t>, age 56, served as President, Westwood Wealth Management from May 2022 to December 2024. From March 2018 to May 2022 she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President of Westwood Wealth Management – Houston and from June 2016 to March 2018 as Vice President, Trust Officer. Prior to Westwood, Ms. Bennett was Co-Chief Investment Officer at South Texas Money Management, Managing Director and Chief Investment Officer at King Investment Advisors, Inc. and a Research Analyst for Capital Research &amp; Management. Ms. Bennett earned her B.S in Economics from Texas A&amp;M University.</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no family relationships among the directors, executive officers and other key employees of Westwood.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Company is a “smaller reporting company” under Item 10 of Regulation S-K, promulgated under the Securities and Exchange Act of 1934, as amended, and the following compensation disclosure is intended to comply with the requirements applicable to smaller reporting companies. The rules allow the Company to provide less detail about its executive compensation program, however the CHC Committee has provided additional information below regarding its executive compensation program to help stockholders understand its executive compensation decisions.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1"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This section provides information regarding our executive compensation program in 2024 for the following executive officers of the Company (collectively, the "named executive officers" or “NEO”):</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8"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324"/>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11"/>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Fabian Gomez</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54"/>
        </w:trPr>
        <w:tc>
          <w:tcPr>
            <w:tcW w:w="2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60" w:type="dxa"/>
            <w:vAlign w:val="bottom"/>
          </w:tcPr>
          <w:p>
            <w:pPr>
              <w:spacing w:after="0"/>
              <w:rPr>
                <w:sz w:val="4"/>
                <w:szCs w:val="4"/>
                <w:color w:val="auto"/>
              </w:rPr>
            </w:pPr>
          </w:p>
        </w:tc>
      </w:tr>
      <w:tr>
        <w:trPr>
          <w:trHeight w:val="364"/>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Leah Bennett</w:t>
            </w:r>
            <w:r>
              <w:rPr>
                <w:rFonts w:ascii="Times New Roman" w:cs="Times New Roman" w:eastAsia="Times New Roman" w:hAnsi="Times New Roman"/>
                <w:sz w:val="23"/>
                <w:szCs w:val="23"/>
                <w:color w:val="auto"/>
                <w:vertAlign w:val="superscript"/>
              </w:rPr>
              <w:t>(1)</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President, Westwood Wealth Management</w:t>
            </w:r>
          </w:p>
        </w:tc>
      </w:tr>
    </w:tbl>
    <w:p>
      <w:pPr>
        <w:spacing w:after="0" w:line="158" w:lineRule="exact"/>
        <w:rPr>
          <w:sz w:val="20"/>
          <w:szCs w:val="20"/>
          <w:color w:val="auto"/>
        </w:rPr>
      </w:pPr>
    </w:p>
    <w:p>
      <w:pPr>
        <w:ind w:left="240" w:hanging="232"/>
        <w:spacing w:after="0"/>
        <w:tabs>
          <w:tab w:leader="none" w:pos="240" w:val="left"/>
        </w:tabs>
        <w:numPr>
          <w:ilvl w:val="0"/>
          <w:numId w:val="35"/>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Ms. Bennett separated from her role as President of Westwood Wealth Management on December 31,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Performance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challenging market conditions, the Company delivered strong financial and strategic results during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Company’s 2024 financial results include the following:</w:t>
      </w:r>
    </w:p>
    <w:p>
      <w:pPr>
        <w:spacing w:after="0" w:line="11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firm assets for 2024 were $17.6 billion, up $1 billion from 2023.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 2024 were $94.7 million, approximately 6% higher than 2023.</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Income was $2.2 million, down from $9.5 million in 2023 primarily due to changes in the fair value of contingent consideration, higher employee expenses and one-time life insurance proceeds in 2023, partly offset by higher revenues and lower income taxes.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institutional pipeline grew 77% to $2.3 billion in 2024.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(NYSE: WHG) rose 21% in 2024, including stock appreciation and dividends.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out approximately $5.4 million in dividends to our stockholders.</w:t>
      </w:r>
    </w:p>
    <w:p>
      <w:pPr>
        <w:spacing w:after="0" w:line="117" w:lineRule="exact"/>
        <w:rPr>
          <w:rFonts w:ascii="Times New Roman" w:cs="Times New Roman" w:eastAsia="Times New Roman" w:hAnsi="Times New Roman"/>
          <w:sz w:val="18"/>
          <w:szCs w:val="18"/>
          <w:color w:val="auto"/>
        </w:rPr>
      </w:pPr>
    </w:p>
    <w:p>
      <w:pPr>
        <w:ind w:right="360" w:firstLine="332"/>
        <w:spacing w:after="0" w:line="375" w:lineRule="auto"/>
        <w:tabs>
          <w:tab w:leader="none" w:pos="6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remains strong with cash and liquid investments of approximately $44.6 million, and no debt as of December 31, 2024. Highlights of the Company’s 2024 strategic results include the following:</w:t>
      </w:r>
    </w:p>
    <w:p>
      <w:pPr>
        <w:spacing w:after="0" w:line="1"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Channel:</w:t>
      </w:r>
      <w:r>
        <w:rPr>
          <w:rFonts w:ascii="Times New Roman" w:cs="Times New Roman" w:eastAsia="Times New Roman" w:hAnsi="Times New Roman"/>
          <w:sz w:val="18"/>
          <w:szCs w:val="18"/>
          <w:color w:val="auto"/>
        </w:rPr>
        <w:t xml:space="preserve"> Our institutional team exceeded its $1 billion annual gross sales goal for 2024 in achieving a 100% year-over-year increase. Our institutional team won and funded eight mandates totaling over $600 million in 2024. SMidCap strategies dominated with institutional flows from new mandates and growth in our SMid CIT vehicle.</w:t>
      </w:r>
    </w:p>
    <w:p>
      <w:pPr>
        <w:spacing w:after="0" w:line="6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Energy ETFs Launch:</w:t>
      </w:r>
      <w:r>
        <w:rPr>
          <w:rFonts w:ascii="Times New Roman" w:cs="Times New Roman" w:eastAsia="Times New Roman" w:hAnsi="Times New Roman"/>
          <w:sz w:val="18"/>
          <w:szCs w:val="18"/>
          <w:color w:val="auto"/>
        </w:rPr>
        <w:t xml:space="preserve"> We launched two ETFs—Westwood Salient Enhanced Midstream Income ETF (MDST) and Westwood Salient Enhanced Energy Income ETF (WEEI). MDST reached $73 million in assets, exceeding our capital goals for its initial year, and maintained strong trading volumes.</w:t>
      </w:r>
    </w:p>
    <w:p>
      <w:pPr>
        <w:spacing w:after="0" w:line="67" w:lineRule="exact"/>
        <w:rPr>
          <w:rFonts w:ascii="Times New Roman" w:cs="Times New Roman" w:eastAsia="Times New Roman" w:hAnsi="Times New Roman"/>
          <w:sz w:val="18"/>
          <w:szCs w:val="18"/>
          <w:color w:val="auto"/>
        </w:rPr>
      </w:pPr>
    </w:p>
    <w:p>
      <w:pPr>
        <w:ind w:left="660" w:right="460" w:hanging="328"/>
        <w:spacing w:after="0" w:line="22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WEBs ETF Partnership:</w:t>
      </w:r>
      <w:r>
        <w:rPr>
          <w:rFonts w:ascii="Times New Roman" w:cs="Times New Roman" w:eastAsia="Times New Roman" w:hAnsi="Times New Roman"/>
          <w:sz w:val="18"/>
          <w:szCs w:val="18"/>
          <w:color w:val="auto"/>
        </w:rPr>
        <w:t xml:space="preserve"> We formed Westwood Engineered Beta (WEBs) with ETF veteran Ben Fulton to scale Westwood’s ETF platform, offering investors and advisors new, highly innovative strategies. Through our WEBs partnership with Mr. Fulton, we launched two ETFs in December employing WEBs’ proprietary Defined Volatility</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strategy: WEBs Defined Volatility</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SPY ETF (DVSP) and WEBs Defined Volatility</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QQQ ETF (DVQQ). These ETFs are designed to provide a more stable investment experience across market conditions, using a dynamic, rules-based strategy to adjust exposure to equity markets based on real-time volatility.</w:t>
      </w:r>
    </w:p>
    <w:p>
      <w:pPr>
        <w:spacing w:after="0" w:line="90"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Strategic Growth Initiatives:</w:t>
      </w:r>
      <w:r>
        <w:rPr>
          <w:rFonts w:ascii="Times New Roman" w:cs="Times New Roman" w:eastAsia="Times New Roman" w:hAnsi="Times New Roman"/>
          <w:sz w:val="18"/>
          <w:szCs w:val="18"/>
          <w:color w:val="auto"/>
        </w:rPr>
        <w:t xml:space="preserve"> We completed the initial build-out of our Managed Investment Solutions (MIS) platform and engaged in client outreach to introduce our new strategic capabilities. Our Energy Secondaries Fund I is performing well and we continue to seek opportunities to meet investor demand for these types of investments.</w:t>
      </w:r>
    </w:p>
    <w:p>
      <w:pPr>
        <w:spacing w:after="0" w:line="6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Wealth Transition:</w:t>
      </w:r>
      <w:r>
        <w:rPr>
          <w:rFonts w:ascii="Times New Roman" w:cs="Times New Roman" w:eastAsia="Times New Roman" w:hAnsi="Times New Roman"/>
          <w:sz w:val="18"/>
          <w:szCs w:val="18"/>
          <w:color w:val="auto"/>
        </w:rPr>
        <w:t xml:space="preserve"> Our Westwood Wealth Management team established several new processes to improve efficiencies in trading as well as implemented OneVest to improve the client portal experience and accuracy of data.</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Performance:</w:t>
      </w:r>
      <w:r>
        <w:rPr>
          <w:rFonts w:ascii="Times New Roman" w:cs="Times New Roman" w:eastAsia="Times New Roman" w:hAnsi="Times New Roman"/>
          <w:sz w:val="18"/>
          <w:szCs w:val="18"/>
          <w:color w:val="auto"/>
        </w:rPr>
        <w:t xml:space="preserve"> SMidCap Value, Multi-Asset Income, Credit Opportunities, Real Estate Income, MLP SMA, MLP High Conviction, and MLP &amp; Energy Infrastructure all beat their primary benchmarks for the year.</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U.S. Value Equity strategies were ahead of their benchmarks over the trailing three-year periods, and 75% led their benchmarks over the last five years.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Opportunity ranked in the top quartile for the trailing 1-, 5-, 7-, 10-year periods and since inception in its Morningstar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Multi-Asset Income gained a five-star rating from Morningstar in the Conservative Allocation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Income strategy exceeded its benchmark and ranked in the 29th percentile in its Morningstar universe over the trailing three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MLP SMA strategy was ahead of the Alerian Midstream Index across all trailing periods.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19" w:name="page20"/>
    <w:bookmarkEnd w:id="19"/>
    <w:p>
      <w:pPr>
        <w:ind w:left="660" w:right="2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Rebranding Initiative:</w:t>
      </w:r>
      <w:r>
        <w:rPr>
          <w:rFonts w:ascii="Times New Roman" w:cs="Times New Roman" w:eastAsia="Times New Roman" w:hAnsi="Times New Roman"/>
          <w:sz w:val="18"/>
          <w:szCs w:val="18"/>
          <w:color w:val="auto"/>
        </w:rPr>
        <w:t xml:space="preserve"> Westwood conducted a comprehensive brand review that refined the Company’s messaging, marketing, and branding and produced a new corporate tagline.</w:t>
      </w:r>
    </w:p>
    <w:p>
      <w:pPr>
        <w:spacing w:after="0" w:line="5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Clients First Initiative:</w:t>
      </w:r>
      <w:r>
        <w:rPr>
          <w:rFonts w:ascii="Times New Roman" w:cs="Times New Roman" w:eastAsia="Times New Roman" w:hAnsi="Times New Roman"/>
          <w:sz w:val="18"/>
          <w:szCs w:val="18"/>
          <w:color w:val="auto"/>
        </w:rPr>
        <w:t xml:space="preserve"> Mr. Casey traveled throughout the United States to meet with nearly all of the Company’s largest North American clients with assets exceeding $100 million and engaged in meaningful conversations that provided us with invaluable feedback on our services and solutions.</w:t>
      </w:r>
    </w:p>
    <w:p>
      <w:pPr>
        <w:spacing w:after="0" w:line="67"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Engagement:</w:t>
      </w:r>
      <w:r>
        <w:rPr>
          <w:rFonts w:ascii="Times New Roman" w:cs="Times New Roman" w:eastAsia="Times New Roman" w:hAnsi="Times New Roman"/>
          <w:sz w:val="18"/>
          <w:szCs w:val="18"/>
          <w:color w:val="auto"/>
        </w:rPr>
        <w:t xml:space="preserve"> As part of our regular stockholder engagement program, we reached out this past year to our top institutional stockholders, representing 4.75 million shares or 51.52% of total shares outstanding, to foster open discussions regarding our executive compensation program. The CHC Committee welcomes stockholder perspectives on our executive compensation program and will continue to consider future say-on-pay votes carefully when making compensation decisions for our executive officers.</w:t>
      </w:r>
    </w:p>
    <w:p>
      <w:pPr>
        <w:spacing w:after="0" w:line="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Westwood was named </w:t>
      </w:r>
      <w:r>
        <w:rPr>
          <w:rFonts w:ascii="Times New Roman" w:cs="Times New Roman" w:eastAsia="Times New Roman" w:hAnsi="Times New Roman"/>
          <w:sz w:val="18"/>
          <w:szCs w:val="18"/>
          <w:i w:val="1"/>
          <w:iCs w:val="1"/>
          <w:color w:val="auto"/>
        </w:rPr>
        <w:t>Pensions &amp; Investments’</w:t>
      </w:r>
      <w:r>
        <w:rPr>
          <w:rFonts w:ascii="Times New Roman" w:cs="Times New Roman" w:eastAsia="Times New Roman" w:hAnsi="Times New Roman"/>
          <w:sz w:val="18"/>
          <w:szCs w:val="18"/>
          <w:color w:val="auto"/>
        </w:rPr>
        <w:t xml:space="preserve"> “Best Places to Work in 2024” for the 10th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2024 Compensation Decisions for Named Executive Officers</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our “pay-for-performance” compensation philosophy, the CHC Committee generally allocates a substantial majority of each NEO’s direct compensation (i.e., base salary, target annual cash incentive, and target value of long-term incentives) to variable “at-risk” compensation. In this way, our executive compensation program is designed to (a) align the interests of our NEO with our stockholders and (b) reward successful achievement of annual financial and strategic objectives.</w:t>
      </w:r>
    </w:p>
    <w:p>
      <w:pPr>
        <w:spacing w:after="0" w:line="7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Accordingly, our compensation decisions with respect to each of our NEO for 2024 were primarily driven by our performance against Company-wide financial and strategic objectives and individual objectives developed at the beginning of the year.</w:t>
      </w:r>
    </w:p>
    <w:p>
      <w:pPr>
        <w:spacing w:after="0" w:line="5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Reflecting a rigorous assessment of the Company’s performance, the bonus pool and the aggregate incentives for our NEO were increased from 2023 to 2024.</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summary:</w:t>
      </w:r>
    </w:p>
    <w:p>
      <w:pPr>
        <w:spacing w:after="0" w:line="117" w:lineRule="exact"/>
        <w:rPr>
          <w:sz w:val="20"/>
          <w:szCs w:val="20"/>
          <w:color w:val="auto"/>
        </w:rPr>
      </w:pPr>
    </w:p>
    <w:p>
      <w:pPr>
        <w:ind w:left="900" w:right="140" w:hanging="325"/>
        <w:spacing w:after="0" w:line="266"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made no change to Mr. Casey’s annual base salary and, based on 2024 performance as measured against pre-established financial and strategic objectives, approved an annual cash incentive bonus to Mr. Casey in the amount equal to 99.8% of target. Mr. Casey’s 2024 incentive awards reflected the Company’s overall performance.</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approved an annual cash incentive bonus to Mr. Gomez for 2024 in an amount equal to 99.8% of target, reflecting his 2024 performance as measured against pre-established financial, strategic, and individual performance objectives.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Bennett left Westwood on December 31, 2024 and did not a receive cash incentive bonus for 2024.</w:t>
      </w:r>
    </w:p>
    <w:p>
      <w:pPr>
        <w:spacing w:after="0" w:line="117"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CHC Committee approved the following awards of restricted stock to each of our NEO based on our fiscal 2023 performance: Mr. Casey - 48,230 shares; Mr. Gomez - 32,908 shares; and Ms. Bennett – 21,667 shares.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CHC Committee approved the following awards of restricted stock to Messrs. Casey and Gomez based on our fiscal</w:t>
      </w:r>
    </w:p>
    <w:p>
      <w:pPr>
        <w:spacing w:after="0" w:line="27" w:lineRule="exact"/>
        <w:rPr>
          <w:rFonts w:ascii="Times New Roman" w:cs="Times New Roman" w:eastAsia="Times New Roman" w:hAnsi="Times New Roman"/>
          <w:sz w:val="18"/>
          <w:szCs w:val="18"/>
          <w:color w:val="auto"/>
        </w:rPr>
      </w:pPr>
    </w:p>
    <w:p>
      <w:pPr>
        <w:ind w:lef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performance: Mr. Casey - 45,621 shares and Mr. Gomez - 24,636 shares. These restricted stock awards were granted after the end of 2024 and accordingly will be reported in our 2026 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Program</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intellectual capabilities of our employees are among our most important assets. Our financial results depend on the level of assets we manage, our ability to provide outstanding client service, develop new client relationships, generate competitive long-term investment performance, and build strong relationships with clients, investment consulting firms, and other financial intermediaries.</w:t>
      </w:r>
    </w:p>
    <w:p>
      <w:pPr>
        <w:spacing w:after="0" w:line="6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believe that the expertise and commitment of our NEO are critical to delivering superior long-term results to our clients and stockholders and to achieving our overall business objectives. Our executive compensation program aims: to align executive compensation with performance delivered for stockholders and clients; to deliver pay in a balanced combination of base salary, cash awards and long-term, stockholder-aligned equity; and to attract, motivate and retain top talent.</w:t>
      </w:r>
    </w:p>
    <w:p>
      <w:pPr>
        <w:spacing w:after="0" w:line="7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We review our executive compensation program on an ongoing basis to ensure that it reflects market best practices related to corporate governance and risk mitigation. Highlights of our executive compensation program related to these matters include the following: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tbl>
      <w:tblPr>
        <w:tblLayout w:type="fixed"/>
        <w:tblInd w:w="90" w:type="dxa"/>
        <w:tblCellMar>
          <w:top w:w="0" w:type="dxa"/>
          <w:left w:w="0" w:type="dxa"/>
          <w:bottom w:w="0" w:type="dxa"/>
          <w:right w:w="0" w:type="dxa"/>
        </w:tblCellMar>
      </w:tblPr>
      <w:tr>
        <w:trPr>
          <w:trHeight w:val="241"/>
        </w:trPr>
        <w:tc>
          <w:tcPr>
            <w:tcW w:w="5480" w:type="dxa"/>
            <w:vAlign w:val="bottom"/>
            <w:tcBorders>
              <w:top w:val="single" w:sz="8" w:color="auto"/>
              <w:left w:val="single" w:sz="8" w:color="auto"/>
              <w:bottom w:val="single" w:sz="8" w:color="auto"/>
              <w:right w:val="single" w:sz="8" w:color="auto"/>
            </w:tcBorders>
            <w:shd w:val="clear" w:color="auto" w:fill="D9D9D9"/>
          </w:tcPr>
          <w:p>
            <w:pPr>
              <w:ind w:left="2260"/>
              <w:spacing w:after="0"/>
              <w:rPr>
                <w:sz w:val="20"/>
                <w:szCs w:val="20"/>
                <w:color w:val="auto"/>
              </w:rPr>
            </w:pPr>
            <w:r>
              <w:rPr>
                <w:rFonts w:ascii="Times New Roman" w:cs="Times New Roman" w:eastAsia="Times New Roman" w:hAnsi="Times New Roman"/>
                <w:sz w:val="17"/>
                <w:szCs w:val="17"/>
                <w:b w:val="1"/>
                <w:bCs w:val="1"/>
                <w:color w:val="auto"/>
              </w:rPr>
              <w:t>What We Do</w:t>
            </w:r>
          </w:p>
        </w:tc>
        <w:tc>
          <w:tcPr>
            <w:tcW w:w="5700" w:type="dxa"/>
            <w:vAlign w:val="bottom"/>
            <w:tcBorders>
              <w:top w:val="single" w:sz="8" w:color="auto"/>
              <w:bottom w:val="single" w:sz="8" w:color="auto"/>
              <w:right w:val="single" w:sz="8" w:color="auto"/>
            </w:tcBorders>
            <w:shd w:val="clear" w:color="auto" w:fill="D9D9D9"/>
          </w:tcPr>
          <w:p>
            <w:pPr>
              <w:ind w:left="2080"/>
              <w:spacing w:after="0"/>
              <w:rPr>
                <w:sz w:val="20"/>
                <w:szCs w:val="20"/>
                <w:color w:val="auto"/>
              </w:rPr>
            </w:pPr>
            <w:r>
              <w:rPr>
                <w:rFonts w:ascii="Times New Roman" w:cs="Times New Roman" w:eastAsia="Times New Roman" w:hAnsi="Times New Roman"/>
                <w:sz w:val="17"/>
                <w:szCs w:val="17"/>
                <w:b w:val="1"/>
                <w:bCs w:val="1"/>
                <w:color w:val="auto"/>
              </w:rPr>
              <w:t>What We Do Not Do</w:t>
            </w:r>
          </w:p>
        </w:tc>
      </w:tr>
      <w:tr>
        <w:trPr>
          <w:trHeight w:val="216"/>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Variable "at risk" compensation targeted at a larger share vs. fixed base</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do not provide fringe benefits or perquisites to executives that are not</w:t>
            </w:r>
          </w:p>
        </w:tc>
      </w:tr>
      <w:tr>
        <w:trPr>
          <w:trHeight w:val="222"/>
        </w:trPr>
        <w:tc>
          <w:tcPr>
            <w:tcW w:w="548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salary</w:t>
            </w:r>
          </w:p>
        </w:tc>
        <w:tc>
          <w:tcPr>
            <w:tcW w:w="57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available to all employees</w:t>
            </w:r>
          </w:p>
        </w:tc>
      </w:tr>
      <w:tr>
        <w:trPr>
          <w:trHeight w:val="43"/>
        </w:trPr>
        <w:tc>
          <w:tcPr>
            <w:tcW w:w="54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15"/>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Compensation aligned with performance achievements</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prohibit hedging and short sales of Company stock by executives and</w:t>
            </w:r>
          </w:p>
        </w:tc>
      </w:tr>
      <w:tr>
        <w:trPr>
          <w:trHeight w:val="222"/>
        </w:trPr>
        <w:tc>
          <w:tcPr>
            <w:tcW w:w="5480" w:type="dxa"/>
            <w:vAlign w:val="bottom"/>
            <w:tcBorders>
              <w:left w:val="single" w:sz="8" w:color="auto"/>
              <w:right w:val="single" w:sz="8" w:color="auto"/>
            </w:tcBorders>
          </w:tcPr>
          <w:p>
            <w:pPr>
              <w:spacing w:after="0"/>
              <w:rPr>
                <w:sz w:val="19"/>
                <w:szCs w:val="19"/>
                <w:color w:val="auto"/>
              </w:rPr>
            </w:pPr>
          </w:p>
        </w:tc>
        <w:tc>
          <w:tcPr>
            <w:tcW w:w="57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directors</w:t>
            </w:r>
          </w:p>
        </w:tc>
      </w:tr>
      <w:tr>
        <w:trPr>
          <w:trHeight w:val="43"/>
        </w:trPr>
        <w:tc>
          <w:tcPr>
            <w:tcW w:w="54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62"/>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Incentive plan payouts capped on amounts that executives can earn</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do not gross-up change-in-control related benefits for excise tax</w:t>
            </w:r>
          </w:p>
        </w:tc>
      </w:tr>
      <w:tr>
        <w:trPr>
          <w:trHeight w:val="43"/>
        </w:trPr>
        <w:tc>
          <w:tcPr>
            <w:tcW w:w="54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61"/>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Change-in-control severance is a "double trigger" for our CEO</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do not pay dividends on unvested equity-based compensation awards</w:t>
            </w:r>
          </w:p>
        </w:tc>
      </w:tr>
      <w:tr>
        <w:trPr>
          <w:trHeight w:val="43"/>
        </w:trPr>
        <w:tc>
          <w:tcPr>
            <w:tcW w:w="54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15"/>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Officers and directors are required to satisfy industry-aligned standards</w:t>
            </w:r>
          </w:p>
        </w:tc>
        <w:tc>
          <w:tcPr>
            <w:tcW w:w="5700" w:type="dxa"/>
            <w:vAlign w:val="bottom"/>
            <w:tcBorders>
              <w:right w:val="single" w:sz="8" w:color="auto"/>
            </w:tcBorders>
          </w:tcPr>
          <w:p>
            <w:pPr>
              <w:ind w:left="20"/>
              <w:spacing w:after="0"/>
              <w:rPr>
                <w:sz w:val="20"/>
                <w:szCs w:val="20"/>
                <w:color w:val="auto"/>
              </w:rPr>
            </w:pPr>
            <w:r>
              <w:rPr>
                <w:rFonts w:ascii="Wingdings" w:cs="Wingdings" w:eastAsia="Wingdings" w:hAnsi="Wingdings"/>
                <w:sz w:val="17"/>
                <w:szCs w:val="17"/>
                <w:b w:val="1"/>
                <w:bCs w:val="1"/>
                <w:color w:val="auto"/>
              </w:rPr>
              <w:t xml:space="preserve">û  </w:t>
            </w:r>
            <w:r>
              <w:rPr>
                <w:rFonts w:ascii="Times New Roman" w:cs="Times New Roman" w:eastAsia="Times New Roman" w:hAnsi="Times New Roman"/>
                <w:sz w:val="17"/>
                <w:szCs w:val="17"/>
                <w:color w:val="auto"/>
              </w:rPr>
              <w:t>We prohibit repricing of stock options without stockholder approval</w:t>
            </w:r>
          </w:p>
        </w:tc>
      </w:tr>
      <w:tr>
        <w:trPr>
          <w:trHeight w:val="222"/>
        </w:trPr>
        <w:tc>
          <w:tcPr>
            <w:tcW w:w="548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related to Company stock ownership</w:t>
            </w:r>
          </w:p>
        </w:tc>
        <w:tc>
          <w:tcPr>
            <w:tcW w:w="5700" w:type="dxa"/>
            <w:vAlign w:val="bottom"/>
            <w:tcBorders>
              <w:right w:val="single" w:sz="8" w:color="auto"/>
            </w:tcBorders>
          </w:tcPr>
          <w:p>
            <w:pPr>
              <w:spacing w:after="0"/>
              <w:rPr>
                <w:sz w:val="19"/>
                <w:szCs w:val="19"/>
                <w:color w:val="auto"/>
              </w:rPr>
            </w:pPr>
          </w:p>
        </w:tc>
      </w:tr>
      <w:tr>
        <w:trPr>
          <w:trHeight w:val="83"/>
        </w:trPr>
        <w:tc>
          <w:tcPr>
            <w:tcW w:w="5480" w:type="dxa"/>
            <w:vAlign w:val="bottom"/>
            <w:tcBorders>
              <w:left w:val="single" w:sz="8" w:color="auto"/>
              <w:bottom w:val="single" w:sz="8" w:color="auto"/>
              <w:right w:val="single" w:sz="8" w:color="auto"/>
            </w:tcBorders>
          </w:tcPr>
          <w:p>
            <w:pPr>
              <w:spacing w:after="0"/>
              <w:rPr>
                <w:sz w:val="7"/>
                <w:szCs w:val="7"/>
                <w:color w:val="auto"/>
              </w:rPr>
            </w:pPr>
          </w:p>
        </w:tc>
        <w:tc>
          <w:tcPr>
            <w:tcW w:w="5700" w:type="dxa"/>
            <w:vAlign w:val="bottom"/>
            <w:tcBorders>
              <w:right w:val="single" w:sz="8" w:color="auto"/>
            </w:tcBorders>
          </w:tcPr>
          <w:p>
            <w:pPr>
              <w:spacing w:after="0"/>
              <w:rPr>
                <w:sz w:val="7"/>
                <w:szCs w:val="7"/>
                <w:color w:val="auto"/>
              </w:rPr>
            </w:pPr>
          </w:p>
        </w:tc>
      </w:tr>
      <w:tr>
        <w:trPr>
          <w:trHeight w:val="215"/>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w w:val="99"/>
              </w:rPr>
              <w:t xml:space="preserve">ü  </w:t>
            </w:r>
            <w:r>
              <w:rPr>
                <w:rFonts w:ascii="Times New Roman" w:cs="Times New Roman" w:eastAsia="Times New Roman" w:hAnsi="Times New Roman"/>
                <w:sz w:val="17"/>
                <w:szCs w:val="17"/>
                <w:color w:val="auto"/>
                <w:w w:val="99"/>
              </w:rPr>
              <w:t>Clawback policy requires recovery of erroneously received compensation</w:t>
            </w:r>
          </w:p>
        </w:tc>
        <w:tc>
          <w:tcPr>
            <w:tcW w:w="5700" w:type="dxa"/>
            <w:vAlign w:val="bottom"/>
            <w:tcBorders>
              <w:right w:val="single" w:sz="8" w:color="auto"/>
            </w:tcBorders>
          </w:tcPr>
          <w:p>
            <w:pPr>
              <w:spacing w:after="0"/>
              <w:rPr>
                <w:sz w:val="18"/>
                <w:szCs w:val="18"/>
                <w:color w:val="auto"/>
              </w:rPr>
            </w:pPr>
          </w:p>
        </w:tc>
      </w:tr>
      <w:tr>
        <w:trPr>
          <w:trHeight w:val="222"/>
        </w:trPr>
        <w:tc>
          <w:tcPr>
            <w:tcW w:w="548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in the event of a financial restatement and other material failures</w:t>
            </w:r>
          </w:p>
        </w:tc>
        <w:tc>
          <w:tcPr>
            <w:tcW w:w="5700" w:type="dxa"/>
            <w:vAlign w:val="bottom"/>
            <w:tcBorders>
              <w:right w:val="single" w:sz="8" w:color="auto"/>
            </w:tcBorders>
          </w:tcPr>
          <w:p>
            <w:pPr>
              <w:spacing w:after="0"/>
              <w:rPr>
                <w:sz w:val="19"/>
                <w:szCs w:val="19"/>
                <w:color w:val="auto"/>
              </w:rPr>
            </w:pPr>
          </w:p>
        </w:tc>
      </w:tr>
      <w:tr>
        <w:trPr>
          <w:trHeight w:val="178"/>
        </w:trPr>
        <w:tc>
          <w:tcPr>
            <w:tcW w:w="5480" w:type="dxa"/>
            <w:vAlign w:val="bottom"/>
            <w:tcBorders>
              <w:left w:val="single" w:sz="8" w:color="auto"/>
              <w:bottom w:val="single" w:sz="8" w:color="auto"/>
              <w:right w:val="single" w:sz="8" w:color="auto"/>
            </w:tcBorders>
          </w:tcPr>
          <w:p>
            <w:pPr>
              <w:spacing w:after="0"/>
              <w:rPr>
                <w:sz w:val="15"/>
                <w:szCs w:val="15"/>
                <w:color w:val="auto"/>
              </w:rPr>
            </w:pPr>
          </w:p>
        </w:tc>
        <w:tc>
          <w:tcPr>
            <w:tcW w:w="5700" w:type="dxa"/>
            <w:vAlign w:val="bottom"/>
            <w:tcBorders>
              <w:right w:val="single" w:sz="8" w:color="auto"/>
            </w:tcBorders>
          </w:tcPr>
          <w:p>
            <w:pPr>
              <w:spacing w:after="0"/>
              <w:rPr>
                <w:sz w:val="15"/>
                <w:szCs w:val="15"/>
                <w:color w:val="auto"/>
              </w:rPr>
            </w:pPr>
          </w:p>
        </w:tc>
      </w:tr>
      <w:tr>
        <w:trPr>
          <w:trHeight w:val="261"/>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Appropriate post-employment and change-in-control arrangements</w:t>
            </w:r>
          </w:p>
        </w:tc>
        <w:tc>
          <w:tcPr>
            <w:tcW w:w="5700" w:type="dxa"/>
            <w:vAlign w:val="bottom"/>
            <w:tcBorders>
              <w:right w:val="single" w:sz="8" w:color="auto"/>
            </w:tcBorders>
          </w:tcPr>
          <w:p>
            <w:pPr>
              <w:spacing w:after="0"/>
              <w:rPr>
                <w:sz w:val="22"/>
                <w:szCs w:val="22"/>
                <w:color w:val="auto"/>
              </w:rPr>
            </w:pPr>
          </w:p>
        </w:tc>
      </w:tr>
      <w:tr>
        <w:trPr>
          <w:trHeight w:val="259"/>
        </w:trPr>
        <w:tc>
          <w:tcPr>
            <w:tcW w:w="5480" w:type="dxa"/>
            <w:vAlign w:val="bottom"/>
            <w:tcBorders>
              <w:left w:val="single" w:sz="8" w:color="auto"/>
              <w:bottom w:val="single" w:sz="8" w:color="auto"/>
              <w:right w:val="single" w:sz="8" w:color="auto"/>
            </w:tcBorders>
          </w:tcPr>
          <w:p>
            <w:pPr>
              <w:spacing w:after="0"/>
              <w:rPr>
                <w:sz w:val="22"/>
                <w:szCs w:val="22"/>
                <w:color w:val="auto"/>
              </w:rPr>
            </w:pPr>
          </w:p>
        </w:tc>
        <w:tc>
          <w:tcPr>
            <w:tcW w:w="5700" w:type="dxa"/>
            <w:vAlign w:val="bottom"/>
            <w:tcBorders>
              <w:right w:val="single" w:sz="8" w:color="auto"/>
            </w:tcBorders>
          </w:tcPr>
          <w:p>
            <w:pPr>
              <w:spacing w:after="0"/>
              <w:rPr>
                <w:sz w:val="22"/>
                <w:szCs w:val="22"/>
                <w:color w:val="auto"/>
              </w:rPr>
            </w:pPr>
          </w:p>
        </w:tc>
      </w:tr>
      <w:tr>
        <w:trPr>
          <w:trHeight w:val="215"/>
        </w:trPr>
        <w:tc>
          <w:tcPr>
            <w:tcW w:w="5480" w:type="dxa"/>
            <w:vAlign w:val="bottom"/>
            <w:tcBorders>
              <w:left w:val="single" w:sz="8" w:color="auto"/>
              <w:right w:val="single" w:sz="8" w:color="auto"/>
            </w:tcBorders>
          </w:tcPr>
          <w:p>
            <w:pPr>
              <w:ind w:left="40"/>
              <w:spacing w:after="0"/>
              <w:rPr>
                <w:sz w:val="20"/>
                <w:szCs w:val="20"/>
                <w:color w:val="auto"/>
              </w:rPr>
            </w:pP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McLagan Partners’ survey results are used for competitive compensation</w:t>
            </w:r>
          </w:p>
        </w:tc>
        <w:tc>
          <w:tcPr>
            <w:tcW w:w="5700" w:type="dxa"/>
            <w:vAlign w:val="bottom"/>
            <w:tcBorders>
              <w:right w:val="single" w:sz="8" w:color="auto"/>
            </w:tcBorders>
          </w:tcPr>
          <w:p>
            <w:pPr>
              <w:spacing w:after="0"/>
              <w:rPr>
                <w:sz w:val="18"/>
                <w:szCs w:val="18"/>
                <w:color w:val="auto"/>
              </w:rPr>
            </w:pPr>
          </w:p>
        </w:tc>
      </w:tr>
      <w:tr>
        <w:trPr>
          <w:trHeight w:val="222"/>
        </w:trPr>
        <w:tc>
          <w:tcPr>
            <w:tcW w:w="548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market data and ad hoc compensation analysis</w:t>
            </w:r>
          </w:p>
        </w:tc>
        <w:tc>
          <w:tcPr>
            <w:tcW w:w="5700" w:type="dxa"/>
            <w:vAlign w:val="bottom"/>
            <w:tcBorders>
              <w:right w:val="single" w:sz="8" w:color="auto"/>
            </w:tcBorders>
          </w:tcPr>
          <w:p>
            <w:pPr>
              <w:spacing w:after="0"/>
              <w:rPr>
                <w:sz w:val="19"/>
                <w:szCs w:val="19"/>
                <w:color w:val="auto"/>
              </w:rPr>
            </w:pPr>
          </w:p>
        </w:tc>
      </w:tr>
      <w:tr>
        <w:trPr>
          <w:trHeight w:val="43"/>
        </w:trPr>
        <w:tc>
          <w:tcPr>
            <w:tcW w:w="54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designing and implementing our executive compensation program, the CHC Committee is guided by the following philosophy and objectives:</w:t>
      </w:r>
    </w:p>
    <w:p>
      <w:pPr>
        <w:spacing w:after="0" w:line="1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competitive compensation at levels that attract, motivate and retain talented executives who contribute to the success of our business;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compensation that motivates and rewards short- and long-term individual and company performance while discouraging excessive risk-taking;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NEO’s interests with our stockholders.</w:t>
      </w:r>
    </w:p>
    <w:p>
      <w:pPr>
        <w:spacing w:after="0" w:line="11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As an executive's role expands in scope and responsibilities, we believe that: (1) an increasing share of total direct compensation should be at risk and performance-based; (2) base salary should be a relatively smaller portion of total direct compensation; and (3) most of incentive compensation should vary with overall Company results. Reflecting these principles, in 2024, 36% of Mr. Casey’s total compensation was delivered in performance-based compensation and 28% was delivered in long-term equity awards, which provide direct alignment with our stockholders.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Compensation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In making its pay decisions, the CHC Committee considered market compensation data from McLagan’s </w:t>
      </w:r>
      <w:r>
        <w:rPr>
          <w:rFonts w:ascii="Times New Roman" w:cs="Times New Roman" w:eastAsia="Times New Roman" w:hAnsi="Times New Roman"/>
          <w:sz w:val="18"/>
          <w:szCs w:val="18"/>
          <w:i w:val="1"/>
          <w:iCs w:val="1"/>
          <w:color w:val="auto"/>
        </w:rPr>
        <w:t>2023 Investment Management Survey –</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 widely-used source for compensation information that includes data from approximately 175 public and private investment firms (the “McLagan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 Confidentiality obligations to McLagan Partners and its survey participants prevent disclosure of the firms included in the survey.</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CHC Committee considers market compensation data from the McLagan Survey to be useful in helping ensure that our executive pay levels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competitive. In using the McLagan Survey, the CHC Committee: (1) primarily considered data for firms with assets under management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billion and $34.9 billion, a comparison that the CHC Committee deemed appropriate given our Company’s size and complexity; and (2) did not set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of our NEO’s pay to fall within a specific range or percentile of the reported survey data.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all compensation earned by our NEO for the years indicated.</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1"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3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vMerge w:val="continue"/>
          </w:tcPr>
          <w:p>
            <w:pPr>
              <w:spacing w:after="0"/>
              <w:rPr>
                <w:sz w:val="9"/>
                <w:szCs w:val="9"/>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0"/>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9"/>
                <w:szCs w:val="1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578,750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748,469</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24,150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2,101,369</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672,732</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2,067,532</w:t>
            </w:r>
          </w:p>
        </w:tc>
        <w:tc>
          <w:tcPr>
            <w:tcW w:w="0" w:type="dxa"/>
            <w:vAlign w:val="bottom"/>
          </w:tcPr>
          <w:p>
            <w:pPr>
              <w:spacing w:after="0"/>
              <w:rPr>
                <w:sz w:val="1"/>
                <w:szCs w:val="1"/>
                <w:color w:val="auto"/>
              </w:rPr>
            </w:pPr>
          </w:p>
        </w:tc>
      </w:tr>
      <w:tr>
        <w:trPr>
          <w:trHeight w:val="289"/>
        </w:trPr>
        <w:tc>
          <w:tcPr>
            <w:tcW w:w="3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312,500</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281,250</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1,362,050</w:t>
            </w:r>
          </w:p>
        </w:tc>
        <w:tc>
          <w:tcPr>
            <w:tcW w:w="0" w:type="dxa"/>
            <w:vAlign w:val="bottom"/>
          </w:tcPr>
          <w:p>
            <w:pPr>
              <w:spacing w:after="0"/>
              <w:rPr>
                <w:sz w:val="1"/>
                <w:szCs w:val="1"/>
                <w:color w:val="auto"/>
              </w:rPr>
            </w:pPr>
          </w:p>
        </w:tc>
      </w:tr>
      <w:tr>
        <w:trPr>
          <w:trHeight w:val="271"/>
        </w:trPr>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tcPr>
          <w:p>
            <w:pPr>
              <w:spacing w:after="0"/>
              <w:rPr>
                <w:sz w:val="23"/>
                <w:szCs w:val="2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3"/>
                <w:szCs w:val="2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80" w:type="dxa"/>
            <w:vAlign w:val="bottom"/>
          </w:tcPr>
          <w:p>
            <w:pPr>
              <w:spacing w:after="0"/>
              <w:rPr>
                <w:sz w:val="23"/>
                <w:szCs w:val="23"/>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3"/>
                <w:szCs w:val="23"/>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394,885</w:t>
            </w:r>
          </w:p>
        </w:tc>
        <w:tc>
          <w:tcPr>
            <w:tcW w:w="100" w:type="dxa"/>
            <w:vAlign w:val="bottom"/>
          </w:tcPr>
          <w:p>
            <w:pPr>
              <w:spacing w:after="0"/>
              <w:rPr>
                <w:sz w:val="23"/>
                <w:szCs w:val="2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404,173</w:t>
            </w:r>
          </w:p>
        </w:tc>
        <w:tc>
          <w:tcPr>
            <w:tcW w:w="100" w:type="dxa"/>
            <w:vAlign w:val="bottom"/>
          </w:tcPr>
          <w:p>
            <w:pPr>
              <w:spacing w:after="0"/>
              <w:rPr>
                <w:sz w:val="23"/>
                <w:szCs w:val="2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20,700</w:t>
            </w:r>
          </w:p>
        </w:tc>
        <w:tc>
          <w:tcPr>
            <w:tcW w:w="100" w:type="dxa"/>
            <w:vAlign w:val="bottom"/>
          </w:tcPr>
          <w:p>
            <w:pPr>
              <w:spacing w:after="0"/>
              <w:rPr>
                <w:sz w:val="23"/>
                <w:szCs w:val="23"/>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1,223,208</w:t>
            </w:r>
          </w:p>
        </w:tc>
        <w:tc>
          <w:tcPr>
            <w:tcW w:w="0" w:type="dxa"/>
            <w:vAlign w:val="bottom"/>
          </w:tcPr>
          <w:p>
            <w:pPr>
              <w:spacing w:after="0"/>
              <w:rPr>
                <w:sz w:val="1"/>
                <w:szCs w:val="1"/>
                <w:color w:val="auto"/>
              </w:rPr>
            </w:pPr>
          </w:p>
        </w:tc>
      </w:tr>
      <w:tr>
        <w:trPr>
          <w:trHeight w:val="257"/>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80" w:type="dxa"/>
            <w:vAlign w:val="bottom"/>
          </w:tcPr>
          <w:p>
            <w:pPr>
              <w:spacing w:after="0"/>
              <w:rPr>
                <w:sz w:val="22"/>
                <w:szCs w:val="2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244,885</w:t>
            </w:r>
          </w:p>
        </w:tc>
        <w:tc>
          <w:tcPr>
            <w:tcW w:w="1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19,800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864,685</w:t>
            </w:r>
          </w:p>
        </w:tc>
        <w:tc>
          <w:tcPr>
            <w:tcW w:w="0" w:type="dxa"/>
            <w:vAlign w:val="bottom"/>
          </w:tcPr>
          <w:p>
            <w:pPr>
              <w:spacing w:after="0"/>
              <w:rPr>
                <w:sz w:val="1"/>
                <w:szCs w:val="1"/>
                <w:color w:val="auto"/>
              </w:rPr>
            </w:pPr>
          </w:p>
        </w:tc>
      </w:tr>
      <w:tr>
        <w:trPr>
          <w:trHeight w:val="219"/>
        </w:trPr>
        <w:tc>
          <w:tcPr>
            <w:tcW w:w="3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347,916</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257,813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824,029</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341,667</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260,000</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94,221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695,888</w:t>
            </w:r>
          </w:p>
        </w:tc>
        <w:tc>
          <w:tcPr>
            <w:tcW w:w="0" w:type="dxa"/>
            <w:vAlign w:val="bottom"/>
          </w:tcPr>
          <w:p>
            <w:pPr>
              <w:spacing w:after="0"/>
              <w:rPr>
                <w:sz w:val="1"/>
                <w:szCs w:val="1"/>
                <w:color w:val="auto"/>
              </w:rPr>
            </w:pPr>
          </w:p>
        </w:tc>
      </w:tr>
      <w:tr>
        <w:trPr>
          <w:trHeight w:val="30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Former President, Westwood Wealth</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300,000</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260,000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107,448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867,448</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Management</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244,792</w:t>
            </w:r>
          </w:p>
        </w:tc>
        <w:tc>
          <w:tcPr>
            <w:tcW w:w="8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235,000</w:t>
            </w:r>
          </w:p>
        </w:tc>
        <w:tc>
          <w:tcPr>
            <w:tcW w:w="1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100,000</w:t>
            </w:r>
          </w:p>
        </w:tc>
        <w:tc>
          <w:tcPr>
            <w:tcW w:w="1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124,395</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704,187</w:t>
            </w:r>
          </w:p>
        </w:tc>
        <w:tc>
          <w:tcPr>
            <w:tcW w:w="0" w:type="dxa"/>
            <w:vAlign w:val="bottom"/>
          </w:tcPr>
          <w:p>
            <w:pPr>
              <w:spacing w:after="0"/>
              <w:rPr>
                <w:sz w:val="1"/>
                <w:szCs w:val="1"/>
                <w:color w:val="auto"/>
              </w:rPr>
            </w:pPr>
          </w:p>
        </w:tc>
      </w:tr>
      <w:tr>
        <w:trPr>
          <w:trHeight w:val="161"/>
        </w:trPr>
        <w:tc>
          <w:tcPr>
            <w:tcW w:w="3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vMerge w:val="continue"/>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base compensation earned during each of the fiscal years presented.</w:t>
      </w:r>
    </w:p>
    <w:p>
      <w:pPr>
        <w:spacing w:after="0" w:line="95" w:lineRule="exact"/>
        <w:rPr>
          <w:rFonts w:ascii="Times New Roman" w:cs="Times New Roman" w:eastAsia="Times New Roman" w:hAnsi="Times New Roman"/>
          <w:sz w:val="14"/>
          <w:szCs w:val="14"/>
          <w:color w:val="auto"/>
        </w:rPr>
      </w:pPr>
    </w:p>
    <w:p>
      <w:pPr>
        <w:ind w:left="660" w:right="20" w:hanging="652"/>
        <w:spacing w:after="0" w:line="267" w:lineRule="auto"/>
        <w:tabs>
          <w:tab w:leader="none" w:pos="39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typically granted in February of each year based on our performance for the immediately preceding year. The restricted stock awards shown for 2024, 2023 and 2022 were made in February 2024, February 2023 and February 2022, respectively. The restricted award grants for the 2024 performance year that were granted in February 2025 are described below.</w:t>
      </w:r>
    </w:p>
    <w:p>
      <w:pPr>
        <w:spacing w:after="0" w:line="1" w:lineRule="exact"/>
        <w:rPr>
          <w:rFonts w:ascii="Times New Roman" w:cs="Times New Roman" w:eastAsia="Times New Roman" w:hAnsi="Times New Roman"/>
          <w:sz w:val="14"/>
          <w:szCs w:val="14"/>
          <w:color w:val="auto"/>
        </w:rPr>
      </w:pPr>
    </w:p>
    <w:p>
      <w:pPr>
        <w:ind w:left="66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the amounts contained in column (e) reflect (i) for Mr. Casey, the grant date fair value of his time-vested restricted stock award (48,230 shares), (ii) for Mr. Gomez, the grant date fair value of his time-vested restricted stock award (32,908 shares), and (iii) for Ms. Bennett, the grant date fair value of her time-vested restricted stock award (21,667 shares). The above grant date fair values reported in column (e) were calculated in accordance with Accounting Standards Codification Topic 718 (“ASC 718”), “Stock Compensation.” The assumptions used in the valuation of the time-vested restricted stock awards are discussed in Note 8 “Employee Benefits” of our audited financial statements, which are included in our 2024 Form 10-K. See the “Executive Compensation” section above for a further description of these restricted stock awards.</w:t>
      </w:r>
    </w:p>
    <w:p>
      <w:pPr>
        <w:spacing w:after="0" w:line="53"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the amounts for Messrs. Casey and Gomez reflect the cash payments made under our executive compensation program. Each of these payments was approved in 2025.</w:t>
      </w:r>
    </w:p>
    <w:p>
      <w:pPr>
        <w:spacing w:after="0" w:line="95" w:lineRule="exact"/>
        <w:rPr>
          <w:rFonts w:ascii="Times New Roman" w:cs="Times New Roman" w:eastAsia="Times New Roman" w:hAnsi="Times New Roman"/>
          <w:sz w:val="14"/>
          <w:szCs w:val="14"/>
          <w:color w:val="auto"/>
        </w:rPr>
      </w:pPr>
    </w:p>
    <w:p>
      <w:pPr>
        <w:ind w:left="660" w:right="100" w:hanging="652"/>
        <w:spacing w:after="0" w:line="266" w:lineRule="auto"/>
        <w:tabs>
          <w:tab w:leader="none" w:pos="39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column (g) reflect each named executive officer’s 401(k) Company matching contribution, and Company profit sharing contribution under the Savings Plan. The Company matching contributions was $20,700 for each named executive officer for 2024, $19,800 for each named executive officer for 2023, and $18,300 for each named executive officer for 2022. The Company profit sharing contribution was $3,450 for each named executive officer for 2024. See “Other Benefits and Perquisites” below for a description of plan contributions. For Ms. Bennett, the amounts in column (g) also include $70,071, $87,648 and $106,095 in commission payments made to her during 2024, 2023 and 2022, respectively, under the New Business Incentive Program for Wealth Management.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2024, the principal components of compensation for our NEO were base salary, an annual cash incentive award, a long-term equity award paid in restricted stock, and commission payments for Ms. Bennett. For the three NEO, an average of approximately 62% of 2024 total direct compensation represented variable "at risk" compensation that was delivered in the form of performance-based annual cash incentive awards and time-based long-term equity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Base salary is the fixed component of our NEO’s annual cash compensation. The Company provides its NEO with a base salary for services rendered during the year and in recognition of their expertise, knowledge and experience.</w:t>
      </w:r>
    </w:p>
    <w:p>
      <w:pPr>
        <w:spacing w:after="0" w:line="5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Salary levels are usually evaluated annually as part of our performance review process, as well as upon promotions, changes in job responsibilities, or in connection with the terms of initial employment.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 Awards</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NEO are eligible to receive performance-based cash incentive bonuses, which are designed to provide appropriate incentives to our executives to achieve defined performance goals and reward our executives for individual achievement toward these goals. The Company believes that using a combination of cash incentive awards and equity awards moderates the dilution effect of only using equity awards. The CHC Committee sets performance objectives and subsequently approves annual cash incentive awards for our NEO. For Mr. Casey and Mr. Gomez, we use target incentives and a structured scorecard-based system to evaluate performance and determine cash incentive payouts. Performance measures and weightings can vary under these executives’ scorecards to reflect differences in responsibilities and impact on results. Ms. Bennett did not receive a payment for her 2024 performance due to her separation from the Company on December 31, 2024.</w:t>
      </w:r>
    </w:p>
    <w:p>
      <w:pPr>
        <w:spacing w:after="0" w:line="81"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CHC Committee monitors individual performance throughout the year and completes formal mid-year and end-of-year performance assessments using pre-defined scorecards. Final incentive payouts are based on the scorecard results and the</w:t>
      </w:r>
    </w:p>
    <w:p>
      <w:pPr>
        <w:sectPr>
          <w:pgSz w:w="11900" w:h="16838" w:orient="portrait"/>
          <w:cols w:equalWidth="0" w:num="1">
            <w:col w:w="11220"/>
          </w:cols>
          <w:pgMar w:left="320" w:top="722" w:right="35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2" w:right="359" w:bottom="1440" w:gutter="0" w:footer="0" w:header="0"/>
          <w:type w:val="continuous"/>
        </w:sectPr>
      </w:pPr>
    </w:p>
    <w:bookmarkStart w:id="22" w:name="page23"/>
    <w:bookmarkEnd w:id="22"/>
    <w:p>
      <w:pPr>
        <w:ind w:right="360"/>
        <w:spacing w:after="0" w:line="282" w:lineRule="auto"/>
        <w:rPr>
          <w:sz w:val="20"/>
          <w:szCs w:val="20"/>
          <w:color w:val="auto"/>
        </w:rPr>
      </w:pPr>
      <w:r>
        <w:rPr>
          <w:rFonts w:ascii="Times New Roman" w:cs="Times New Roman" w:eastAsia="Times New Roman" w:hAnsi="Times New Roman"/>
          <w:sz w:val="18"/>
          <w:szCs w:val="18"/>
          <w:color w:val="auto"/>
        </w:rPr>
        <w:t>amounts that the CHC Committee believes balance the need to: (1) retain the executives with industry-competitive total compensation; and (2) provide attractive long-term financial returns to stockholders.</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CHC Committee made its determinations for fiscal 2024 annual cash incentives for the CEO and the other NEO in early 2025 using the following scorecard-based assessment of results.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4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Fiscal 2024 Non-Equity Incentive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0" w:type="dxa"/>
            <w:vAlign w:val="bottom"/>
          </w:tcPr>
          <w:p>
            <w:pPr>
              <w:spacing w:after="0"/>
              <w:rPr>
                <w:sz w:val="1"/>
                <w:szCs w:val="1"/>
                <w:color w:val="auto"/>
              </w:rPr>
            </w:pPr>
          </w:p>
        </w:tc>
      </w:tr>
      <w:tr>
        <w:trPr>
          <w:trHeight w:val="214"/>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54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vs. High</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Multiplier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Weight</w:t>
            </w:r>
          </w:p>
        </w:tc>
        <w:tc>
          <w:tcPr>
            <w:tcW w:w="154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Expectations</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3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104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Economic earnings</w:t>
            </w:r>
          </w:p>
        </w:tc>
        <w:tc>
          <w:tcPr>
            <w:tcW w:w="17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Slightly below</w:t>
            </w: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$298,469</w:t>
            </w: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Sales execution</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Relative TSR</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Brian O. Casey</w:t>
            </w:r>
          </w:p>
        </w:tc>
        <w:tc>
          <w:tcPr>
            <w:tcW w:w="30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Operationalize MIS</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Launch ETFs</w:t>
            </w:r>
          </w:p>
        </w:tc>
        <w:tc>
          <w:tcPr>
            <w:tcW w:w="170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Far exceeded</w:t>
            </w:r>
          </w:p>
        </w:tc>
        <w:tc>
          <w:tcPr>
            <w:tcW w:w="138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Westwood Wealth Transition</w:t>
            </w:r>
          </w:p>
        </w:tc>
        <w:tc>
          <w:tcPr>
            <w:tcW w:w="1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 Promote a client-first culture</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shd w:val="clear" w:color="auto" w:fill="CCEEFF"/>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Branding &amp; Web</w:t>
            </w:r>
          </w:p>
        </w:tc>
        <w:tc>
          <w:tcPr>
            <w:tcW w:w="3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4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Investor Relations</w:t>
            </w:r>
          </w:p>
        </w:tc>
        <w:tc>
          <w:tcPr>
            <w:tcW w:w="17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$750,000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$748,469</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59765" cy="1560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765" cy="156019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-1568450</wp:posOffset>
            </wp:positionV>
            <wp:extent cx="137160" cy="574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-753745</wp:posOffset>
            </wp:positionV>
            <wp:extent cx="137160" cy="574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85725</wp:posOffset>
            </wp:positionV>
            <wp:extent cx="137160" cy="574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Financial Objectives: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Economic earnings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$243,000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Slightly below</w:t>
            </w: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66%</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$161,173</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Sales execution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Relative TSR</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Fabian Gomez</w:t>
            </w:r>
          </w:p>
        </w:tc>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Operationalize MIS</w:t>
            </w: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0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Launch ETFs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Westwood Wealth Transition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4"/>
                <w:szCs w:val="14"/>
                <w:color w:val="auto"/>
              </w:rPr>
            </w:pPr>
          </w:p>
        </w:tc>
        <w:tc>
          <w:tcPr>
            <w:tcW w:w="13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$162,000</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Far exceeded</w:t>
            </w:r>
          </w:p>
        </w:tc>
        <w:tc>
          <w:tcPr>
            <w:tcW w:w="13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color w:val="auto"/>
              </w:rPr>
              <w:t>150%</w:t>
            </w: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$243,000</w:t>
            </w: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3380" w:type="dxa"/>
            <w:vAlign w:val="bottom"/>
            <w:gridSpan w:val="2"/>
            <w:vMerge w:val="restart"/>
          </w:tcPr>
          <w:p>
            <w:pPr>
              <w:ind w:left="280"/>
              <w:spacing w:after="0" w:line="162" w:lineRule="exact"/>
              <w:rPr>
                <w:sz w:val="20"/>
                <w:szCs w:val="20"/>
                <w:color w:val="auto"/>
              </w:rPr>
            </w:pPr>
            <w:r>
              <w:rPr>
                <w:rFonts w:ascii="Times New Roman" w:cs="Times New Roman" w:eastAsia="Times New Roman" w:hAnsi="Times New Roman"/>
                <w:sz w:val="16"/>
                <w:szCs w:val="16"/>
                <w:color w:val="auto"/>
              </w:rPr>
              <w:t>• Promote a client-first culture</w:t>
            </w:r>
          </w:p>
        </w:tc>
        <w:tc>
          <w:tcPr>
            <w:tcW w:w="1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60" w:type="dxa"/>
            <w:vAlign w:val="bottom"/>
          </w:tcPr>
          <w:p>
            <w:pPr>
              <w:spacing w:after="0"/>
              <w:rPr>
                <w:sz w:val="5"/>
                <w:szCs w:val="5"/>
                <w:color w:val="auto"/>
              </w:rPr>
            </w:pPr>
          </w:p>
        </w:tc>
        <w:tc>
          <w:tcPr>
            <w:tcW w:w="338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Branding &amp; Web</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0" w:type="dxa"/>
            <w:vAlign w:val="bottom"/>
          </w:tcPr>
          <w:p>
            <w:pPr>
              <w:ind w:left="2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300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Investor Relations</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7"/>
                <w:szCs w:val="17"/>
                <w:color w:val="auto"/>
              </w:rPr>
            </w:pPr>
          </w:p>
        </w:tc>
        <w:tc>
          <w:tcPr>
            <w:tcW w:w="13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$405,000</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$404,173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-699770</wp:posOffset>
            </wp:positionV>
            <wp:extent cx="137160" cy="574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believe that long-term equity awards are a valuable compensation tool that aligns the long-term financial interests of our executives with the financial interests of our stockholders. In addition, we believe that long-term equity awards help attract, retain and motivate our NEO and encourages them to devote their best efforts to our business and financial success. Vesting of long-term equity awards is generally tied to continuous service and helping to promote our retention objectives. Each year, the CHC Committee determines long-term equity awards for our NEO under the Westwood Holdings Group, Inc. Stock Incentive Plan (the "Stock Incentive Plan").</w:t>
      </w:r>
    </w:p>
    <w:p>
      <w:pPr>
        <w:spacing w:after="0" w:line="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Similar to the process used to determine annual cash incentive awards, the CHC Committee uses, in its full and complete discretion, a target incentive and scorecard-based measurement system to evaluate performance and determine each executive’s long-term equity award. The scorecard-based measures and weightings used to assess performance for purposes of determining long-term equity awards differ somewhat from the criteria used to determine annual cash incentives, with the long-term program typically focusing more on overall company performance.</w:t>
      </w:r>
    </w:p>
    <w:p>
      <w:pPr>
        <w:spacing w:after="0" w:line="7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With respect to long-term equity awards, the CHC Committee: (A) closely monitors performance throughout the year; (B) completes formal periodic performance assessments using the pre-defined scorecards; and (C) makes final award determinations based on a balanced consideration of the need to (1) retain the executives with industry-competitive total compensation; and (2) provide attractive long-term financial returns to stockholders. In addition, in determining the individual executive’s target and actual long-term equity awards levels, the CHC Committee also considers, in the interests of stockholders, the Company’s overall equity plan share dilution and utilization and its recent stock price performance.</w:t>
      </w:r>
    </w:p>
    <w:p>
      <w:pPr>
        <w:spacing w:after="0" w:line="7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Using the following scorecard, the CHC Committee approved fiscal 2024 long-term equity awards for the CEO and the other NEO on February 4, 2025 and issued these awards on February 21,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140" w:type="dxa"/>
            <w:vAlign w:val="bottom"/>
            <w:gridSpan w:val="8"/>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Fiscal 2024 Long-term Equity Incentive Compensation (granted in 2025)</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vs. High</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Expectations</w:t>
            </w:r>
          </w:p>
        </w:tc>
        <w:tc>
          <w:tcPr>
            <w:tcW w:w="13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244"/>
        </w:trPr>
        <w:tc>
          <w:tcPr>
            <w:tcW w:w="1020" w:type="dxa"/>
            <w:vAlign w:val="bottom"/>
            <w:tcBorders>
              <w:top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86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02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2100" w:type="dxa"/>
            <w:vAlign w:val="bottom"/>
            <w:gridSpan w:val="2"/>
            <w:vMerge w:val="restart"/>
          </w:tcPr>
          <w:p>
            <w:pPr>
              <w:jc w:val="center"/>
              <w:ind w:left="79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$125,000</w:t>
            </w:r>
          </w:p>
        </w:tc>
        <w:tc>
          <w:tcPr>
            <w:tcW w:w="80" w:type="dxa"/>
            <w:vAlign w:val="bottom"/>
          </w:tcPr>
          <w:p>
            <w:pPr>
              <w:spacing w:after="0"/>
              <w:rPr>
                <w:sz w:val="24"/>
                <w:szCs w:val="24"/>
                <w:color w:val="auto"/>
              </w:rPr>
            </w:pPr>
          </w:p>
        </w:tc>
        <w:tc>
          <w:tcPr>
            <w:tcW w:w="16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Far exceeded</w:t>
            </w:r>
          </w:p>
        </w:tc>
        <w:tc>
          <w:tcPr>
            <w:tcW w:w="12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$187,500</w:t>
            </w:r>
          </w:p>
        </w:tc>
        <w:tc>
          <w:tcPr>
            <w:tcW w:w="0" w:type="dxa"/>
            <w:vAlign w:val="bottom"/>
          </w:tcPr>
          <w:p>
            <w:pPr>
              <w:spacing w:after="0"/>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Investment Compensation Plan</w:t>
            </w:r>
          </w:p>
        </w:tc>
        <w:tc>
          <w:tcPr>
            <w:tcW w:w="2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Investment Products</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Private Equity/M&amp;A</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Brian O.</w:t>
            </w:r>
          </w:p>
        </w:tc>
        <w:tc>
          <w:tcPr>
            <w:tcW w:w="1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Client Retention</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vMerge w:val="continue"/>
            <w:shd w:val="clear" w:color="auto" w:fill="CCEEFF"/>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Casey</w:t>
            </w:r>
          </w:p>
        </w:tc>
        <w:tc>
          <w:tcPr>
            <w:tcW w:w="180" w:type="dxa"/>
            <w:vAlign w:val="bottom"/>
          </w:tcPr>
          <w:p>
            <w:pPr>
              <w:spacing w:after="0"/>
              <w:rPr>
                <w:sz w:val="21"/>
                <w:szCs w:val="21"/>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Operationalize MIS</w:t>
            </w: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Launch ETFs</w:t>
            </w:r>
          </w:p>
        </w:tc>
        <w:tc>
          <w:tcPr>
            <w:tcW w:w="2100" w:type="dxa"/>
            <w:vAlign w:val="bottom"/>
            <w:gridSpan w:val="2"/>
            <w:vMerge w:val="restart"/>
          </w:tcPr>
          <w:p>
            <w:pPr>
              <w:jc w:val="center"/>
              <w:ind w:left="799"/>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$375,000</w:t>
            </w:r>
          </w:p>
        </w:tc>
        <w:tc>
          <w:tcPr>
            <w:tcW w:w="80" w:type="dxa"/>
            <w:vAlign w:val="bottom"/>
          </w:tcPr>
          <w:p>
            <w:pPr>
              <w:spacing w:after="0"/>
              <w:rPr>
                <w:sz w:val="14"/>
                <w:szCs w:val="14"/>
                <w:color w:val="auto"/>
              </w:rPr>
            </w:pPr>
          </w:p>
        </w:tc>
        <w:tc>
          <w:tcPr>
            <w:tcW w:w="16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Far exceeded</w:t>
            </w:r>
          </w:p>
        </w:tc>
        <w:tc>
          <w:tcPr>
            <w:tcW w:w="12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$562,500</w:t>
            </w:r>
          </w:p>
        </w:tc>
        <w:tc>
          <w:tcPr>
            <w:tcW w:w="0" w:type="dxa"/>
            <w:vAlign w:val="bottom"/>
          </w:tcPr>
          <w:p>
            <w:pPr>
              <w:spacing w:after="0"/>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Westwood Wealth Transition</w:t>
            </w:r>
          </w:p>
        </w:tc>
        <w:tc>
          <w:tcPr>
            <w:tcW w:w="2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 Promote a client-first culture</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tcBorders>
              <w:bottom w:val="single" w:sz="8" w:color="CCEEFF"/>
            </w:tcBorders>
            <w:shd w:val="clear" w:color="auto" w:fill="CCEEFF"/>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Branding &amp; Web</w:t>
            </w:r>
          </w:p>
        </w:tc>
        <w:tc>
          <w:tcPr>
            <w:tcW w:w="86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2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Investor Relations</w:t>
            </w:r>
          </w:p>
        </w:tc>
        <w:tc>
          <w:tcPr>
            <w:tcW w:w="2100" w:type="dxa"/>
            <w:vAlign w:val="bottom"/>
            <w:gridSpan w:val="2"/>
          </w:tcPr>
          <w:p>
            <w:pPr>
              <w:jc w:val="center"/>
              <w:ind w:left="79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$500,000</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$750,000</w:t>
            </w:r>
          </w:p>
        </w:tc>
        <w:tc>
          <w:tcPr>
            <w:tcW w:w="0" w:type="dxa"/>
            <w:vAlign w:val="bottom"/>
          </w:tcPr>
          <w:p>
            <w:pPr>
              <w:spacing w:after="0"/>
              <w:rPr>
                <w:sz w:val="1"/>
                <w:szCs w:val="1"/>
                <w:color w:val="auto"/>
              </w:rPr>
            </w:pPr>
          </w:p>
        </w:tc>
      </w:tr>
      <w:tr>
        <w:trPr>
          <w:trHeight w:val="148"/>
        </w:trPr>
        <w:tc>
          <w:tcPr>
            <w:tcW w:w="10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2"/>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Compensation Plan</w:t>
            </w:r>
          </w:p>
        </w:tc>
        <w:tc>
          <w:tcPr>
            <w:tcW w:w="2100" w:type="dxa"/>
            <w:vAlign w:val="bottom"/>
            <w:gridSpan w:val="2"/>
          </w:tcPr>
          <w:p>
            <w:pPr>
              <w:jc w:val="center"/>
              <w:ind w:left="79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$67,500</w:t>
            </w:r>
          </w:p>
        </w:tc>
        <w:tc>
          <w:tcPr>
            <w:tcW w:w="80" w:type="dxa"/>
            <w:vAlign w:val="bottom"/>
          </w:tcPr>
          <w:p>
            <w:pPr>
              <w:spacing w:after="0"/>
              <w:rPr>
                <w:sz w:val="17"/>
                <w:szCs w:val="17"/>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Far exceeded</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$101,250</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ind w:left="1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Investment Products</w:t>
            </w: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Private Equity/M&amp;A</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Client Retention</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642620" cy="1809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2620" cy="18091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-2524760</wp:posOffset>
            </wp:positionV>
            <wp:extent cx="137160" cy="574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-1616075</wp:posOffset>
            </wp:positionV>
            <wp:extent cx="137160" cy="574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57404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-664210</wp:posOffset>
            </wp:positionV>
            <wp:extent cx="137160" cy="574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spacing w:after="0" w:line="1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32"/>
          <w:szCs w:val="32"/>
          <w:color w:val="auto"/>
          <w:vertAlign w:val="superscript"/>
        </w:rPr>
        <w:t>Fabian Gomez</w:t>
      </w:r>
      <w:r>
        <w:rPr>
          <w:rFonts w:ascii="Times New Roman" w:cs="Times New Roman" w:eastAsia="Times New Roman" w:hAnsi="Times New Roman"/>
          <w:sz w:val="16"/>
          <w:szCs w:val="16"/>
          <w:b w:val="1"/>
          <w:bCs w:val="1"/>
          <w:color w:val="auto"/>
        </w:rPr>
        <w:tab/>
        <w:t>Strategic Objectives:</w:t>
      </w:r>
    </w:p>
    <w:p>
      <w:pPr>
        <w:ind w:left="1520" w:hanging="144"/>
        <w:spacing w:after="0" w:line="211" w:lineRule="auto"/>
        <w:tabs>
          <w:tab w:leader="none" w:pos="15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Operationalize MIS</w:t>
      </w:r>
    </w:p>
    <w:p>
      <w:pPr>
        <w:ind w:left="1520" w:hanging="144"/>
        <w:spacing w:after="0" w:line="211" w:lineRule="auto"/>
        <w:tabs>
          <w:tab w:leader="none" w:pos="15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ETFs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-139065</wp:posOffset>
            </wp:positionV>
            <wp:extent cx="137160" cy="574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72"/>
        </w:trPr>
        <w:tc>
          <w:tcPr>
            <w:tcW w:w="1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w:t>
            </w:r>
          </w:p>
        </w:tc>
        <w:tc>
          <w:tcPr>
            <w:tcW w:w="3020" w:type="dxa"/>
            <w:vAlign w:val="bottom"/>
          </w:tcPr>
          <w:p>
            <w:pPr>
              <w:ind w:left="40"/>
              <w:spacing w:after="0" w:line="171" w:lineRule="exact"/>
              <w:rPr>
                <w:sz w:val="20"/>
                <w:szCs w:val="20"/>
                <w:color w:val="auto"/>
              </w:rPr>
            </w:pPr>
            <w:r>
              <w:rPr>
                <w:rFonts w:ascii="Times New Roman" w:cs="Times New Roman" w:eastAsia="Times New Roman" w:hAnsi="Times New Roman"/>
                <w:sz w:val="16"/>
                <w:szCs w:val="16"/>
                <w:color w:val="auto"/>
              </w:rPr>
              <w:t>Westwood Wealth Transition</w:t>
            </w:r>
          </w:p>
        </w:tc>
        <w:tc>
          <w:tcPr>
            <w:tcW w:w="1240" w:type="dxa"/>
            <w:vAlign w:val="bottom"/>
          </w:tcPr>
          <w:p>
            <w:pPr>
              <w:jc w:val="right"/>
              <w:ind w:right="319"/>
              <w:spacing w:after="0" w:line="171" w:lineRule="exact"/>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4"/>
                <w:szCs w:val="14"/>
                <w:color w:val="auto"/>
              </w:rPr>
            </w:pPr>
          </w:p>
        </w:tc>
        <w:tc>
          <w:tcPr>
            <w:tcW w:w="1260" w:type="dxa"/>
            <w:vAlign w:val="bottom"/>
          </w:tcPr>
          <w:p>
            <w:pPr>
              <w:jc w:val="right"/>
              <w:ind w:right="239"/>
              <w:spacing w:after="0" w:line="171" w:lineRule="exact"/>
              <w:rPr>
                <w:sz w:val="20"/>
                <w:szCs w:val="20"/>
                <w:color w:val="auto"/>
              </w:rPr>
            </w:pPr>
            <w:r>
              <w:rPr>
                <w:rFonts w:ascii="Times New Roman" w:cs="Times New Roman" w:eastAsia="Times New Roman" w:hAnsi="Times New Roman"/>
                <w:sz w:val="16"/>
                <w:szCs w:val="16"/>
                <w:color w:val="auto"/>
              </w:rPr>
              <w:t>$202,500</w:t>
            </w:r>
          </w:p>
        </w:tc>
        <w:tc>
          <w:tcPr>
            <w:tcW w:w="1680" w:type="dxa"/>
            <w:vAlign w:val="bottom"/>
          </w:tcPr>
          <w:p>
            <w:pPr>
              <w:ind w:left="380"/>
              <w:spacing w:after="0" w:line="171" w:lineRule="exact"/>
              <w:rPr>
                <w:sz w:val="20"/>
                <w:szCs w:val="20"/>
                <w:color w:val="auto"/>
              </w:rPr>
            </w:pPr>
            <w:r>
              <w:rPr>
                <w:rFonts w:ascii="Times New Roman" w:cs="Times New Roman" w:eastAsia="Times New Roman" w:hAnsi="Times New Roman"/>
                <w:sz w:val="16"/>
                <w:szCs w:val="16"/>
                <w:color w:val="auto"/>
              </w:rPr>
              <w:t>Far exceeded</w:t>
            </w:r>
          </w:p>
        </w:tc>
        <w:tc>
          <w:tcPr>
            <w:tcW w:w="1380" w:type="dxa"/>
            <w:vAlign w:val="bottom"/>
          </w:tcPr>
          <w:p>
            <w:pPr>
              <w:jc w:val="right"/>
              <w:ind w:right="499"/>
              <w:spacing w:after="0" w:line="171" w:lineRule="exact"/>
              <w:rPr>
                <w:sz w:val="20"/>
                <w:szCs w:val="20"/>
                <w:color w:val="auto"/>
              </w:rPr>
            </w:pPr>
            <w:r>
              <w:rPr>
                <w:rFonts w:ascii="Times New Roman" w:cs="Times New Roman" w:eastAsia="Times New Roman" w:hAnsi="Times New Roman"/>
                <w:sz w:val="16"/>
                <w:szCs w:val="16"/>
                <w:color w:val="auto"/>
              </w:rPr>
              <w:t>150%</w:t>
            </w:r>
          </w:p>
        </w:tc>
        <w:tc>
          <w:tcPr>
            <w:tcW w:w="1100" w:type="dxa"/>
            <w:vAlign w:val="bottom"/>
          </w:tcPr>
          <w:p>
            <w:pPr>
              <w:jc w:val="right"/>
              <w:ind w:right="159"/>
              <w:spacing w:after="0" w:line="171" w:lineRule="exact"/>
              <w:rPr>
                <w:sz w:val="20"/>
                <w:szCs w:val="20"/>
                <w:color w:val="auto"/>
              </w:rPr>
            </w:pPr>
            <w:r>
              <w:rPr>
                <w:rFonts w:ascii="Times New Roman" w:cs="Times New Roman" w:eastAsia="Times New Roman" w:hAnsi="Times New Roman"/>
                <w:sz w:val="16"/>
                <w:szCs w:val="16"/>
                <w:color w:val="auto"/>
              </w:rPr>
              <w:t>$303,750</w:t>
            </w: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5"/>
                <w:szCs w:val="15"/>
                <w:color w:val="auto"/>
              </w:rPr>
              <w:t>• Promote a client-first culture</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2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Branding &amp; Web</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Investor Relations</w:t>
            </w:r>
          </w:p>
        </w:tc>
        <w:tc>
          <w:tcPr>
            <w:tcW w:w="1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vMerge w:val="continue"/>
          </w:tcPr>
          <w:p>
            <w:pPr>
              <w:spacing w:after="0"/>
              <w:rPr>
                <w:sz w:val="5"/>
                <w:szCs w:val="5"/>
                <w:color w:val="auto"/>
              </w:rPr>
            </w:pPr>
          </w:p>
        </w:tc>
        <w:tc>
          <w:tcPr>
            <w:tcW w:w="3020" w:type="dxa"/>
            <w:vAlign w:val="bottom"/>
            <w:vMerge w:val="continue"/>
          </w:tcPr>
          <w:p>
            <w:pPr>
              <w:spacing w:after="0"/>
              <w:rPr>
                <w:sz w:val="5"/>
                <w:szCs w:val="5"/>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5"/>
                <w:szCs w:val="5"/>
                <w:color w:val="auto"/>
              </w:rPr>
            </w:pPr>
          </w:p>
        </w:tc>
        <w:tc>
          <w:tcPr>
            <w:tcW w:w="12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$270,000</w:t>
            </w:r>
          </w:p>
        </w:tc>
        <w:tc>
          <w:tcPr>
            <w:tcW w:w="16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$405,000</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CHC Committee used a similar process to assess performance and determine long-term equity awards for fiscal 2023. In particular, using the following scorecard, the CHC Committee determined and approved fiscal 2023 long-term equity awards for the CEO and the other NEO on February 7 and 13, 2024, and issued these awards on February 23, 2024.</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17220" cy="1465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6"/>
          <w:szCs w:val="16"/>
          <w:color w:val="auto"/>
        </w:rPr>
        <w:t>Brian O.</w:t>
      </w:r>
    </w:p>
    <w:p>
      <w:pPr>
        <w:jc w:val="center"/>
        <w:ind w:left="220"/>
        <w:spacing w:after="0"/>
        <w:rPr>
          <w:sz w:val="20"/>
          <w:szCs w:val="20"/>
          <w:color w:val="auto"/>
        </w:rPr>
      </w:pPr>
      <w:r>
        <w:rPr>
          <w:rFonts w:ascii="Times New Roman" w:cs="Times New Roman" w:eastAsia="Times New Roman" w:hAnsi="Times New Roman"/>
          <w:sz w:val="16"/>
          <w:szCs w:val="16"/>
          <w:color w:val="auto"/>
        </w:rPr>
        <w:t>Casey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shd w:val="clear" w:color="auto" w:fill="CCEEFF"/>
          </w:tcPr>
          <w:p>
            <w:pPr>
              <w:spacing w:after="0"/>
              <w:rPr>
                <w:sz w:val="18"/>
                <w:szCs w:val="18"/>
                <w:color w:val="auto"/>
              </w:rPr>
            </w:pPr>
          </w:p>
        </w:tc>
        <w:tc>
          <w:tcPr>
            <w:tcW w:w="6720" w:type="dxa"/>
            <w:vAlign w:val="bottom"/>
            <w:gridSpan w:val="9"/>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Fiscal 2023 Long-term Equity Incentive Compensation (granted in 2024)</w:t>
            </w:r>
          </w:p>
        </w:tc>
        <w:tc>
          <w:tcPr>
            <w:tcW w:w="1060" w:type="dxa"/>
            <w:vAlign w:val="bottom"/>
            <w:shd w:val="clear" w:color="auto" w:fill="CCEEFF"/>
          </w:tcPr>
          <w:p>
            <w:pPr>
              <w:spacing w:after="0"/>
              <w:rPr>
                <w:sz w:val="18"/>
                <w:szCs w:val="18"/>
                <w:color w:val="auto"/>
              </w:rPr>
            </w:pPr>
          </w:p>
        </w:tc>
      </w:tr>
      <w:tr>
        <w:trPr>
          <w:trHeight w:val="212"/>
        </w:trPr>
        <w:tc>
          <w:tcPr>
            <w:tcW w:w="1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14"/>
        </w:trPr>
        <w:tc>
          <w:tcPr>
            <w:tcW w:w="1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vs. High</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r>
      <w:tr>
        <w:trPr>
          <w:trHeight w:val="222"/>
        </w:trPr>
        <w:tc>
          <w:tcPr>
            <w:tcW w:w="1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Weight</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Expectations</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44"/>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307"/>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AUM</w:t>
            </w:r>
          </w:p>
        </w:tc>
        <w:tc>
          <w:tcPr>
            <w:tcW w:w="2480" w:type="dxa"/>
            <w:vAlign w:val="bottom"/>
            <w:gridSpan w:val="2"/>
          </w:tcPr>
          <w:p>
            <w:pPr>
              <w:jc w:val="center"/>
              <w:ind w:left="121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$125,000</w:t>
            </w:r>
          </w:p>
        </w:tc>
        <w:tc>
          <w:tcPr>
            <w:tcW w:w="8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Met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-361950</wp:posOffset>
            </wp:positionV>
            <wp:extent cx="137160" cy="574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340" w:hanging="159"/>
        <w:spacing w:after="0" w:line="211" w:lineRule="auto"/>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control</w:t>
      </w:r>
    </w:p>
    <w:p>
      <w:pPr>
        <w:ind w:left="340" w:hanging="159"/>
        <w:spacing w:after="0"/>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ROI on corporate investments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Promote a client-first culture</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Introduce new products</w:t>
            </w:r>
          </w:p>
        </w:tc>
        <w:tc>
          <w:tcPr>
            <w:tcW w:w="15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75.0%</w:t>
            </w:r>
          </w:p>
        </w:tc>
        <w:tc>
          <w:tcPr>
            <w:tcW w:w="13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$375,000</w:t>
            </w:r>
          </w:p>
        </w:tc>
        <w:tc>
          <w:tcPr>
            <w:tcW w:w="16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Far exceeded</w:t>
            </w:r>
          </w:p>
        </w:tc>
        <w:tc>
          <w:tcPr>
            <w:tcW w:w="11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121%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$453,750</w:t>
            </w:r>
          </w:p>
        </w:tc>
        <w:tc>
          <w:tcPr>
            <w:tcW w:w="0" w:type="dxa"/>
            <w:vAlign w:val="bottom"/>
          </w:tcPr>
          <w:p>
            <w:pPr>
              <w:spacing w:after="0"/>
              <w:rPr>
                <w:sz w:val="1"/>
                <w:szCs w:val="1"/>
                <w:color w:val="auto"/>
              </w:rPr>
            </w:pPr>
          </w:p>
        </w:tc>
      </w:tr>
      <w:tr>
        <w:trPr>
          <w:trHeight w:val="180"/>
        </w:trPr>
        <w:tc>
          <w:tcPr>
            <w:tcW w:w="2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Expand platform distribution</w:t>
            </w: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-302260</wp:posOffset>
            </wp:positionV>
            <wp:extent cx="137160" cy="574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340" w:hanging="159"/>
        <w:spacing w:after="0" w:line="211"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operating infrastructure</w:t>
      </w:r>
    </w:p>
    <w:p>
      <w:pPr>
        <w:ind w:left="340" w:hanging="159"/>
        <w:spacing w:after="0"/>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Salient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-33020</wp:posOffset>
            </wp:positionV>
            <wp:extent cx="668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-33020</wp:posOffset>
            </wp:positionV>
            <wp:extent cx="15773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3560"/>
        <w:spacing w:after="0"/>
        <w:tabs>
          <w:tab w:leader="none" w:pos="4760" w:val="left"/>
          <w:tab w:leader="none" w:pos="8840" w:val="left"/>
        </w:tabs>
        <w:rPr>
          <w:sz w:val="20"/>
          <w:szCs w:val="20"/>
          <w:color w:val="auto"/>
        </w:rPr>
      </w:pPr>
      <w:r>
        <w:rPr>
          <w:rFonts w:ascii="Times New Roman" w:cs="Times New Roman" w:eastAsia="Times New Roman" w:hAnsi="Times New Roman"/>
          <w:sz w:val="16"/>
          <w:szCs w:val="16"/>
          <w:color w:val="auto"/>
        </w:rPr>
        <w:t>100.0%</w:t>
      </w:r>
      <w:r>
        <w:rPr>
          <w:sz w:val="20"/>
          <w:szCs w:val="20"/>
          <w:color w:val="auto"/>
        </w:rPr>
        <w:tab/>
      </w:r>
      <w:r>
        <w:rPr>
          <w:rFonts w:ascii="Times New Roman" w:cs="Times New Roman" w:eastAsia="Times New Roman" w:hAnsi="Times New Roman"/>
          <w:sz w:val="16"/>
          <w:szCs w:val="16"/>
          <w:b w:val="1"/>
          <w:bCs w:val="1"/>
          <w:color w:val="auto"/>
        </w:rPr>
        <w:t>$500,000</w:t>
      </w:r>
      <w:r>
        <w:rPr>
          <w:sz w:val="20"/>
          <w:szCs w:val="20"/>
          <w:color w:val="auto"/>
        </w:rPr>
        <w:tab/>
      </w:r>
      <w:r>
        <w:rPr>
          <w:rFonts w:ascii="Times New Roman" w:cs="Times New Roman" w:eastAsia="Times New Roman" w:hAnsi="Times New Roman"/>
          <w:sz w:val="16"/>
          <w:szCs w:val="16"/>
          <w:b w:val="1"/>
          <w:bCs w:val="1"/>
          <w:color w:val="auto"/>
        </w:rPr>
        <w:t>$578,750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103505</wp:posOffset>
            </wp:positionV>
            <wp:extent cx="68237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280"/>
            <w:col w:w="10140"/>
          </w:cols>
          <w:pgMar w:left="320" w:top="598" w:right="379" w:bottom="1440"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0" w:type="dxa"/>
            <w:vAlign w:val="bottom"/>
            <w:shd w:val="clear" w:color="auto" w:fill="CCEEFF"/>
          </w:tcPr>
          <w:p>
            <w:pPr>
              <w:spacing w:after="0"/>
              <w:rPr>
                <w:sz w:val="22"/>
                <w:szCs w:val="22"/>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Slightly exceeded</w:t>
            </w: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$38,635</w:t>
            </w:r>
          </w:p>
        </w:tc>
        <w:tc>
          <w:tcPr>
            <w:tcW w:w="0" w:type="dxa"/>
            <w:vAlign w:val="bottom"/>
          </w:tcPr>
          <w:p>
            <w:pPr>
              <w:spacing w:after="0"/>
              <w:rPr>
                <w:sz w:val="1"/>
                <w:szCs w:val="1"/>
                <w:color w:val="auto"/>
              </w:rPr>
            </w:pPr>
          </w:p>
        </w:tc>
      </w:tr>
      <w:tr>
        <w:trPr>
          <w:trHeight w:val="257"/>
        </w:trPr>
        <w:tc>
          <w:tcPr>
            <w:tcW w:w="980" w:type="dxa"/>
            <w:vAlign w:val="bottom"/>
            <w:shd w:val="clear" w:color="auto" w:fill="CCEEFF"/>
          </w:tcPr>
          <w:p>
            <w:pPr>
              <w:spacing w:after="0"/>
              <w:rPr>
                <w:sz w:val="22"/>
                <w:szCs w:val="22"/>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Met</w:t>
            </w: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56"/>
        </w:trPr>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w:t>
            </w: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980" w:type="dxa"/>
            <w:vAlign w:val="bottom"/>
            <w:vMerge w:val="continue"/>
            <w:shd w:val="clear" w:color="auto" w:fill="CCEEFF"/>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Salient integration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Gomez</w:t>
            </w: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Executive succession planning</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75%</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$225,000</w:t>
            </w:r>
          </w:p>
        </w:tc>
        <w:tc>
          <w:tcPr>
            <w:tcW w:w="17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Slightly below</w:t>
            </w:r>
          </w:p>
        </w:tc>
        <w:tc>
          <w:tcPr>
            <w:tcW w:w="126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5"/>
              </w:rPr>
              <w:t>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$168,750</w:t>
            </w: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spacing w:after="0"/>
              <w:rPr>
                <w:sz w:val="14"/>
                <w:szCs w:val="14"/>
                <w:color w:val="auto"/>
              </w:rPr>
            </w:pP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Maintain operating excellence</w:t>
            </w: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Product development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98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8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$300,000</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$244,885</w:t>
            </w:r>
          </w:p>
        </w:tc>
        <w:tc>
          <w:tcPr>
            <w:tcW w:w="0" w:type="dxa"/>
            <w:vAlign w:val="bottom"/>
          </w:tcPr>
          <w:p>
            <w:pPr>
              <w:spacing w:after="0"/>
              <w:rPr>
                <w:sz w:val="1"/>
                <w:szCs w:val="1"/>
                <w:color w:val="auto"/>
              </w:rPr>
            </w:pPr>
          </w:p>
        </w:tc>
      </w:tr>
      <w:tr>
        <w:trPr>
          <w:trHeight w:val="148"/>
        </w:trPr>
        <w:tc>
          <w:tcPr>
            <w:tcW w:w="98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Business Objectives:</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15.5% Maximum</w:t>
            </w: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980" w:type="dxa"/>
            <w:vAlign w:val="bottom"/>
            <w:shd w:val="clear" w:color="auto" w:fill="CCEEFF"/>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2480" w:type="dxa"/>
            <w:vAlign w:val="bottom"/>
            <w:gridSpan w:val="3"/>
            <w:vMerge w:val="continue"/>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980" w:type="dxa"/>
            <w:vAlign w:val="bottom"/>
            <w:shd w:val="clear" w:color="auto" w:fill="CCEEFF"/>
          </w:tcPr>
          <w:p>
            <w:pPr>
              <w:spacing w:after="0"/>
              <w:rPr>
                <w:sz w:val="24"/>
                <w:szCs w:val="24"/>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Profit margin</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Revenue Sharing Rate</w:t>
            </w: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Slightly exceeded</w:t>
            </w:r>
          </w:p>
        </w:tc>
        <w:tc>
          <w:tcPr>
            <w:tcW w:w="12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$260,000</w:t>
            </w: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 control</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(adjusted down based on</w:t>
            </w: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spacing w:after="0"/>
              <w:rPr>
                <w:sz w:val="11"/>
                <w:szCs w:val="11"/>
                <w:color w:val="auto"/>
              </w:rPr>
            </w:pPr>
          </w:p>
        </w:tc>
        <w:tc>
          <w:tcPr>
            <w:tcW w:w="360" w:type="dxa"/>
            <w:vAlign w:val="bottom"/>
          </w:tcPr>
          <w:p>
            <w:pPr>
              <w:ind w:left="2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292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Sales success</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team costs and results</w:t>
            </w: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spacing w:after="0"/>
              <w:rPr>
                <w:sz w:val="14"/>
                <w:szCs w:val="14"/>
                <w:color w:val="auto"/>
              </w:rPr>
            </w:pP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Asset retention</w:t>
            </w:r>
          </w:p>
        </w:tc>
        <w:tc>
          <w:tcPr>
            <w:tcW w:w="2480" w:type="dxa"/>
            <w:vAlign w:val="bottom"/>
            <w:gridSpan w:val="3"/>
            <w:vMerge w:val="continue"/>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Team development</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versus Business Objectives)</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80" w:type="dxa"/>
            <w:vAlign w:val="bottom"/>
            <w:shd w:val="clear" w:color="auto" w:fill="CCEEFF"/>
          </w:tcPr>
          <w:p>
            <w:pPr>
              <w:spacing w:after="0"/>
              <w:rPr>
                <w:sz w:val="4"/>
                <w:szCs w:val="4"/>
                <w:color w:val="auto"/>
              </w:rPr>
            </w:pPr>
          </w:p>
        </w:tc>
        <w:tc>
          <w:tcPr>
            <w:tcW w:w="3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980" w:type="dxa"/>
            <w:vAlign w:val="bottom"/>
            <w:shd w:val="clear" w:color="auto" w:fill="CCEEFF"/>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-1662430</wp:posOffset>
            </wp:positionV>
            <wp:extent cx="137160" cy="5740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Stock Incentive Plan authorizes grants of several different types of equity awards, with the CHC Committee determining in both 2025 (for fiscal</w:t>
      </w:r>
    </w:p>
    <w:p>
      <w:pPr>
        <w:spacing w:after="0" w:line="2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2024 performance) and 2024 (for fiscal 2023 performance) that long-term equity awards would be in the form of restricted stock awards that vest as follows:</w:t>
      </w:r>
    </w:p>
    <w:p>
      <w:pPr>
        <w:spacing w:after="0" w:line="7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awards vest upon the first anniversary of the grant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second anniversary of the grant date;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third anniversary of the grant date.</w:t>
      </w:r>
    </w:p>
    <w:p>
      <w:pPr>
        <w:spacing w:after="0" w:line="117"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For awards made in both 2025 and 2024: dividends on restricted stock awards are accrued and paid when underlying restricted shares vest; accrued dividends on forfeited shares are not paid; and restricted shares may not be sold, transferred, or pledged prior to vesting.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Business Incentive Program</w:t>
      </w:r>
    </w:p>
    <w:p>
      <w:pPr>
        <w:spacing w:after="0" w:line="119"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Wealth Management employees are eligible to participate in the New Business Incentive Program, which is designed to incentivize new client relationships. When a new client relationship is directly initiated as the result of an employee’s efforts, the employee receives 25% of the account’s fees collected during the first year. If the employee refers the client to a Private Wealth Advisor eligible to establish the new client relationship, the 25% payout is split equally between the employee and the Private Wealth Advisor handling the relationship as a quarterly payment based on actual client fees collected.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Benefits and Perquisites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19"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We offer employee and post-retirement benefits to all full-time employees, including NEO, in order to provide them with financial support in the event of injury, illness, or disability and to help them accumulate retirement savings on a tax-favored basis. Our employees are generally eligible to participate in benefit programs including medical, dental, vision, disability, life insurance, and health savings or flexible spending accounts. The cost of health insurance and savings plans is partially borne by</w:t>
      </w:r>
    </w:p>
    <w:p>
      <w:pPr>
        <w:sectPr>
          <w:pgSz w:w="11900" w:h="16838" w:orient="portrait"/>
          <w:cols w:equalWidth="0" w:num="1">
            <w:col w:w="11200"/>
          </w:cols>
          <w:pgMar w:left="320" w:top="598" w:right="379" w:bottom="1440" w:gutter="0" w:footer="0" w:header="0"/>
          <w:type w:val="continuous"/>
        </w:sect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Company, including costs for NEO. We pay for disability insurance and a set amount of term life insurance for all employees.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Savings Plan and Matching Contributions</w:t>
      </w:r>
    </w:p>
    <w:p>
      <w:pPr>
        <w:spacing w:after="0" w:line="119"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Under Westwood Holdings Group, Inc.’s Savings Plan (the "Savings Plan"), all U.S. employees, including NEO, are eligible to make 401(k) contributions, subject to annual IRS limits. We fully match employee contributions up to 6% of their eligible compensation (subject to IRS limits). An additional 1% contribution is matched for employees earning less than the highly compensated threshold ($155,000), as set annually by the IRS. Employees are vested immediately in their 401(k) contributions, as well as in the Company matching portion.</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Profit Sharing Contributions</w:t>
      </w:r>
    </w:p>
    <w:p>
      <w:pPr>
        <w:spacing w:after="0" w:line="119" w:lineRule="exact"/>
        <w:rPr>
          <w:sz w:val="20"/>
          <w:szCs w:val="20"/>
          <w:color w:val="auto"/>
        </w:rPr>
      </w:pPr>
    </w:p>
    <w:p>
      <w:pPr>
        <w:ind w:right="120" w:firstLine="405"/>
        <w:spacing w:after="0" w:line="289" w:lineRule="auto"/>
        <w:rPr>
          <w:sz w:val="20"/>
          <w:szCs w:val="20"/>
          <w:color w:val="auto"/>
        </w:rPr>
      </w:pPr>
      <w:r>
        <w:rPr>
          <w:rFonts w:ascii="Times New Roman" w:cs="Times New Roman" w:eastAsia="Times New Roman" w:hAnsi="Times New Roman"/>
          <w:sz w:val="17"/>
          <w:szCs w:val="17"/>
          <w:color w:val="auto"/>
        </w:rPr>
        <w:t>The Company’s Savings Plan authorizes us to make discretionary annual contributions to U.S. employees’ Savings Plan accounts based on our profitability and performance. The profit-sharing component of the Savings Plan is broad-based and all employees, including the NEO, are eligible for discretionary profit-sharing contributions. Profit sharing contributions are subject to a four-year vesting schedule, based on an employee's years of service.</w:t>
      </w:r>
    </w:p>
    <w:p>
      <w:pPr>
        <w:spacing w:after="0" w:line="50"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For 2024, the Company made 401(k) matching contributions and Company profit-sharing contributions totaling $24,150 for each of Messrs. Casey, Gomez, and Ms. Bennett.</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provide perquisites to our NEO during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Board has established stock ownership guidelines for the Chief Executive Officer (“CEO”), NEO, and certain other executives because we believe that equity ownership encourages employees to have a long-term view of our success and a healthy concern for the entire Company. Executives subject to stock ownership guidelines are required to hold net shares acquired through vesting of equity-based compensation programs until the minimum guideline level is met. If a decline in the price of our common stock causes an executive’s holdings to fall below the applicable threshold, the executive will not be required to purchase additional shares but is required to hold 100% of net shares acquired through vesting of equity-based compensation programs until the threshold is regained. Compliance with stock ownership guidelines is evaluated periodically by our Board of Directors. With the decline in the price of our stock over time and increased thresholds in the stock ownership guidelines, the value of shares held by certain executives fell below the applicable thresholds. As of December 31, 2024, Mr. Casey was in compliance with the stock ownership holding requirement.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Related Agreements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Brian O. Casey</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CHC Committee believes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Accordingly, in December 2015, the CHC Committee entered into a new employment agreement with Mr. Casey, which auto-renewed for an additional one-year period on January 1, 2024, and is subject to automatic renewals for subsequent one-year periods.</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Fabian Gomez</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There is no written employment agreement with Mr. Gomez, however in connection with his appointment as President on May 26, 2022, the Company and Mr. Gomez entered into a letter agreement (the “Gomez Letter Agreement”) and an Employee Confidentiality and Non-Compete Agreement (the “Gomez CNCA”). The Gomez Letter Agreement, which supersedes and replaces the severance agreement between the Company and Mr. Gomez dated February 9, 2018, provides for continued vesting of Mr. Gomez’s outstanding unvested restricted stock awards (time-based and performance-based) upon his involuntary termination of employment by the Company without “cause” (as defined in the Gomez Letter Agreement), or his voluntary termination of employment with the Company for “good reason” (as defined in the Gomez Letter Agreement), provided he (a) complies fully with all obligations under the Gomez Letter Agreement and the Gomez CNCA, and (b) executes and does not revoke a general release of all claims arising out of or related to his employment with the Company. The Gomez CNCA contains (a) customary confidentiality provisions, (b) a non-compete covenant that applies during Mr. Gomez’s employment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ind w:right="20"/>
        <w:spacing w:after="0" w:line="256" w:lineRule="auto"/>
        <w:rPr>
          <w:sz w:val="20"/>
          <w:szCs w:val="20"/>
          <w:color w:val="auto"/>
        </w:rPr>
      </w:pPr>
      <w:r>
        <w:rPr>
          <w:rFonts w:ascii="Times New Roman" w:cs="Times New Roman" w:eastAsia="Times New Roman" w:hAnsi="Times New Roman"/>
          <w:sz w:val="18"/>
          <w:szCs w:val="18"/>
          <w:color w:val="auto"/>
        </w:rPr>
        <w:t>and for 12 months thereafter and that restricts him from performing services for any person or entity in the United States that is or was a client of Westwood with respect to whom Mr. Gomez did business and/or had personal contact during his employment with Westwood, and (c) customary employee and client non-solicitation restrictive covenants that apply during Mr. Gomez’s employment and for 24 months thereafter. In addition, under the Gomez CNCA, Westwood can elect to restrict Mr. Gomez from competing against Westwood in any capacity for up to six months following his termination of employment, in exchange for monthly salary continuation payments and monthly prorated bonus payments (based on the most recent annual cash bonus paid to Mr. Gomez before his termination).</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Leah Bennett</w:t>
      </w:r>
    </w:p>
    <w:p>
      <w:pPr>
        <w:spacing w:after="0" w:line="119"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On October 7, 2024, Leah Bennett and the Company entered into a Resignation and Transition Agreement (“Transition Agreement”) pursuant to which Ms. Bennett agreed to (a) resign from the Company effective as of December 31, 2024 (the “Resignation Date”) and (b) provide certain services to facilitate an orderly transition. In consideration for such transition services and subject to the other terms and conditions contained in the Transition Agreement, including that Ms. Bennett comply with her confidentiality, non-solicitation and non-compete obligations under her existing Westwood Employee Confidentiality, Inventions, Non-Competition and Non-Solicitation Agreement dated February 1, 2023 (the “Bennett CNCA”), to protect and preserve the goodwill of the Company’s business going forward, the Company agreed to provide Ms. Bennett with certain additional payments for so long as (and only for so long as), among other things, she abides by her confidentiality, non-solicitation and non-compete obligations under the Bennett CNCA and, subject only to limited exceptions outlined below, does not solicit or provide wealth management or investment advisory services to any persons or entities that prior to or on the Resignation Date were Westwood customers or clients (the “Prohibited Westwood Clients”). Subject to the terms and conditions of the Transition Agreement (including the forfeiture provisions described below), these payments will consist of a cash payment of $350,000 paid in February 2025; a cash payment of $250,000 to be made in February 2026; and a cash payment of $150,000 to be made in February 2027 (the “Restricted Service Payments”).</w:t>
      </w:r>
    </w:p>
    <w:p>
      <w:pPr>
        <w:spacing w:after="0" w:line="82" w:lineRule="exact"/>
        <w:rPr>
          <w:sz w:val="20"/>
          <w:szCs w:val="20"/>
          <w:color w:val="auto"/>
        </w:rPr>
      </w:pPr>
    </w:p>
    <w:p>
      <w:pPr>
        <w:ind w:right="260" w:firstLine="405"/>
        <w:spacing w:after="0" w:line="256" w:lineRule="auto"/>
        <w:rPr>
          <w:sz w:val="20"/>
          <w:szCs w:val="20"/>
          <w:color w:val="auto"/>
        </w:rPr>
      </w:pPr>
      <w:r>
        <w:rPr>
          <w:rFonts w:ascii="Times New Roman" w:cs="Times New Roman" w:eastAsia="Times New Roman" w:hAnsi="Times New Roman"/>
          <w:sz w:val="18"/>
          <w:szCs w:val="18"/>
          <w:color w:val="auto"/>
        </w:rPr>
        <w:t>If at any time from the date of the Transition Agreement through and including February 28, 2027 (“Restricted Period”), Ms. Bennett directly or indirectly provides services to any Prohibited Westwood Client (other than Westwood Transfer Clients (as defined below)), then all future Restricted Service Payments shall be reduced by an amount equal to 100% of the revenue received by the Company in respect of such Prohibited Westwood Client during 2024. If at any time during the Restricted Period, Ms. Bennett directly or indirectly provides services to any Westwood Transfer Client, then all future Restricted Service Payments shall be reduced by an amount equal to 50% of the revenue received by the Company in respect of such Prohibited Westwood Client during 2024.</w:t>
      </w:r>
    </w:p>
    <w:p>
      <w:pPr>
        <w:spacing w:after="0" w:line="7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If any Prohibited Westwood Client (a) unilaterally, and without any solicitation by Ms. Bennett or others on her behalf, requests wealth management or investment advisory services from Ms. Bennett and transfers assets to Ms. Bennett for such services, and (b) executes a declaration that the client was not solicited by Ms. Bennett and provides such declaration to the Company within five business days of the transfer, then such Prohibited Westwood Client shall be considered a “Westwood Transfer Client.”</w:t>
      </w:r>
    </w:p>
    <w:p>
      <w:pPr>
        <w:spacing w:after="0" w:line="72"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terms of Ms. Bennett’s letter agreement, dated February 1, 2023, and Westwood’s 2022, 2023, and 2024 Restricted Stock Agreements, Ms. Bennett’s unvested restricted shares were forfeited as of the Resignation Date. Additionally, any bonus Ms. Bennett would have been eligible to receive for the fiscal year ended December 31, 2024 pursuant to the Wealth Management Revenue Share Incentive Plan was forfeited.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Set forth below is a summary of the compensation and benefits payable to Messrs. Casey and Gomez in the event their employment is terminated.</w:t>
      </w:r>
    </w:p>
    <w:p>
      <w:pPr>
        <w:spacing w:after="0" w:line="11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our Stock Incentive Plan, in the event of their death or a "change in control" of the Company, unvested time-vested restricted stock awards would vest. Other than the terms of Mr. Gomez's severance benefit agreement discussed in "Employment and Related Agreements" above and the acceleration of restricted stock awards for Mr. Gomez upon death or a "change in control," they are not contractually entitled to any other severance payments upon their termination or a "change in control" of the Company.</w:t>
      </w:r>
    </w:p>
    <w:p>
      <w:pPr>
        <w:spacing w:after="0" w:line="72"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Under the employment agreement in place, payments to Mr. Casey could vary depending on the cause of termination and whether or not the Board elects to enforce a non-compete agreement. Mr. Casey's agreement contains a "double-trigger" change in control related to cash severance, requiring a qualifying termination of employment within 24 months, following a qualifying change in control event, which is consistent with external market practice.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various payment scenarios for Mr. Casey are:</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without cause, by the executive for good reason or non-renewal by the Company (the non-compete agreement is automatically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has not been already paid: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ind w:left="660" w:right="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 times the sum of one year's salary, plus the annual bonus paid for the most recently completed year, to be paid in monthly installments over 18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18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unvested restricted shares shall be fully vested; provided, however, that to the extent that any such awards are subject to performance-based vesting conditions,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year's salary paid in monthly installments, less the amount of medical insurance premiums that would have paid, had he remained employed;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12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not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he has not been already paid:</w:t>
      </w:r>
    </w:p>
    <w:p>
      <w:pPr>
        <w:spacing w:after="0" w:line="11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12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a change in control (the non-compete agreement is automatically enforced)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not been already paid:</w:t>
      </w:r>
    </w:p>
    <w:p>
      <w:pPr>
        <w:spacing w:after="0" w:line="117" w:lineRule="exact"/>
        <w:rPr>
          <w:sz w:val="20"/>
          <w:szCs w:val="20"/>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the sum of one year's salary, plus the annual bonus paid for the most recently completed year, to be paid in monthly installments over 24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18 months, following termination; and</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death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18 months, following termination; and</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8" w:name="page29"/>
    <w:bookmarkEnd w:id="28"/>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disability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benefits, if any, at least equal to those then provided by the Company to disabled executives and their families;</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12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2024</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all outstanding equity awards held by our NEO as of December 31, 2024:</w:t>
      </w:r>
    </w:p>
    <w:p>
      <w:pPr>
        <w:spacing w:after="0" w:line="160" w:lineRule="exact"/>
        <w:rPr>
          <w:sz w:val="20"/>
          <w:szCs w:val="20"/>
          <w:color w:val="auto"/>
        </w:rPr>
      </w:pPr>
    </w:p>
    <w:p>
      <w:pPr>
        <w:ind w:left="2200"/>
        <w:spacing w:after="0"/>
        <w:tabs>
          <w:tab w:leader="none" w:pos="7400" w:val="left"/>
        </w:tabs>
        <w:rPr>
          <w:sz w:val="20"/>
          <w:szCs w:val="20"/>
          <w:color w:val="auto"/>
        </w:rPr>
      </w:pPr>
      <w:r>
        <w:rPr>
          <w:rFonts w:ascii="Times New Roman" w:cs="Times New Roman" w:eastAsia="Times New Roman" w:hAnsi="Times New Roman"/>
          <w:sz w:val="16"/>
          <w:szCs w:val="16"/>
          <w:b w:val="1"/>
          <w:bCs w:val="1"/>
          <w:color w:val="auto"/>
        </w:rPr>
        <w:t>Option Awards</w:t>
      </w:r>
      <w:r>
        <w:rPr>
          <w:sz w:val="20"/>
          <w:szCs w:val="20"/>
          <w:color w:val="auto"/>
        </w:rPr>
        <w:tab/>
      </w:r>
      <w:r>
        <w:rPr>
          <w:rFonts w:ascii="Times New Roman" w:cs="Times New Roman" w:eastAsia="Times New Roman" w:hAnsi="Times New Roman"/>
          <w:sz w:val="16"/>
          <w:szCs w:val="16"/>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21590</wp:posOffset>
            </wp:positionV>
            <wp:extent cx="6471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Name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5151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510" cy="420370"/>
                    </a:xfrm>
                    <a:prstGeom prst="rect">
                      <a:avLst/>
                    </a:prstGeom>
                    <a:noFill/>
                  </pic:spPr>
                </pic:pic>
              </a:graphicData>
            </a:graphic>
          </wp:anchor>
        </w:drawing>
      </w:r>
    </w:p>
    <w:p>
      <w:pPr>
        <w:spacing w:after="0" w:line="1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Brian O.</w:t>
      </w:r>
    </w:p>
    <w:p>
      <w:pPr>
        <w:ind w:left="80"/>
        <w:spacing w:after="0"/>
        <w:rPr>
          <w:sz w:val="20"/>
          <w:szCs w:val="20"/>
          <w:color w:val="auto"/>
        </w:rPr>
      </w:pPr>
      <w:r>
        <w:rPr>
          <w:rFonts w:ascii="Times New Roman" w:cs="Times New Roman" w:eastAsia="Times New Roman" w:hAnsi="Times New Roman"/>
          <w:sz w:val="16"/>
          <w:szCs w:val="16"/>
          <w:color w:val="auto"/>
        </w:rPr>
        <w:t>Casey</w:t>
      </w:r>
    </w:p>
    <w:p>
      <w:pPr>
        <w:spacing w:after="0" w:line="2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Fabian</w:t>
      </w:r>
    </w:p>
    <w:p>
      <w:pPr>
        <w:ind w:left="80"/>
        <w:spacing w:after="0"/>
        <w:rPr>
          <w:sz w:val="20"/>
          <w:szCs w:val="20"/>
          <w:color w:val="auto"/>
        </w:rPr>
      </w:pPr>
      <w:r>
        <w:rPr>
          <w:rFonts w:ascii="Times New Roman" w:cs="Times New Roman" w:eastAsia="Times New Roman" w:hAnsi="Times New Roman"/>
          <w:sz w:val="16"/>
          <w:szCs w:val="16"/>
          <w:color w:val="auto"/>
        </w:rPr>
        <w:t>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65151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1510" cy="411480"/>
                    </a:xfrm>
                    <a:prstGeom prst="rect">
                      <a:avLst/>
                    </a:prstGeom>
                    <a:noFill/>
                  </pic:spPr>
                </pic:pic>
              </a:graphicData>
            </a:graphic>
          </wp:anchor>
        </w:drawing>
      </w:r>
    </w:p>
    <w:p>
      <w:pPr>
        <w:spacing w:after="0" w:line="278" w:lineRule="exact"/>
        <w:rPr>
          <w:sz w:val="20"/>
          <w:szCs w:val="20"/>
          <w:color w:val="auto"/>
        </w:rPr>
      </w:pPr>
    </w:p>
    <w:p>
      <w:pPr>
        <w:ind w:left="80" w:right="180"/>
        <w:spacing w:after="0" w:line="245" w:lineRule="auto"/>
        <w:rPr>
          <w:sz w:val="20"/>
          <w:szCs w:val="20"/>
          <w:color w:val="auto"/>
        </w:rPr>
      </w:pPr>
      <w:r>
        <w:rPr>
          <w:rFonts w:ascii="Times New Roman" w:cs="Times New Roman" w:eastAsia="Times New Roman" w:hAnsi="Times New Roman"/>
          <w:sz w:val="16"/>
          <w:szCs w:val="16"/>
          <w:color w:val="auto"/>
        </w:rPr>
        <w:t>Leah Bennett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of Shares of</w:t>
            </w:r>
          </w:p>
        </w:tc>
        <w:tc>
          <w:tcPr>
            <w:tcW w:w="148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4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Award Grant</w:t>
            </w:r>
          </w:p>
        </w:tc>
        <w:tc>
          <w:tcPr>
            <w:tcW w:w="13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of Stock</w:t>
            </w:r>
          </w:p>
        </w:tc>
        <w:tc>
          <w:tcPr>
            <w:tcW w:w="12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4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2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Vested ($) (g)</w:t>
            </w:r>
          </w:p>
        </w:tc>
        <w:tc>
          <w:tcPr>
            <w:tcW w:w="14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Unearned</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2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Year (e)</w:t>
            </w:r>
          </w:p>
        </w:tc>
        <w:tc>
          <w:tcPr>
            <w:tcW w:w="13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Vested (#) (f)</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(3)</w:t>
            </w:r>
          </w:p>
        </w:tc>
        <w:tc>
          <w:tcPr>
            <w:tcW w:w="180" w:type="dxa"/>
            <w:vAlign w:val="bottom"/>
          </w:tcPr>
          <w:p>
            <w:pPr>
              <w:spacing w:after="0"/>
              <w:rPr>
                <w:sz w:val="14"/>
                <w:szCs w:val="14"/>
                <w:color w:val="auto"/>
              </w:rPr>
            </w:pPr>
          </w:p>
        </w:tc>
        <w:tc>
          <w:tcPr>
            <w:tcW w:w="14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Have</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 (b)</w:t>
            </w:r>
          </w:p>
        </w:tc>
        <w:tc>
          <w:tcPr>
            <w:tcW w:w="1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 xml:space="preserve">Price </w:t>
            </w: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 (c)</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 (d)</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w:t>
            </w:r>
          </w:p>
        </w:tc>
        <w:tc>
          <w:tcPr>
            <w:tcW w:w="18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Vested (#) (h)</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 (i)</w:t>
            </w:r>
          </w:p>
        </w:tc>
        <w:tc>
          <w:tcPr>
            <w:tcW w:w="0" w:type="dxa"/>
            <w:vAlign w:val="bottom"/>
          </w:tcPr>
          <w:p>
            <w:pPr>
              <w:spacing w:after="0"/>
              <w:rPr>
                <w:sz w:val="1"/>
                <w:szCs w:val="1"/>
                <w:color w:val="auto"/>
              </w:rPr>
            </w:pPr>
          </w:p>
        </w:tc>
      </w:tr>
      <w:tr>
        <w:trPr>
          <w:trHeight w:val="211"/>
        </w:trPr>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48,230</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699,817</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33,428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485,040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6,156</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89,324</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32,908</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477,495</w:t>
            </w: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10,697</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155,213</w:t>
            </w: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5,079</w:t>
            </w:r>
          </w:p>
        </w:tc>
        <w:tc>
          <w:tcPr>
            <w:tcW w:w="1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73,696</w:t>
            </w:r>
          </w:p>
        </w:tc>
        <w:tc>
          <w:tcPr>
            <w:tcW w:w="18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21,667</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314,388</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10,697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155,213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4,629</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67,167</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0" w:space="120"/>
            <w:col w:w="10360"/>
          </w:cols>
          <w:pgMar w:left="320" w:top="553" w:right="339" w:bottom="1440" w:gutter="0" w:footer="0" w:header="0"/>
          <w:type w:val="continuous"/>
        </w:sectPr>
      </w:pPr>
    </w:p>
    <w:p>
      <w:pPr>
        <w:spacing w:after="0" w:line="223" w:lineRule="exact"/>
        <w:rPr>
          <w:sz w:val="20"/>
          <w:szCs w:val="20"/>
          <w:color w:val="auto"/>
        </w:rPr>
      </w:pPr>
    </w:p>
    <w:p>
      <w:pPr>
        <w:ind w:left="660" w:right="260" w:hanging="652"/>
        <w:spacing w:after="0" w:line="261" w:lineRule="auto"/>
        <w:tabs>
          <w:tab w:leader="none" w:pos="32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years in column (e) reflect the year in which the award was granted. The 2022 grant was for 2021 performance year, the 2023 grant was for the 2022 performance year, and the 2024 grant was for the 2023 performance year.</w:t>
      </w:r>
    </w:p>
    <w:p>
      <w:pPr>
        <w:ind w:left="660" w:right="120" w:hanging="652"/>
        <w:spacing w:after="0" w:line="261" w:lineRule="auto"/>
        <w:tabs>
          <w:tab w:leader="none" w:pos="32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column (f) will vest in late February of each year according to the following schedule provided that the individual is still employed on the vesting date. The grants vest over a 3-year period with 34% vesting Year 1, 33% vesting Year 2, and 33% vesting Year 3.</w:t>
      </w:r>
    </w:p>
    <w:p>
      <w:pPr>
        <w:ind w:left="660" w:right="360" w:hanging="652"/>
        <w:spacing w:after="0" w:line="254" w:lineRule="auto"/>
        <w:tabs>
          <w:tab w:leader="none" w:pos="32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columns (g) reflect the value of the shares shown in columns (f), multiplied by $14.51, the closing market price of our common stock as of December 31, 2024, the last business day in 2024.</w:t>
      </w: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Bennett’s unvested shares of restricted stock were forfeited as of December 31, 2024, in connection with her separation from Westwood Wealth Management.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equity-based incentive awards are governed by the Stock Incentive Plan (the “Plan”).</w:t>
      </w:r>
    </w:p>
    <w:p>
      <w:pPr>
        <w:spacing w:after="0" w:line="11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2024, equity awards under the Plan consisted of issuance of our authorized restricted common stock. Awards under the Plan may be made to employees, including officers and directors who may be employees, non-employee directors, and consultants. Any shares issued under the Plan may consist of authorized but unissued shares or forfeited shares, or a combination thereof.</w:t>
      </w:r>
    </w:p>
    <w:p>
      <w:pPr>
        <w:spacing w:after="0" w:line="6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Plan authorizes the grant of several types of equity-based awards, including incentive stock options ("ISOs"), non-statutory stock options ("NSOs") restricted stock, mutual fund awards, stock purchase rights, stock appreciation rights ("SARs"), restricted stock units ("RSUs"), and performance shares (in the form of deferred stock awards). The Plan also authorizes cash awards in the form of annual incentive awards, performance-based awards, and discretionary bonus awards. The various types of awards authorized under the Plan may be utilized in the future if determined to be appropriate by the CHC Committee. The CHC Committee limits its equity-based awards under the Plan to restricted stock and mutual fund awards. The CHC Committee believes that restricted stock awards are the most effective vehicle to align the interests of employees with stockholders and clients. Unless the CHC Committee determines otherwise, the recipient of restricted shares will generally have the right to vote the restricted shares. No dividends are payable with respect to unvested restricted stock. The CHC Committee has determined that dividends payable on unvested restricted stock will be accrued and, therefore, dividends are subject to</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9" w:name="page30"/>
    <w:bookmarkEnd w:id="29"/>
    <w:p>
      <w:pPr>
        <w:ind w:right="240"/>
        <w:spacing w:after="0" w:line="266" w:lineRule="auto"/>
        <w:rPr>
          <w:sz w:val="20"/>
          <w:szCs w:val="20"/>
          <w:color w:val="auto"/>
        </w:rPr>
      </w:pPr>
      <w:r>
        <w:rPr>
          <w:rFonts w:ascii="Times New Roman" w:cs="Times New Roman" w:eastAsia="Times New Roman" w:hAnsi="Times New Roman"/>
          <w:sz w:val="18"/>
          <w:szCs w:val="18"/>
          <w:color w:val="auto"/>
        </w:rPr>
        <w:t>forfeiture conditions and payable to the recipient only when the underlying shares of restricted stock vest. The CHC Committee believes that these terms and conditions for restricted stock awards offer the best balance of providing value to the employee as we succeed as a company, as well as providing a mechanism to retain key employees over the long-term as they build a meaningful portion of their wealth in the form of Company equity.</w:t>
      </w:r>
    </w:p>
    <w:p>
      <w:pPr>
        <w:spacing w:after="0" w:line="6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Board or the CHC Committee administers the Plan with respect to all eligible individuals. Cash incentive awards are typically communicated to employees and paid in the first quarter of the following year to coincide with year-end performance reviews. Annual time-vested restricted stock awards are generally awarded in the first quarter of the year and reflect performance in the prior year.</w:t>
      </w:r>
    </w:p>
    <w:p>
      <w:pPr>
        <w:spacing w:after="0" w:line="6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Determinations of the CHC Committee are final, conclusive, and binding upon all persons having an interest in the Plan. Any action or determination by the CHC Committee regarding an award to a non-employee director must be approved by the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right="600" w:firstLine="405"/>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and/or other disposition of Company securities by directors, officers, and employees that are reasonably designed to promote compliance with insider trading laws, rules and regulations, and the NYSE listing standards. A copy of the Company’s Insider Trading Policy is attached to the Company’s Annual Report on Form 10-K as Exhibit 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Pay-Versus-Performance Disclosure</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Brian O. Casey, our principal executive officer (“PEO”) and Non-PEO NEO and Company performance for the fiscal years listed below. The CHC Committee did not consider the pay versus performance disclosure below in making its pay decisions for any of the years shown.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for Brian O.</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to Brian O.</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for Non-PEO</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 Non-</w:t>
            </w:r>
          </w:p>
        </w:tc>
        <w:tc>
          <w:tcPr>
            <w:tcW w:w="174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7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Casey</w:t>
            </w:r>
            <w:r>
              <w:rPr>
                <w:rFonts w:ascii="Times New Roman" w:cs="Times New Roman" w:eastAsia="Times New Roman" w:hAnsi="Times New Roman"/>
                <w:sz w:val="9"/>
                <w:szCs w:val="9"/>
                <w:b w:val="1"/>
                <w:bCs w:val="1"/>
                <w:color w:val="auto"/>
              </w:rPr>
              <w:t>(1)</w:t>
            </w:r>
          </w:p>
        </w:tc>
        <w:tc>
          <w:tcPr>
            <w:tcW w:w="1700" w:type="dxa"/>
            <w:vAlign w:val="bottom"/>
            <w:gridSpan w:val="2"/>
            <w:vMerge w:val="restart"/>
          </w:tcPr>
          <w:p>
            <w:pPr>
              <w:jc w:val="center"/>
              <w:ind w:right="1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Casey</w:t>
            </w:r>
            <w:r>
              <w:rPr>
                <w:rFonts w:ascii="Times New Roman" w:cs="Times New Roman" w:eastAsia="Times New Roman" w:hAnsi="Times New Roman"/>
                <w:sz w:val="8"/>
                <w:szCs w:val="8"/>
                <w:b w:val="1"/>
                <w:bCs w:val="1"/>
                <w:color w:val="auto"/>
              </w:rPr>
              <w:t>(1),(2),(3)</w:t>
            </w:r>
          </w:p>
        </w:tc>
        <w:tc>
          <w:tcPr>
            <w:tcW w:w="1700" w:type="dxa"/>
            <w:vAlign w:val="bottom"/>
            <w:gridSpan w:val="2"/>
            <w:vMerge w:val="restart"/>
          </w:tcPr>
          <w:p>
            <w:pPr>
              <w:jc w:val="center"/>
              <w:ind w:right="120"/>
              <w:spacing w:after="0" w:line="201" w:lineRule="exact"/>
              <w:rPr>
                <w:sz w:val="20"/>
                <w:szCs w:val="20"/>
                <w:color w:val="auto"/>
              </w:rPr>
            </w:pPr>
            <w:r>
              <w:rPr>
                <w:rFonts w:ascii="Times New Roman" w:cs="Times New Roman" w:eastAsia="Times New Roman" w:hAnsi="Times New Roman"/>
                <w:sz w:val="14"/>
                <w:szCs w:val="14"/>
                <w:b w:val="1"/>
                <w:bCs w:val="1"/>
                <w:color w:val="auto"/>
                <w:w w:val="94"/>
              </w:rPr>
              <w:t>NEO</w:t>
            </w:r>
            <w:r>
              <w:rPr>
                <w:rFonts w:ascii="Times New Roman" w:cs="Times New Roman" w:eastAsia="Times New Roman" w:hAnsi="Times New Roman"/>
                <w:sz w:val="18"/>
                <w:szCs w:val="18"/>
                <w:b w:val="1"/>
                <w:bCs w:val="1"/>
                <w:color w:val="auto"/>
                <w:w w:val="94"/>
                <w:vertAlign w:val="superscript"/>
              </w:rPr>
              <w:t>(1)</w:t>
            </w:r>
          </w:p>
        </w:tc>
        <w:tc>
          <w:tcPr>
            <w:tcW w:w="1700" w:type="dxa"/>
            <w:vAlign w:val="bottom"/>
            <w:gridSpan w:val="2"/>
            <w:vMerge w:val="restart"/>
          </w:tcPr>
          <w:p>
            <w:pPr>
              <w:jc w:val="center"/>
              <w:ind w:right="1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PEO NEO</w:t>
            </w:r>
            <w:r>
              <w:rPr>
                <w:rFonts w:ascii="Times New Roman" w:cs="Times New Roman" w:eastAsia="Times New Roman" w:hAnsi="Times New Roman"/>
                <w:sz w:val="8"/>
                <w:szCs w:val="8"/>
                <w:b w:val="1"/>
                <w:bCs w:val="1"/>
                <w:color w:val="auto"/>
              </w:rPr>
              <w:t>(1),(2),(3)</w:t>
            </w:r>
          </w:p>
        </w:tc>
        <w:tc>
          <w:tcPr>
            <w:tcW w:w="1740" w:type="dxa"/>
            <w:vAlign w:val="bottom"/>
            <w:gridSpan w:val="2"/>
            <w:vMerge w:val="continue"/>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48"/>
        </w:trPr>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TSR</w:t>
            </w:r>
            <w:r>
              <w:rPr>
                <w:rFonts w:ascii="Times New Roman" w:cs="Times New Roman" w:eastAsia="Times New Roman" w:hAnsi="Times New Roman"/>
                <w:sz w:val="9"/>
                <w:szCs w:val="9"/>
                <w:b w:val="1"/>
                <w:bCs w:val="1"/>
                <w:color w:val="auto"/>
                <w:w w:val="99"/>
              </w:rPr>
              <w:t>(4)</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gridSpan w:val="2"/>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01"/>
        </w:trPr>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2,101,369</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2,334,865</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959,548</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790,415</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98.49</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2,067,532</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2,135,660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866,067</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924,267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81.53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0"/>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1,362,050</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1,265,667</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764,108</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623,349</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68.61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80" w:hanging="348"/>
        <w:spacing w:after="0"/>
        <w:tabs>
          <w:tab w:leader="none" w:pos="6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Brian O. Casey was our PEO for each year presented. The individuals comprising the Non-PEO NEO for each year presented are listed below.</w:t>
      </w:r>
    </w:p>
    <w:p>
      <w:pPr>
        <w:spacing w:after="0" w:line="156"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3"/>
        </w:trPr>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r>
      <w:tr>
        <w:trPr>
          <w:trHeight w:val="210"/>
        </w:trPr>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Leah Bennett</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Leah Bennett</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r>
    </w:tbl>
    <w:p>
      <w:pPr>
        <w:spacing w:after="0" w:line="185" w:lineRule="exact"/>
        <w:rPr>
          <w:sz w:val="20"/>
          <w:szCs w:val="20"/>
          <w:color w:val="auto"/>
        </w:rPr>
      </w:pPr>
    </w:p>
    <w:p>
      <w:pPr>
        <w:ind w:left="660" w:right="20" w:hanging="328"/>
        <w:spacing w:after="0" w:line="302" w:lineRule="auto"/>
        <w:tabs>
          <w:tab w:leader="none" w:pos="6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Compensation Actually Paid have been calculated in accordance with Item 402(v) of Regulation S-K and do not reflect compensation actually earned, realized, or received by the Company’s NEO. These amounts reflect the Summary Compensation Table Total, with certain adjustments as described in footnote 3 below.</w:t>
      </w:r>
    </w:p>
    <w:p>
      <w:pPr>
        <w:spacing w:after="0" w:line="53" w:lineRule="exact"/>
        <w:rPr>
          <w:rFonts w:ascii="Times New Roman" w:cs="Times New Roman" w:eastAsia="Times New Roman" w:hAnsi="Times New Roman"/>
          <w:sz w:val="14"/>
          <w:szCs w:val="14"/>
          <w:color w:val="auto"/>
        </w:rPr>
      </w:pPr>
    </w:p>
    <w:p>
      <w:pPr>
        <w:ind w:left="660" w:right="380" w:hanging="328"/>
        <w:spacing w:after="0" w:line="271" w:lineRule="auto"/>
        <w:tabs>
          <w:tab w:leader="none" w:pos="6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exclusions and inclusions of certain amounts for the PEO and the Non-PEO NEO as set forth below. Equity values are calculated in accordance with FASB ASC Topic 718. Amounts in the Exclusion of Stock Awards column are the totals from the Stock Awards column set forth in the Summary Compensation Table.</w:t>
      </w:r>
    </w:p>
    <w:p>
      <w:pPr>
        <w:spacing w:after="0" w:line="75" w:lineRule="exact"/>
        <w:rPr>
          <w:rFonts w:ascii="Times New Roman" w:cs="Times New Roman" w:eastAsia="Times New Roman" w:hAnsi="Times New Roman"/>
          <w:sz w:val="14"/>
          <w:szCs w:val="14"/>
          <w:color w:val="auto"/>
        </w:rPr>
      </w:pPr>
    </w:p>
    <w:p>
      <w:pPr>
        <w:ind w:left="660" w:right="80" w:hanging="328"/>
        <w:spacing w:after="0" w:line="302"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$100 was invested in the Company for the period starting December 31, 2021, through the end of the listed year. Historical stock performance is not necessarily indicative of future stock performance.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Exclusion of Stock Awards for</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Inclusion of Equity Values for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Actually Paid to</w:t>
            </w:r>
          </w:p>
        </w:tc>
        <w:tc>
          <w:tcPr>
            <w:tcW w:w="0" w:type="dxa"/>
            <w:vAlign w:val="bottom"/>
          </w:tcPr>
          <w:p>
            <w:pPr>
              <w:spacing w:after="0"/>
              <w:rPr>
                <w:sz w:val="1"/>
                <w:szCs w:val="1"/>
                <w:color w:val="auto"/>
              </w:rPr>
            </w:pPr>
          </w:p>
        </w:tc>
      </w:tr>
      <w:tr>
        <w:trPr>
          <w:trHeight w:val="162"/>
        </w:trPr>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Total for Brian O. Casey</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2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0" w:type="dxa"/>
            <w:vAlign w:val="bottom"/>
          </w:tcPr>
          <w:p>
            <w:pPr>
              <w:spacing w:after="0"/>
              <w:rPr>
                <w:sz w:val="1"/>
                <w:szCs w:val="1"/>
                <w:color w:val="auto"/>
              </w:rPr>
            </w:pPr>
          </w:p>
        </w:tc>
      </w:tr>
      <w:tr>
        <w:trPr>
          <w:trHeight w:val="214"/>
        </w:trPr>
        <w:tc>
          <w:tcPr>
            <w:tcW w:w="1380" w:type="dxa"/>
            <w:vAlign w:val="bottom"/>
            <w:gridSpan w:val="2"/>
            <w:vMerge w:val="continue"/>
          </w:tcPr>
          <w:p>
            <w:pPr>
              <w:spacing w:after="0"/>
              <w:rPr>
                <w:sz w:val="18"/>
                <w:szCs w:val="18"/>
                <w:color w:val="auto"/>
              </w:rPr>
            </w:pPr>
          </w:p>
        </w:tc>
        <w:tc>
          <w:tcPr>
            <w:tcW w:w="23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3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3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40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12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2,101,369</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(578,750)</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812,246</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2,334,865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Summary Compensation</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Exclusion of Stock</w:t>
            </w:r>
          </w:p>
        </w:tc>
        <w:tc>
          <w:tcPr>
            <w:tcW w:w="2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Inclusion of Equity</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Compensation Actually</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Awards and Option Awards for</w:t>
            </w:r>
          </w:p>
        </w:tc>
        <w:tc>
          <w:tcPr>
            <w:tcW w:w="2480" w:type="dxa"/>
            <w:vAlign w:val="bottom"/>
            <w:gridSpan w:val="2"/>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Table Total for Non-PEO NEO</w:t>
            </w:r>
          </w:p>
        </w:tc>
        <w:tc>
          <w:tcPr>
            <w:tcW w:w="2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Non-PEO NEO</w:t>
            </w:r>
          </w:p>
        </w:tc>
        <w:tc>
          <w:tcPr>
            <w:tcW w:w="2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Values for Non-PEO NEO</w:t>
            </w:r>
          </w:p>
        </w:tc>
        <w:tc>
          <w:tcPr>
            <w:tcW w:w="2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Paid to Non-PEO NEO</w:t>
            </w:r>
          </w:p>
        </w:tc>
        <w:tc>
          <w:tcPr>
            <w:tcW w:w="0" w:type="dxa"/>
            <w:vAlign w:val="bottom"/>
          </w:tcPr>
          <w:p>
            <w:pPr>
              <w:spacing w:after="0"/>
              <w:rPr>
                <w:sz w:val="1"/>
                <w:szCs w:val="1"/>
                <w:color w:val="auto"/>
              </w:rPr>
            </w:pPr>
          </w:p>
        </w:tc>
      </w:tr>
      <w:tr>
        <w:trPr>
          <w:trHeight w:val="214"/>
        </w:trPr>
        <w:tc>
          <w:tcPr>
            <w:tcW w:w="1380" w:type="dxa"/>
            <w:vAlign w:val="bottom"/>
            <w:gridSpan w:val="2"/>
            <w:vMerge w:val="continue"/>
          </w:tcPr>
          <w:p>
            <w:pPr>
              <w:spacing w:after="0"/>
              <w:rPr>
                <w:sz w:val="18"/>
                <w:szCs w:val="18"/>
                <w:color w:val="auto"/>
              </w:rPr>
            </w:pPr>
          </w:p>
        </w:tc>
        <w:tc>
          <w:tcPr>
            <w:tcW w:w="23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3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3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40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12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959,548</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(327,443)</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158,310</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790,415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Year-End Fair</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Fair</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Vesting-Date Fair</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Fair</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Value of Dividends</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Value of Equity</w:t>
            </w: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from Last</w:t>
            </w: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Fair Value at Last</w:t>
            </w:r>
          </w:p>
        </w:tc>
        <w:tc>
          <w:tcPr>
            <w:tcW w:w="146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Awards Granted</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from Last</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of Equity</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Day of Prior Year</w:t>
            </w:r>
          </w:p>
        </w:tc>
        <w:tc>
          <w:tcPr>
            <w:tcW w:w="148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or Other Earnings</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During Year That</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Day of Prior Year</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Awards Granted</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to Vesting Date of</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Day of Prior Year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 on Equity</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Remained</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to Last Day of</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 Year that</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Unvested Equity</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of Equity Awards</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Awards Not</w:t>
            </w:r>
          </w:p>
        </w:tc>
        <w:tc>
          <w:tcPr>
            <w:tcW w:w="14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Total - Inclusion of</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Unvested as of</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of Unvested</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Vested During</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Awards that Vested</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Forfeited During</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Otherwise</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Last Day of Year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 Awards for</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Year for Brian O.</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During Year for</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Year for Brian O.</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Included for Brian</w:t>
            </w:r>
          </w:p>
        </w:tc>
        <w:tc>
          <w:tcPr>
            <w:tcW w:w="14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 Values for</w:t>
            </w:r>
          </w:p>
        </w:tc>
        <w:tc>
          <w:tcPr>
            <w:tcW w:w="0" w:type="dxa"/>
            <w:vAlign w:val="bottom"/>
          </w:tcPr>
          <w:p>
            <w:pPr>
              <w:spacing w:after="0"/>
              <w:rPr>
                <w:sz w:val="1"/>
                <w:szCs w:val="1"/>
                <w:color w:val="auto"/>
              </w:rPr>
            </w:pPr>
          </w:p>
        </w:tc>
      </w:tr>
      <w:tr>
        <w:trPr>
          <w:trHeight w:val="162"/>
        </w:trPr>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for Brian O. Casey</w:t>
            </w:r>
          </w:p>
        </w:tc>
        <w:tc>
          <w:tcPr>
            <w:tcW w:w="14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1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Casey</w:t>
            </w:r>
          </w:p>
        </w:tc>
        <w:tc>
          <w:tcPr>
            <w:tcW w:w="14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1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Casey</w:t>
            </w:r>
          </w:p>
        </w:tc>
        <w:tc>
          <w:tcPr>
            <w:tcW w:w="14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 Casey</w:t>
            </w:r>
          </w:p>
        </w:tc>
        <w:tc>
          <w:tcPr>
            <w:tcW w:w="14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Brian O. Casey</w:t>
            </w:r>
          </w:p>
        </w:tc>
        <w:tc>
          <w:tcPr>
            <w:tcW w:w="0" w:type="dxa"/>
            <w:vAlign w:val="bottom"/>
          </w:tcPr>
          <w:p>
            <w:pPr>
              <w:spacing w:after="0"/>
              <w:rPr>
                <w:sz w:val="1"/>
                <w:szCs w:val="1"/>
                <w:color w:val="auto"/>
              </w:rPr>
            </w:pPr>
          </w:p>
        </w:tc>
      </w:tr>
      <w:tr>
        <w:trPr>
          <w:trHeight w:val="214"/>
        </w:trPr>
        <w:tc>
          <w:tcPr>
            <w:tcW w:w="104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721,521</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100,543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(9,818)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812,246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 Year-End</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Average Change in</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Change in</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46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Vesting-</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from</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Fair Value</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Average Value of</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from</w:t>
            </w:r>
          </w:p>
        </w:tc>
        <w:tc>
          <w:tcPr>
            <w:tcW w:w="148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Last Day of Prior</w:t>
            </w:r>
          </w:p>
        </w:tc>
        <w:tc>
          <w:tcPr>
            <w:tcW w:w="14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Granted During</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Last Day of Prior</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Date Fair Value of</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Year to Vesting</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at Last Day of</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Dividends or Other</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That</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Year to Last Day</w:t>
            </w:r>
          </w:p>
        </w:tc>
        <w:tc>
          <w:tcPr>
            <w:tcW w:w="14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Date of Unvested</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Prior Year of</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Earnings Paid on</w:t>
            </w: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 Average</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Remained</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6"/>
              </w:rPr>
              <w:t>of Year of</w:t>
            </w:r>
          </w:p>
        </w:tc>
        <w:tc>
          <w:tcPr>
            <w:tcW w:w="14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Granted During</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w:t>
            </w:r>
          </w:p>
        </w:tc>
        <w:tc>
          <w:tcPr>
            <w:tcW w:w="14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Equity Awards Not</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Unvested as of</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Unvested Equity</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Year that Vested</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that Vested During</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Forfeited During</w:t>
            </w: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Otherwise</w:t>
            </w:r>
          </w:p>
        </w:tc>
        <w:tc>
          <w:tcPr>
            <w:tcW w:w="14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Inclusion of</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Last Day of Year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Awards for Non-</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During Year for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for Non-PEO</w:t>
            </w:r>
          </w:p>
        </w:tc>
        <w:tc>
          <w:tcPr>
            <w:tcW w:w="14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for Non-PEO</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Included for Non-</w:t>
            </w:r>
          </w:p>
        </w:tc>
        <w:tc>
          <w:tcPr>
            <w:tcW w:w="14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 Values for</w:t>
            </w:r>
          </w:p>
        </w:tc>
        <w:tc>
          <w:tcPr>
            <w:tcW w:w="0" w:type="dxa"/>
            <w:vAlign w:val="bottom"/>
          </w:tcPr>
          <w:p>
            <w:pPr>
              <w:spacing w:after="0"/>
              <w:rPr>
                <w:sz w:val="1"/>
                <w:szCs w:val="1"/>
                <w:color w:val="auto"/>
              </w:rPr>
            </w:pPr>
          </w:p>
        </w:tc>
      </w:tr>
      <w:tr>
        <w:trPr>
          <w:trHeight w:val="162"/>
        </w:trPr>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for Non-PEO NEO</w:t>
            </w:r>
          </w:p>
        </w:tc>
        <w:tc>
          <w:tcPr>
            <w:tcW w:w="14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PEO NEO</w:t>
            </w:r>
          </w:p>
        </w:tc>
        <w:tc>
          <w:tcPr>
            <w:tcW w:w="14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Non-PEO NEO</w:t>
            </w:r>
          </w:p>
        </w:tc>
        <w:tc>
          <w:tcPr>
            <w:tcW w:w="14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NEO</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NEO</w:t>
            </w:r>
          </w:p>
        </w:tc>
        <w:tc>
          <w:tcPr>
            <w:tcW w:w="14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PEO NEO</w:t>
            </w:r>
          </w:p>
        </w:tc>
        <w:tc>
          <w:tcPr>
            <w:tcW w:w="14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Non-PEO NEO</w:t>
            </w:r>
          </w:p>
        </w:tc>
        <w:tc>
          <w:tcPr>
            <w:tcW w:w="0" w:type="dxa"/>
            <w:vAlign w:val="bottom"/>
          </w:tcPr>
          <w:p>
            <w:pPr>
              <w:spacing w:after="0"/>
              <w:rPr>
                <w:sz w:val="1"/>
                <w:szCs w:val="1"/>
                <w:color w:val="auto"/>
              </w:rPr>
            </w:pPr>
          </w:p>
        </w:tc>
      </w:tr>
      <w:tr>
        <w:trPr>
          <w:trHeight w:val="214"/>
        </w:trPr>
        <w:tc>
          <w:tcPr>
            <w:tcW w:w="104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246,152</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20,036</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(6,717)</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(101,161)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158,310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PEO and Non-PEO NEO Compensation Actually Paid and Company Total Stockholder Return (“TSR”)</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674995" cy="3300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499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Description of Relationship </w:t>
      </w:r>
      <w:r>
        <w:rPr>
          <w:rFonts w:ascii="Times New Roman" w:cs="Times New Roman" w:eastAsia="Times New Roman" w:hAnsi="Times New Roman"/>
          <w:sz w:val="18"/>
          <w:szCs w:val="18"/>
          <w:b w:val="1"/>
          <w:bCs w:val="1"/>
          <w:color w:val="auto"/>
        </w:rPr>
        <w:t>Between PEO</w:t>
      </w:r>
      <w:r>
        <w:rPr>
          <w:rFonts w:ascii="Times New Roman" w:cs="Times New Roman" w:eastAsia="Times New Roman" w:hAnsi="Times New Roman"/>
          <w:sz w:val="18"/>
          <w:szCs w:val="18"/>
          <w:b w:val="1"/>
          <w:bCs w:val="1"/>
          <w:i w:val="1"/>
          <w:iCs w:val="1"/>
          <w:color w:val="auto"/>
        </w:rPr>
        <w:t xml:space="preserve"> and Non-PEO NEO Compensation Actually Paid and Net Income</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 and our Net Income during the three most recently completed fiscal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88990" cy="3291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8889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SEC rules, the information in this “Pay-Versus-Performance Disclosure” section shall not be deemed to be incorporated by reference into any Company filing under the Securities Act or Exchange Act, unless expressly incorporated by specific reference in such filing.</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Appointment of BDO USA, P.C. as Independent Auditors</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BDO USA, P.C. (“BDO”) as our independent auditors for 2025. Representatives of BDO will attend the virtual annual meeting to answer questions and may make a statement, if they so desire.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by BDO</w:t>
      </w:r>
    </w:p>
    <w:p>
      <w:pPr>
        <w:spacing w:after="0" w:line="12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BDO was appointed to serve as independent auditor for the Company in 2022. In addition to performing the audit of the Company's consolidated financial statements, BDO also provides various other services to the Company and to common trust funds sponsored by Westwood Trust. The following table presents aggregate fees billed to the Company and the common trust funds in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r>
      <w:tr>
        <w:trPr>
          <w:trHeight w:val="211"/>
        </w:trPr>
        <w:tc>
          <w:tcPr>
            <w:tcW w:w="8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595,000</w:t>
            </w:r>
          </w:p>
        </w:tc>
      </w:tr>
      <w:tr>
        <w:trPr>
          <w:trHeight w:val="36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r>
      <w:tr>
        <w:trPr>
          <w:trHeight w:val="36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r>
      <w:tr>
        <w:trPr>
          <w:trHeight w:val="277"/>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917,000</w:t>
            </w:r>
          </w:p>
        </w:tc>
      </w:tr>
      <w:tr>
        <w:trPr>
          <w:trHeight w:val="27"/>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380" w:hanging="562"/>
        <w:spacing w:after="0" w:line="261" w:lineRule="auto"/>
        <w:tabs>
          <w:tab w:leader="none" w:pos="112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ind w:left="1380" w:right="80" w:hanging="562"/>
        <w:spacing w:after="0" w:line="261" w:lineRule="auto"/>
        <w:tabs>
          <w:tab w:leader="none" w:pos="112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financial audit services to common trust funds sponsored by Westwood Trust and the financial audit of Westwood Trust. The fees for the common trust fund audits are not paid by Westwood but are paid by the common trust funds.</w:t>
      </w:r>
    </w:p>
    <w:p>
      <w:pPr>
        <w:ind w:left="1120" w:hanging="302"/>
        <w:spacing w:after="0"/>
        <w:tabs>
          <w:tab w:leader="none" w:pos="1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aggregate fees billed for tax services provided to the common trust funds and partly paid by the common trust funds.</w:t>
      </w:r>
    </w:p>
    <w:p>
      <w:pPr>
        <w:spacing w:after="0" w:line="9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Pre-approval policies and procedures for audit and non-audit services. </w:t>
      </w:r>
      <w:r>
        <w:rPr>
          <w:rFonts w:ascii="Times New Roman" w:cs="Times New Roman" w:eastAsia="Times New Roman" w:hAnsi="Times New Roman"/>
          <w:sz w:val="18"/>
          <w:szCs w:val="18"/>
          <w:color w:val="auto"/>
        </w:rPr>
        <w:t>The Audit Committee has established a policy regarding pre-approval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Audit Committee in reviewing and approving audit and non-audit services, however, the Audit Committee must ratify any such actions by the chairperson.</w:t>
      </w:r>
    </w:p>
    <w:p>
      <w:pPr>
        <w:spacing w:after="0" w:line="77" w:lineRule="exact"/>
        <w:rPr>
          <w:sz w:val="20"/>
          <w:szCs w:val="20"/>
          <w:color w:val="auto"/>
        </w:rPr>
      </w:pPr>
    </w:p>
    <w:p>
      <w:pPr>
        <w:ind w:right="440" w:firstLine="405"/>
        <w:spacing w:after="0" w:line="406" w:lineRule="auto"/>
        <w:rPr>
          <w:sz w:val="20"/>
          <w:szCs w:val="20"/>
          <w:color w:val="auto"/>
        </w:rPr>
      </w:pPr>
      <w:r>
        <w:rPr>
          <w:rFonts w:ascii="Times New Roman" w:cs="Times New Roman" w:eastAsia="Times New Roman" w:hAnsi="Times New Roman"/>
          <w:sz w:val="18"/>
          <w:szCs w:val="18"/>
          <w:color w:val="auto"/>
        </w:rPr>
        <w:t xml:space="preserve">The Audit Committee or the chairperson acting on its behalf pre-approved all services provided by BDO for the year ended December 31, 2024. </w:t>
      </w:r>
      <w:r>
        <w:rPr>
          <w:rFonts w:ascii="Times New Roman" w:cs="Times New Roman" w:eastAsia="Times New Roman" w:hAnsi="Times New Roman"/>
          <w:sz w:val="18"/>
          <w:szCs w:val="18"/>
          <w:b w:val="1"/>
          <w:bCs w:val="1"/>
          <w:color w:val="auto"/>
        </w:rPr>
        <w:t>Vote Sought and Recommendation</w:t>
      </w:r>
    </w:p>
    <w:p>
      <w:pPr>
        <w:spacing w:after="0" w:line="2" w:lineRule="exact"/>
        <w:rPr>
          <w:sz w:val="20"/>
          <w:szCs w:val="20"/>
          <w:color w:val="auto"/>
        </w:rPr>
      </w:pPr>
    </w:p>
    <w:p>
      <w:pPr>
        <w:ind w:right="120" w:firstLine="405"/>
        <w:spacing w:after="0" w:line="305" w:lineRule="auto"/>
        <w:rPr>
          <w:sz w:val="20"/>
          <w:szCs w:val="20"/>
          <w:color w:val="auto"/>
        </w:rPr>
      </w:pPr>
      <w:r>
        <w:rPr>
          <w:rFonts w:ascii="Times New Roman" w:cs="Times New Roman" w:eastAsia="Times New Roman" w:hAnsi="Times New Roman"/>
          <w:sz w:val="18"/>
          <w:szCs w:val="18"/>
          <w:color w:val="auto"/>
        </w:rPr>
        <w:t>Although stockholder action on this matter is not required, the appointment of BDO is being recommended to the stockholders for ratification. The affirmative "FOR" vote of a majority of the votes cast at the annual meeting will serve to ratify the appointment of BDO as independent auditors for 2025. Abstentions will not affect the outcome of a vote on this proposal.</w:t>
      </w:r>
    </w:p>
    <w:p>
      <w:pPr>
        <w:spacing w:after="0" w:line="200" w:lineRule="exact"/>
        <w:rPr>
          <w:sz w:val="20"/>
          <w:szCs w:val="20"/>
          <w:color w:val="auto"/>
        </w:rPr>
      </w:pPr>
    </w:p>
    <w:p>
      <w:pPr>
        <w:spacing w:after="0" w:line="222" w:lineRule="exact"/>
        <w:rPr>
          <w:sz w:val="20"/>
          <w:szCs w:val="20"/>
          <w:color w:val="auto"/>
        </w:rPr>
      </w:pPr>
    </w:p>
    <w:p>
      <w:pPr>
        <w:jc w:val="center"/>
        <w:ind w:left="340" w:right="8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BDO AS OUR INDEPENDENT AUDITORS FOR 2025.</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Eleventh 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Stock Incentive Plan</w:t>
      </w:r>
    </w:p>
    <w:p>
      <w:pPr>
        <w:spacing w:after="0" w:line="99"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The CHC Committee and the Board of Directors have approved and have proposed that our stockholders approve the Eleventh Amended and Restated Westwood Holdings Group, Inc. Stock Incentive Plan (the "Plan") at the annual meeting. The Westwood Holdings Group, Inc. Stock Incentive Plan was originally adopted on February 1, 2002. The Plan has been amended or restated several times since it was adopted. On May 1, 2024, our stockholders approved the Tenth Amended and Restated Westwood Holdings Group, Inc. Stock Incentive Plan with a reserve of 6,748,100 shares of common stock. If the Plan is approved by our stockholders, an additional 200,000 shares will be available for issuance under the Plan, such that the maximum number of shares available for issuance under the Plan will increase from 6,748,100 shares to 6,948,100 shares.</w:t>
      </w:r>
    </w:p>
    <w:p>
      <w:pPr>
        <w:spacing w:after="0" w:line="7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Westwood is seeking stockholder approval for the Plan. Stockholder approval is required under the requirements of the NYSE Corporate Governance Listing Standards, which are applicable to Westwood.</w:t>
      </w:r>
    </w:p>
    <w:p>
      <w:pPr>
        <w:spacing w:after="0" w:line="5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CHC Committee believes it is important to authorize an additional 200,000 shares for granting under the Plan. As of March 3, 2025, approximately 6,145,870 shares had been issued under the Plan, leaving 602,230 shares available under the Plan for issuance. The CHC Committee does not believe that this amount is sufficient to meet the Company's anticipated grants of awards through the date of our 2026 Annual Meeting of Stockholders. If stockholders do not approve the Plan, the Tenth Amended and Restated Westwood Holdings Group, Inc. Stock Incentive Plan will remain in effect, however, shares available for equity-based compensation may be quickly depleted and we will lose the ability to use equity as a compensation tool, requiring a greater cash allocation to support our incentive programs. The CHC Committee plans to request additional shares on an annual basis to accommodate anticipated grants related to the hiring, retention, and promotion of employees. In 2024, 2023 and 2022, the number of shares of common stock underlying equity awards granted was approximately 330,000, 500,000, and 400,000,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Stockholders Should Vote to Approve the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in a Competitive Labor Market</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the asset management industry, there is significant competition for experienced individuals with the skills necessary to execute our strategy and advance our business. Our success depends on such key employees. To compete in a competitive market for talent, we believe that it is important to offer competitive compensation packages that include equity and cash components. Equity compensation is an important part of our employment value proposition.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Are a Key Part of Our Compensation Program</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Equity compensation is a key element of the total compensation we provide because equity grants align our employees’ and directors’ interests with those of our other stockholders, effectuate a culture of ownership among our employees and other recipients, and preserve our cash resources. Equity incentives link long-term performance and payouts through the value of our shares. We believe that employees and other recipients with a personal stake in the future success of the Company are motivated to achieve our objectives and increase stockholder value. These unique and valuable aspects of equity compensation have made it a key element of our compensation strategy, and thus we grant equity compensation to provide opportunities to participate in ownership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to Talent Acquisition and Retention</w:t>
      </w:r>
    </w:p>
    <w:p>
      <w:pPr>
        <w:spacing w:after="0" w:line="12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Equity compensation is important to our ability to attract, motivate, and retain employees and officers and, as noted above, to be successful in the competitive market for highly skilled individuals. We use equity incentives as a key tool to motivate and reward recipients to execute our long-term strategy and, through their equity, share in the stockholder value they create. Long-term equity grants also promote retention because recipients usually must remain in service in order for their equity to vest.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Share Reserve Request Is Reasonable</w:t>
      </w:r>
    </w:p>
    <w:p>
      <w:pPr>
        <w:spacing w:after="0" w:line="121" w:lineRule="exact"/>
        <w:rPr>
          <w:sz w:val="20"/>
          <w:szCs w:val="20"/>
          <w:color w:val="auto"/>
        </w:rPr>
      </w:pPr>
    </w:p>
    <w:p>
      <w:pPr>
        <w:ind w:right="80" w:firstLine="405"/>
        <w:spacing w:after="0" w:line="281" w:lineRule="auto"/>
        <w:rPr>
          <w:sz w:val="20"/>
          <w:szCs w:val="20"/>
          <w:color w:val="auto"/>
        </w:rPr>
      </w:pPr>
      <w:r>
        <w:rPr>
          <w:rFonts w:ascii="Times New Roman" w:cs="Times New Roman" w:eastAsia="Times New Roman" w:hAnsi="Times New Roman"/>
          <w:sz w:val="17"/>
          <w:szCs w:val="17"/>
          <w:color w:val="auto"/>
        </w:rPr>
        <w:t>If our request to approve the Plan and its share reserve is approved, we will have 802,230 shares available for grant after April 30, 2025, which we believe represents a reasonable amount to cover our needs for a limited period of time. The CHC Committee currently anticipates that we will likely need to request additional Shares at our 2026 Annual Meeting of Stockholders, based on our current share price, recent burn rate history, and historical new hire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annual grant practices. In determining the share reserve, the CHC Committee took into account the potential impact of any expected future changes in</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employee population on projected share use. We cannot predict our future equity grant practices, the future price of our shares, or future hiring activity with any degree of certainty at this time, and the share reserve under the Plan could last for a shorter or longer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Monitoring of Dilution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35" w:name="page36"/>
    <w:bookmarkEnd w:id="35"/>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contemplating the number of shares to authorize for issuance under the Plan, the CHC Committee considered the potential dilution to current stockholders and projected future share usage, among other things. The CHC Committee is cognizant that the Company’s equity compensation programs have a dilutive effect on our stockholders, and continuously strives to balance this concern with our need to compete for talent using practices that are prevalent in the market, including equity grants.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Plan Is Intended to Protect Stockholder Interests and Is Consistent with Good Corporate Governance</w:t>
      </w:r>
    </w:p>
    <w:p>
      <w:pPr>
        <w:spacing w:after="0" w:line="119" w:lineRule="exact"/>
        <w:rPr>
          <w:sz w:val="20"/>
          <w:szCs w:val="20"/>
          <w:color w:val="auto"/>
        </w:rPr>
      </w:pPr>
    </w:p>
    <w:p>
      <w:pPr>
        <w:ind w:right="1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Award Vesting Limitations</w:t>
      </w:r>
      <w:r>
        <w:rPr>
          <w:rFonts w:ascii="Times New Roman" w:cs="Times New Roman" w:eastAsia="Times New Roman" w:hAnsi="Times New Roman"/>
          <w:sz w:val="18"/>
          <w:szCs w:val="18"/>
          <w:color w:val="auto"/>
        </w:rPr>
        <w:t>. Awards granted under the Plan will vest no earlier than the first anniversary of the date an award is granted, with a carve-out exception for up to 5% of the aggregate shares available for issuance under the Plan.</w:t>
      </w:r>
    </w:p>
    <w:p>
      <w:pPr>
        <w:spacing w:after="0" w:line="50" w:lineRule="exact"/>
        <w:rPr>
          <w:sz w:val="20"/>
          <w:szCs w:val="20"/>
          <w:color w:val="auto"/>
        </w:rPr>
      </w:pPr>
    </w:p>
    <w:p>
      <w:pPr>
        <w:ind w:right="1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No Discount Stock Options</w:t>
      </w:r>
      <w:r>
        <w:rPr>
          <w:rFonts w:ascii="Times New Roman" w:cs="Times New Roman" w:eastAsia="Times New Roman" w:hAnsi="Times New Roman"/>
          <w:sz w:val="18"/>
          <w:szCs w:val="18"/>
          <w:color w:val="auto"/>
        </w:rPr>
        <w:t>. The Plan prohibits the grant of a stock option with an exercise price less than the fair market value of Westwood’s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grant.</w:t>
      </w:r>
    </w:p>
    <w:p>
      <w:pPr>
        <w:spacing w:after="0" w:line="5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Share Recycling</w:t>
      </w:r>
      <w:r>
        <w:rPr>
          <w:rFonts w:ascii="Times New Roman" w:cs="Times New Roman" w:eastAsia="Times New Roman" w:hAnsi="Times New Roman"/>
          <w:sz w:val="18"/>
          <w:szCs w:val="18"/>
          <w:color w:val="auto"/>
        </w:rPr>
        <w:t>. Any shares subject to an award under the Plan that are forfeited, settled for cash, expire, or otherwise are terminated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such shares, become available for awards under the Plan. In addition, cash awards do not reduce the shares available under the Plan or to a participant in any calendar year. Shares delivered to the Company to pay the exercise price or base price of an award, or to satisfy tax withholding obligations, or shares purchased on the open market using option proceeds, or shares not issued in connection with a SAR share settlement, will not become available again for issuance under the Plan.</w:t>
      </w:r>
    </w:p>
    <w:p>
      <w:pPr>
        <w:spacing w:after="0" w:line="75" w:lineRule="exact"/>
        <w:rPr>
          <w:sz w:val="20"/>
          <w:szCs w:val="20"/>
          <w:color w:val="auto"/>
        </w:rPr>
      </w:pPr>
    </w:p>
    <w:p>
      <w:pPr>
        <w:ind w:right="2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each outstanding award under the Plan shall become 100% vested and exercisable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ten (10) days prior to the date of the change in control.</w:t>
      </w:r>
    </w:p>
    <w:p>
      <w:pPr>
        <w:spacing w:after="0" w:line="50"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 of dividends only if underlying awards vest. </w:t>
      </w:r>
      <w:r>
        <w:rPr>
          <w:rFonts w:ascii="Times New Roman" w:cs="Times New Roman" w:eastAsia="Times New Roman" w:hAnsi="Times New Roman"/>
          <w:sz w:val="18"/>
          <w:szCs w:val="18"/>
          <w:color w:val="auto"/>
        </w:rPr>
        <w:t>Under the Plan, dividends and dividend equivalents, if permitted to be earned on any award,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only to the extent that the underlying award vests.</w:t>
      </w:r>
    </w:p>
    <w:p>
      <w:pPr>
        <w:spacing w:after="0" w:line="50" w:lineRule="exact"/>
        <w:rPr>
          <w:sz w:val="20"/>
          <w:szCs w:val="20"/>
          <w:color w:val="auto"/>
        </w:rPr>
      </w:pPr>
    </w:p>
    <w:p>
      <w:pPr>
        <w:ind w:right="3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repricing. </w:t>
      </w:r>
      <w:r>
        <w:rPr>
          <w:rFonts w:ascii="Times New Roman" w:cs="Times New Roman" w:eastAsia="Times New Roman" w:hAnsi="Times New Roman"/>
          <w:sz w:val="18"/>
          <w:szCs w:val="18"/>
          <w:color w:val="auto"/>
        </w:rPr>
        <w:t>The Plan prohibits the repricing of awards or the repurchase and/or cancellation of underwater awards in exchange for cash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without stockholder approval.</w:t>
      </w:r>
    </w:p>
    <w:p>
      <w:pPr>
        <w:spacing w:after="0" w:line="50"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automatic share replenishment or “evergreen” provision. </w:t>
      </w:r>
      <w:r>
        <w:rPr>
          <w:rFonts w:ascii="Times New Roman" w:cs="Times New Roman" w:eastAsia="Times New Roman" w:hAnsi="Times New Roman"/>
          <w:sz w:val="18"/>
          <w:szCs w:val="18"/>
          <w:color w:val="auto"/>
        </w:rPr>
        <w:t>There is no evergreen feature pursuant to which the shares authorized for issuance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will be automatically replenished.</w:t>
      </w:r>
    </w:p>
    <w:p>
      <w:pPr>
        <w:spacing w:after="0" w:line="50" w:lineRule="exact"/>
        <w:rPr>
          <w:sz w:val="20"/>
          <w:szCs w:val="20"/>
          <w:color w:val="auto"/>
        </w:rPr>
      </w:pPr>
    </w:p>
    <w:p>
      <w:pPr>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increase in shares available without stockholder approval. </w:t>
      </w:r>
      <w:r>
        <w:rPr>
          <w:rFonts w:ascii="Times New Roman" w:cs="Times New Roman" w:eastAsia="Times New Roman" w:hAnsi="Times New Roman"/>
          <w:sz w:val="18"/>
          <w:szCs w:val="18"/>
          <w:color w:val="auto"/>
        </w:rPr>
        <w:t>The Plan prohibits any amendment that operates to increase the total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under the Plan (other than customary adjustments in connection with certain corporate reorganizations or other events).</w:t>
      </w:r>
    </w:p>
    <w:p>
      <w:pPr>
        <w:spacing w:after="0" w:line="50" w:lineRule="exact"/>
        <w:rPr>
          <w:sz w:val="20"/>
          <w:szCs w:val="20"/>
          <w:color w:val="auto"/>
        </w:rPr>
      </w:pPr>
    </w:p>
    <w:p>
      <w:pPr>
        <w:ind w:right="7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discounted options or SARs. </w:t>
      </w:r>
      <w:r>
        <w:rPr>
          <w:rFonts w:ascii="Times New Roman" w:cs="Times New Roman" w:eastAsia="Times New Roman" w:hAnsi="Times New Roman"/>
          <w:sz w:val="18"/>
          <w:szCs w:val="18"/>
          <w:color w:val="auto"/>
        </w:rPr>
        <w:t>Options and SARs may not be granted with an exercise or base price lower than the fair market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on the date of grant (except in connection with substitute awards).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Awards granted under the Plan are subject to the Company’s clawback and/or recoupment policies.</w:t>
      </w:r>
    </w:p>
    <w:p>
      <w:pPr>
        <w:spacing w:after="0" w:line="117"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Limitation on amendments. </w:t>
      </w:r>
      <w:r>
        <w:rPr>
          <w:rFonts w:ascii="Times New Roman" w:cs="Times New Roman" w:eastAsia="Times New Roman" w:hAnsi="Times New Roman"/>
          <w:sz w:val="18"/>
          <w:szCs w:val="18"/>
          <w:color w:val="auto"/>
        </w:rPr>
        <w:t>No amendments to the Plan can be made without stockholder approval if any such amendment would require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pursuant to applicable law or the applicable rules of the national securities exchange on which the Company’s shares are principally listed.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Eleventh Amended and Restated Plan, as Amended</w:t>
      </w:r>
    </w:p>
    <w:p>
      <w:pPr>
        <w:spacing w:after="0" w:line="11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material features of the Plan, as it would be amended, is set forth below. This description and summary are qualified in their entirety by the full text of the Plan included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52" w:lineRule="exact"/>
        <w:rPr>
          <w:sz w:val="20"/>
          <w:szCs w:val="20"/>
          <w:color w:val="auto"/>
        </w:rPr>
      </w:pPr>
    </w:p>
    <w:p>
      <w:pPr>
        <w:ind w:right="100" w:firstLine="405"/>
        <w:spacing w:after="0" w:line="270" w:lineRule="auto"/>
        <w:rPr>
          <w:sz w:val="20"/>
          <w:szCs w:val="20"/>
          <w:color w:val="auto"/>
        </w:rPr>
      </w:pPr>
      <w:r>
        <w:rPr>
          <w:rFonts w:ascii="Times New Roman" w:cs="Times New Roman" w:eastAsia="Times New Roman" w:hAnsi="Times New Roman"/>
          <w:sz w:val="17"/>
          <w:szCs w:val="17"/>
          <w:i w:val="1"/>
          <w:iCs w:val="1"/>
          <w:color w:val="auto"/>
        </w:rPr>
        <w:t>Key Features of the Plan</w:t>
      </w:r>
      <w:r>
        <w:rPr>
          <w:rFonts w:ascii="Times New Roman" w:cs="Times New Roman" w:eastAsia="Times New Roman" w:hAnsi="Times New Roman"/>
          <w:sz w:val="17"/>
          <w:szCs w:val="17"/>
          <w:color w:val="auto"/>
        </w:rPr>
        <w:t>. Awards under the Plan will consist of cash or Westwood's authorized common stock. The fair market value of Westwood's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as of March 3, 2025, was $15.41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to non-employee directors or advisors. There are currently 151 Westwood employees and four non-employee directors who may be eligible to receive awards under the Plan. The total number of shares of common stock available pursuant to awards under the Plan over its entire term is 6,748,100, plus any shares of common stock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be available for issuance under the Plan. Subject to adjustment, no more than 316,033 shares of common stock may be covered by stock-based awards granted to any participant under the Plan in a calendar year.”</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Term of the Plan. </w:t>
      </w:r>
      <w:r>
        <w:rPr>
          <w:rFonts w:ascii="Times New Roman" w:cs="Times New Roman" w:eastAsia="Times New Roman" w:hAnsi="Times New Roman"/>
          <w:sz w:val="18"/>
          <w:szCs w:val="18"/>
          <w:color w:val="auto"/>
        </w:rPr>
        <w:t>All awards made under the Plan must be made within 10 years from the date the Plan is adopted.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Unless our Board of Directors determines otherwise, the Plan will be administered by the CHC Committee whose determinations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final and binding on any interested person. Such determinations include selecting participants, determining awards made under the Plan, interpreting plan provisions, and deciding the terms and conditions of any award.</w:t>
      </w:r>
    </w:p>
    <w:p>
      <w:pPr>
        <w:spacing w:after="0" w:line="65" w:lineRule="exact"/>
        <w:rPr>
          <w:sz w:val="20"/>
          <w:szCs w:val="20"/>
          <w:color w:val="auto"/>
        </w:rPr>
      </w:pPr>
    </w:p>
    <w:p>
      <w:pPr>
        <w:jc w:val="both"/>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Plan may be amended by the Board of Directors or by the CHC Committee. Amendments will be subject to stockholder approval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the extent required by applicable law, regulations, or rules. Any amendment that would increase the aggregate number of shares of stock that may be issued under the Plan must be approved by our stockholders.</w:t>
      </w:r>
    </w:p>
    <w:p>
      <w:pPr>
        <w:spacing w:after="0" w:line="6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In the event of any stock dividend, stock split, reverse stock split, recapitalization, combination, reclassification, or similar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CHC Committee or the Board of Directors determines fair and equitable.</w:t>
      </w:r>
    </w:p>
    <w:p>
      <w:pPr>
        <w:spacing w:after="0" w:line="72" w:lineRule="exact"/>
        <w:rPr>
          <w:sz w:val="20"/>
          <w:szCs w:val="20"/>
          <w:color w:val="auto"/>
        </w:rPr>
      </w:pPr>
    </w:p>
    <w:p>
      <w:pPr>
        <w:jc w:val="both"/>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Persons Eligible for Grants</w:t>
      </w:r>
      <w:r>
        <w:rPr>
          <w:rFonts w:ascii="Times New Roman" w:cs="Times New Roman" w:eastAsia="Times New Roman" w:hAnsi="Times New Roman"/>
          <w:sz w:val="18"/>
          <w:szCs w:val="18"/>
          <w:color w:val="auto"/>
        </w:rPr>
        <w:t>. Any employee or non-employee director of Westwood, or any of its parents or subsidiaries, is eligible to be selected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receive an award under the Plan determined by the CHC Committee, acting in its discretion. ISOs will be granted only to participants who are employees of Westwood or a subsidiary thereof.</w:t>
      </w:r>
    </w:p>
    <w:p>
      <w:pPr>
        <w:spacing w:after="0" w:line="6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Plan authorizes the grant of several types of stock-based awards, including, without limitation, incentive stock options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CHC Committee. To date, the CHC Committee has only granted stock-based awards under the Plan in the form of restricted stock and NSOs.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Types of Awards</w:t>
      </w:r>
    </w:p>
    <w:p>
      <w:pPr>
        <w:spacing w:after="0" w:line="11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ISOs and NSOs are stock options that allow the recipient to purchase a fixed number of shares of common stock at a fixed price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less than the fair market value on the option grant date, as determined under the Plan). Options will be exercisable at such time or times, or upon such event or events, and subject to such terms, conditions, performance criteria, and restrictions as shall be determined by the CHC Committee and set forth in the option agreement evidencing such option; provided, however, that (i) no option shall be exercisable after the expiration of 10 years after the effective date of grant of such option, (ii) no ISO granted to a stockholder who owns more than 10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CHC Committee in the grant of an option, any option granted hereunder shall terminate 10 years after the effective date of grant of the option, unless earlier terminated in accordance with its provisions.</w:t>
      </w:r>
    </w:p>
    <w:p>
      <w:pPr>
        <w:spacing w:after="0" w:line="8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considerations approved by the CHC Committee to the extent permitted by applicable law, or (v) by any combination thereof.</w:t>
      </w:r>
    </w:p>
    <w:p>
      <w:pPr>
        <w:spacing w:after="0" w:line="70"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The CHC Committee may also make awards of restricted shares of our stock. The vesting of restricted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conditioned upon the lapse of time and/or the satisfaction of other factors determined by the CHC Committee. Unless the CHC Committee determines otherwise, the recipient of restricted shares will generally have the right to vote the shares. Dividends and dividend equivalents will not be payable with respect to restricted stock; however, the CHC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CHC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80" w:lineRule="exact"/>
        <w:rPr>
          <w:sz w:val="20"/>
          <w:szCs w:val="20"/>
          <w:color w:val="auto"/>
        </w:rPr>
      </w:pPr>
    </w:p>
    <w:p>
      <w:pPr>
        <w:ind w:right="26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 CHC Committee may also make awards of SARs, which allow the recipient to exercise all or a specified portion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SAR for an amount equal to the product of (i) the excess of (A) the fair market value of the shares of our stock on the date the SAR is exercised over</w:t>
      </w:r>
    </w:p>
    <w:p>
      <w:pPr>
        <w:spacing w:after="0" w:line="1" w:lineRule="exact"/>
        <w:rPr>
          <w:sz w:val="20"/>
          <w:szCs w:val="20"/>
          <w:color w:val="auto"/>
        </w:rPr>
      </w:pPr>
    </w:p>
    <w:p>
      <w:pPr>
        <w:jc w:val="both"/>
        <w:ind w:right="160" w:firstLine="8"/>
        <w:spacing w:after="0" w:line="290" w:lineRule="auto"/>
        <w:tabs>
          <w:tab w:leader="none" w:pos="28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price of the SAR and (ii) the number of shares of our stock with respect to which the SAR was exercised. Payment will be in cash, shares of our stock, or a combination thereof, as determined by the CHC Committee. Dividends and dividend equivalents will not be payable with respect to SARs.</w:t>
      </w:r>
    </w:p>
    <w:p>
      <w:pPr>
        <w:spacing w:after="0" w:line="47"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CHC Committee may also make awards of RSUs. The settlement of RSUs may be satisfied by delivery of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cash in an amount equal to the fair market value of the specified number of shares of our stock,</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7" w:name="page38"/>
    <w:bookmarkEnd w:id="37"/>
    <w:p>
      <w:pPr>
        <w:spacing w:after="0" w:line="266" w:lineRule="auto"/>
        <w:rPr>
          <w:sz w:val="20"/>
          <w:szCs w:val="20"/>
          <w:color w:val="auto"/>
        </w:rPr>
      </w:pPr>
      <w:r>
        <w:rPr>
          <w:rFonts w:ascii="Times New Roman" w:cs="Times New Roman" w:eastAsia="Times New Roman" w:hAnsi="Times New Roman"/>
          <w:sz w:val="18"/>
          <w:szCs w:val="18"/>
          <w:color w:val="auto"/>
        </w:rPr>
        <w:t>or a combination thereof, as determined by the CHC Committee. Dividends and dividend equivalents will not be payable with respect to RSUs; however, the CHC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6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CHC Committee may also make awards denominated or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shares of our stock, including, without limitation purchase rights for shares of our stock, awards with value and payment contingent upon performance of the Company or any other factors designated by the CHC Committee, and awards valued by reference to the book value of a share of our stock.</w:t>
      </w:r>
    </w:p>
    <w:p>
      <w:pPr>
        <w:spacing w:after="0" w:line="72"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to Non-Employee Directors. </w:t>
      </w:r>
      <w:r>
        <w:rPr>
          <w:rFonts w:ascii="Times New Roman" w:cs="Times New Roman" w:eastAsia="Times New Roman" w:hAnsi="Times New Roman"/>
          <w:sz w:val="18"/>
          <w:szCs w:val="18"/>
          <w:color w:val="auto"/>
        </w:rPr>
        <w:t>Non-employee directors are eligible to receive any type of award under the Plan other than ISOs. The grant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a non-employee director, acting in his or her capacity as director, taken together with fees paid in cash to the non-employee director, cannot exceed $350,000, or $500,000 for the Chairman of the Board.</w:t>
      </w:r>
    </w:p>
    <w:p>
      <w:pPr>
        <w:spacing w:after="0" w:line="65"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Annual Incentive Awards</w:t>
      </w:r>
      <w:r>
        <w:rPr>
          <w:rFonts w:ascii="Times New Roman" w:cs="Times New Roman" w:eastAsia="Times New Roman" w:hAnsi="Times New Roman"/>
          <w:sz w:val="18"/>
          <w:szCs w:val="18"/>
          <w:color w:val="auto"/>
        </w:rPr>
        <w:t>. The CHC Committee may also grant annual incentive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other eligible persons, in such amounts and subject to such terms and conditions as the CHC Committee may determine. The CHC Committee shall establish the maximum level of annual incentive awards that may be granted for each year. The CHC Committee may, in its sole discretion, reduce, but not increase, the proposed annual incentive award payable to any participating employee during a year.</w:t>
      </w:r>
    </w:p>
    <w:p>
      <w:pPr>
        <w:spacing w:after="0" w:line="72" w:lineRule="exact"/>
        <w:rPr>
          <w:sz w:val="20"/>
          <w:szCs w:val="20"/>
          <w:color w:val="auto"/>
        </w:rPr>
      </w:pPr>
    </w:p>
    <w:p>
      <w:pPr>
        <w:ind w:right="6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Performance-Based Awards</w:t>
      </w:r>
      <w:r>
        <w:rPr>
          <w:rFonts w:ascii="Times New Roman" w:cs="Times New Roman" w:eastAsia="Times New Roman" w:hAnsi="Times New Roman"/>
          <w:sz w:val="17"/>
          <w:szCs w:val="17"/>
          <w:color w:val="auto"/>
        </w:rPr>
        <w:t>. The Plan allows the CHC Committee to grant awards, the vesting, exercise, or settlement of which is contingent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satisfaction of one or more performance conditions. The list of performance measures upon which performance goals may be based currently, includes:</w:t>
      </w:r>
    </w:p>
    <w:p>
      <w:pPr>
        <w:spacing w:after="0" w:line="1" w:lineRule="exact"/>
        <w:rPr>
          <w:sz w:val="20"/>
          <w:szCs w:val="20"/>
          <w:color w:val="auto"/>
        </w:rPr>
      </w:pPr>
    </w:p>
    <w:p>
      <w:pPr>
        <w:ind w:right="240" w:firstLine="8"/>
        <w:spacing w:after="0" w:line="265" w:lineRule="auto"/>
        <w:tabs>
          <w:tab w:leader="none" w:pos="2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w:t>
      </w:r>
    </w:p>
    <w:p>
      <w:pPr>
        <w:ind w:right="40" w:firstLine="8"/>
        <w:spacing w:after="0" w:line="251" w:lineRule="auto"/>
        <w:tabs>
          <w:tab w:leader="none" w:pos="3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or professional objectives, consisting of one or more objectives based on the implementation of plans and policies, the negotiation of transactions, the development of long-term business goals, formation of joint ventures, research or development collaborations, and the completion of other corporation transactions; (xix) any other criteria selected by the CHC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may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Cuts and Jobs Act of 2017).</w:t>
      </w:r>
    </w:p>
    <w:p>
      <w:pPr>
        <w:spacing w:after="0" w:line="80"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Discretionary Bonus Awards</w:t>
      </w:r>
      <w:r>
        <w:rPr>
          <w:rFonts w:ascii="Times New Roman" w:cs="Times New Roman" w:eastAsia="Times New Roman" w:hAnsi="Times New Roman"/>
          <w:sz w:val="18"/>
          <w:szCs w:val="18"/>
          <w:color w:val="auto"/>
        </w:rPr>
        <w:t>. The CHC Committee may also grant discretionary bonus awards of stock, cash, or any combination of stock and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officers and key employees in such amounts, and subject to such terms and conditions, as the CHC Committee may determine.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Material Federal Income Tax Consequences of the Plan</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is a summary of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70"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will generally not recognize any taxable income upon either the grant or exercise of an ISO. However,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ind w:right="40"/>
        <w:spacing w:after="0" w:line="256" w:lineRule="auto"/>
        <w:rPr>
          <w:sz w:val="20"/>
          <w:szCs w:val="20"/>
          <w:color w:val="auto"/>
        </w:rPr>
      </w:pPr>
      <w:r>
        <w:rPr>
          <w:rFonts w:ascii="Times New Roman" w:cs="Times New Roman" w:eastAsia="Times New Roman" w:hAnsi="Times New Roman"/>
          <w:sz w:val="18"/>
          <w:szCs w:val="18"/>
          <w:color w:val="auto"/>
        </w:rPr>
        <w:t>Disposition over the exercise price of the option, or (ii) 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treated as a capital gain and will either be a short-term (taxable at ordinary income tax rates) or long-term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77"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A participant will not recognize any taxable income upon the grant of an NSO. In general,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65"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Incentive Awards, Performance-Based Awards and Discretionary Bonus Awards. </w:t>
      </w:r>
      <w:r>
        <w:rPr>
          <w:rFonts w:ascii="Times New Roman" w:cs="Times New Roman" w:eastAsia="Times New Roman" w:hAnsi="Times New Roman"/>
          <w:sz w:val="18"/>
          <w:szCs w:val="18"/>
          <w:color w:val="auto"/>
        </w:rPr>
        <w:t>In general, a participant who receives cash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 made under the Plan will recognize ordinary income equal to the amount of cash that is received. Except as discussed below in the section entitled </w:t>
      </w:r>
      <w:r>
        <w:rPr>
          <w:rFonts w:ascii="Times New Roman" w:cs="Times New Roman" w:eastAsia="Times New Roman" w:hAnsi="Times New Roman"/>
          <w:sz w:val="18"/>
          <w:szCs w:val="18"/>
          <w:i w:val="1"/>
          <w:iCs w:val="1"/>
          <w:color w:val="auto"/>
        </w:rPr>
        <w:t>“Common Stock Subject to a Substantial Risk of Forfeiture,”</w:t>
      </w:r>
      <w:r>
        <w:rPr>
          <w:rFonts w:ascii="Times New Roman" w:cs="Times New Roman" w:eastAsia="Times New Roman" w:hAnsi="Times New Roman"/>
          <w:sz w:val="18"/>
          <w:szCs w:val="18"/>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7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In general, if a participant receives common stock pursuant to an award made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7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Availability of Tax Deduction for Westwood. </w:t>
      </w:r>
      <w:r>
        <w:rPr>
          <w:rFonts w:ascii="Times New Roman" w:cs="Times New Roman" w:eastAsia="Times New Roman" w:hAnsi="Times New Roman"/>
          <w:sz w:val="18"/>
          <w:szCs w:val="18"/>
          <w:color w:val="auto"/>
        </w:rPr>
        <w:t>When ordinary income is recognized by a participant in connection with the receipt or exercise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Our obligation to make payments or issue shares in connection with any award will be subject to and conditioned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applicable tax withholding obligations. The CHC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Plan Benefits</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Future awards that may be made to eligible participants under the Plan are subject to the discretion of the CHC Committee and, therefore, cannot be determined with certainty at this time. During 2024 and 2023, restricted stock awards covering 102,805 and 83,065 shares, respectively, were granted under the Plan to our NEO.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approval of the Plan requires the affirmative vote of a majority of the votes cast with respect to this Proposal. All proxies submitted will be voted "FOR" this Proposal, unless stockholders specify a contrary vote in their proxies. Neither broker non-votes nor abstentions will be counted as votes cast with respect to this Proposal.</w:t>
      </w:r>
    </w:p>
    <w:p>
      <w:pPr>
        <w:spacing w:after="0" w:line="64"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 ELEVENTH AMENDED AND RESTATED WESTWOOD HOLDINGS GROUP, INC. STOCK INCENTIVE PLAN.</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1"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In conjunction with our stockholder outreach efforts on executive compensation, we are also seeking a non-binding, advisory vote from our stockholders to approve the compensation paid to our NEO, as disclosed in this proxy statement, pursuant to Item 402 of Regulation S-K.</w:t>
      </w:r>
    </w:p>
    <w:p>
      <w:pPr>
        <w:spacing w:after="0" w:line="54"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The CHC Committee has structured our executive compensation program to reflect our "pay-for-performance" philosophy. The compensation opportunities provided to the NEO are dependent on the Company’s financial performance and the NEO’s individual performances and are intended to drive creation of sustainable stockholder value. The CHC Committee will continue to emphasize responsible compensation arrangements that attract, retain, and motivate high caliber executive officers to achieve the Company’s business strategies and objectives.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can vote "FOR" or "AGAINST" or to "ABSTAIN" from voting on the following non-binding resolution relating to executive compensation:</w:t>
      </w:r>
    </w:p>
    <w:p>
      <w:pPr>
        <w:spacing w:after="0" w:line="11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 non-binding, advisory basis, the compensation paid to the Company’s NEO, as disclosed in the Company’s proxy statement for the 2025 Annual Meeting of Stockholders, pursuant to Item 402 of Regulation S-K, including the executive compensation section, the compensation tables, and the narrative discussion."</w:t>
      </w:r>
    </w:p>
    <w:p>
      <w:pPr>
        <w:spacing w:after="0" w:line="6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consider the Company’s executive compensation philosophy and objectives and the components of the Company’s executive compensation program as set forth in the Executive Compensation section above, as well as the following key aspects of our executive compensation program:</w:t>
      </w:r>
    </w:p>
    <w:p>
      <w:pPr>
        <w:spacing w:after="0" w:line="68" w:lineRule="exact"/>
        <w:rPr>
          <w:sz w:val="20"/>
          <w:szCs w:val="20"/>
          <w:color w:val="auto"/>
        </w:rPr>
      </w:pPr>
    </w:p>
    <w:p>
      <w:pPr>
        <w:ind w:firstLine="413"/>
        <w:spacing w:after="0" w:line="266" w:lineRule="auto"/>
        <w:tabs>
          <w:tab w:leader="none" w:pos="6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each named executive officer's total direct compensation -- an average of 59% (excluding Mr. Casey as discussed above in "Executive Compensation" -- was "at risk" compensation in 2024 delivered in the form of an annual cash incentive award and an annual equity incentive award.</w:t>
      </w:r>
    </w:p>
    <w:p>
      <w:pPr>
        <w:spacing w:after="0" w:line="6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three years, our NEO have not received any perquisites.</w:t>
      </w:r>
    </w:p>
    <w:p>
      <w:pPr>
        <w:spacing w:after="0" w:line="117" w:lineRule="exact"/>
        <w:rPr>
          <w:rFonts w:ascii="Times New Roman" w:cs="Times New Roman" w:eastAsia="Times New Roman" w:hAnsi="Times New Roman"/>
          <w:sz w:val="18"/>
          <w:szCs w:val="18"/>
          <w:color w:val="auto"/>
        </w:rPr>
      </w:pPr>
    </w:p>
    <w:p>
      <w:pPr>
        <w:ind w:right="580" w:firstLine="413"/>
        <w:spacing w:after="0" w:line="282" w:lineRule="auto"/>
        <w:tabs>
          <w:tab w:leader="none" w:pos="6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endeavors to structure our executive compensation program to motivate and reward our executive officers for taking appropriate business risks, while avoiding pay practices that incentivize excessive risk-taking.</w:t>
      </w:r>
    </w:p>
    <w:p>
      <w:pPr>
        <w:spacing w:after="0" w:line="5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While your vote on this proposal is advisory and is not binding on the CHC Committee, our Board of Directors and the CHC Committee value the opinions of our stockholders on executive compensation matters and will take the results of this advisory vote into consideration for future decisions regarding our executive compensation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50" w:lineRule="exact"/>
        <w:rPr>
          <w:sz w:val="20"/>
          <w:szCs w:val="20"/>
          <w:color w:val="auto"/>
        </w:rPr>
      </w:pPr>
    </w:p>
    <w:p>
      <w:pPr>
        <w:ind w:left="200" w:right="140"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THE BOARD OF DIRECTORS UNANIMOUSLY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APPROVAL, ON A NON-BINDING, ADVISORY BASIS, OF THE COMPENSATION PAID TO THE NEO, AS DISCLOSED IN THIS PROXY STATEMENT PURSUANT TO ITEM 402 OF</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REGULATION S-K.</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0" w:name="page41"/>
    <w:bookmarkEnd w:id="40"/>
    <w:p>
      <w:pPr>
        <w:ind w:right="2980" w:firstLine="3050"/>
        <w:spacing w:after="0" w:line="377"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Other Relationships and Related Transactions</w:t>
      </w:r>
    </w:p>
    <w:p>
      <w:pPr>
        <w:spacing w:after="0" w:line="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Company earned revenues from an affiliate of GAMCO Investors, Inc., in the amount of $228,000 during fiscal year 2024 in connection with sub-advisory services provided by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Accounts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other select clients who are not members of our Board of Directors or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All future material transactions involving affiliated parties will be subject to approval by a majority of our unaffiliated directors. We have a written policy, entitled the “Conflict of Interest Policy,” that addresses the review and approval of related-party transactions. The Policy provides that, except with the Board’s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taken as a whole and specifically includes all related-party transactions and relationships that we are required to disclose in our proxy statement.</w:t>
      </w:r>
    </w:p>
    <w:p>
      <w:pPr>
        <w:spacing w:after="0" w:line="7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event that the Board’s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unaffiliated members of the Board of Directors. A majority of the members of the Audit Committee (or a majority of the unaffiliated members of the Board of Directors, where applicable) must approve any request. The terms of any such transaction must be as favorable to us as the terms would be if the transaction were entered into with an unrelated third party.</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March 3, 2025, there were 9,379,675 shares of common stock issued and entitled to vote at the Annual Meeting. Except where otherwise indicated, the following table sets forth certain information as of March 3, 2025 regarding beneficial ownership of the common stock and the percentage of total voting power held by:</w:t>
      </w:r>
    </w:p>
    <w:p>
      <w:pPr>
        <w:spacing w:after="0" w:line="68"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more than five percent (5%) of outstanding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director nominee;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noted, the persons named below have sole voting and investment power with respect to such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6"/>
        </w:trPr>
        <w:tc>
          <w:tcPr>
            <w:tcW w:w="8440" w:type="dxa"/>
            <w:vAlign w:val="bottom"/>
            <w:gridSpan w:val="2"/>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Beneficial Owners</w:t>
            </w:r>
          </w:p>
        </w:tc>
        <w:tc>
          <w:tcPr>
            <w:tcW w:w="16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gridSpan w:val="2"/>
            <w:vMerge w:val="continue"/>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0" w:type="dxa"/>
            <w:vAlign w:val="bottom"/>
          </w:tcPr>
          <w:p>
            <w:pPr>
              <w:spacing w:after="0"/>
              <w:rPr>
                <w:sz w:val="1"/>
                <w:szCs w:val="1"/>
                <w:color w:val="auto"/>
              </w:rPr>
            </w:pPr>
          </w:p>
        </w:tc>
      </w:tr>
      <w:tr>
        <w:trPr>
          <w:trHeight w:val="223"/>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Beneficial Owners</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Hoak Public Equities, L.P. </w:t>
            </w:r>
            <w:r>
              <w:rPr>
                <w:rFonts w:ascii="Times New Roman" w:cs="Times New Roman" w:eastAsia="Times New Roman" w:hAnsi="Times New Roman"/>
                <w:sz w:val="23"/>
                <w:szCs w:val="23"/>
                <w:color w:val="auto"/>
                <w:vertAlign w:val="superscript"/>
              </w:rPr>
              <w:t>(2),(3)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744,353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Allspring Global Investments Holdings LLC </w:t>
            </w:r>
            <w:r>
              <w:rPr>
                <w:rFonts w:ascii="Times New Roman" w:cs="Times New Roman" w:eastAsia="Times New Roman" w:hAnsi="Times New Roman"/>
                <w:sz w:val="23"/>
                <w:szCs w:val="23"/>
                <w:color w:val="auto"/>
                <w:vertAlign w:val="superscript"/>
              </w:rPr>
              <w:t>(2),(4)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Directors and NEOs</w:t>
            </w:r>
            <w:r>
              <w:rPr>
                <w:rFonts w:ascii="Times New Roman" w:cs="Times New Roman" w:eastAsia="Times New Roman" w:hAnsi="Times New Roman"/>
                <w:sz w:val="23"/>
                <w:szCs w:val="23"/>
                <w:b w:val="1"/>
                <w:bCs w:val="1"/>
                <w:color w:val="auto"/>
                <w:vertAlign w:val="superscript"/>
              </w:rPr>
              <w:t>(1)</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Fabian Gomez</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NEOs as a group (6 persons)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9"/>
          <w:szCs w:val="9"/>
          <w:color w:val="auto"/>
        </w:rPr>
        <w:t>___________________</w:t>
      </w:r>
    </w:p>
    <w:p>
      <w:pPr>
        <w:spacing w:after="0" w:line="4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55" w:lineRule="exact"/>
        <w:rPr>
          <w:sz w:val="20"/>
          <w:szCs w:val="20"/>
          <w:color w:val="auto"/>
        </w:rPr>
      </w:pPr>
    </w:p>
    <w:p>
      <w:pPr>
        <w:ind w:left="500" w:right="280" w:hanging="492"/>
        <w:spacing w:after="0" w:line="301" w:lineRule="auto"/>
        <w:tabs>
          <w:tab w:leader="none" w:pos="32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director and named executive officer is 200 Crescent Court, Suite 1200, Dallas, Texas, 75201. NEOs listed in the table were those serving as of December 31, 2024. However, any NEOs who were no longer employed by Westwood Holdings Group, Inc. as of March 3, 2025, have been excluded from this table.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information reported for this stockholder is based upon the most recent Form 13F, Schedule 13G or Schedule 13D filed with the SEC by such stockholder.</w:t>
      </w:r>
    </w:p>
    <w:p>
      <w:pPr>
        <w:spacing w:after="0" w:line="68" w:lineRule="exact"/>
        <w:rPr>
          <w:rFonts w:ascii="Times New Roman" w:cs="Times New Roman" w:eastAsia="Times New Roman" w:hAnsi="Times New Roman"/>
          <w:sz w:val="14"/>
          <w:szCs w:val="14"/>
          <w:color w:val="auto"/>
        </w:rPr>
      </w:pPr>
    </w:p>
    <w:p>
      <w:pPr>
        <w:ind w:left="500" w:right="40" w:hanging="492"/>
        <w:spacing w:after="0" w:line="266" w:lineRule="auto"/>
        <w:tabs>
          <w:tab w:leader="none" w:pos="32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Hoak Public Equities, L.P. is 3963 Maple Avenue, Suite 450, Dallas, TX 75219. On November 5, 2024, Hoak Public Equities, L.P. reported its beneficial ownership, indicating that it held sole voting power over 744,353 shares and sole dispositive power over 744,353 shares. The Schedule 13D/A filed by Hoak Public Equities, L.P. is filed on its own behalf and on behalf of any subsidiaries listed on the Schedule 13D, which each hold sole voting power, sole dispositive power, shared voting power, and shared dispositive power over a different number of shares. However, the 744,353 shares reflect the aggregate beneficial ownership reported by Hoak Public Equities, L.P. on a consolidated basis and include any beneficial ownership separately reported by a subsidiary.</w:t>
      </w:r>
    </w:p>
    <w:p>
      <w:pPr>
        <w:spacing w:after="0" w:line="25" w:lineRule="exact"/>
        <w:rPr>
          <w:rFonts w:ascii="Times New Roman" w:cs="Times New Roman" w:eastAsia="Times New Roman" w:hAnsi="Times New Roman"/>
          <w:sz w:val="14"/>
          <w:szCs w:val="14"/>
          <w:color w:val="auto"/>
        </w:rPr>
      </w:pPr>
    </w:p>
    <w:p>
      <w:pPr>
        <w:ind w:left="500" w:right="400" w:hanging="492"/>
        <w:spacing w:after="0" w:line="302" w:lineRule="auto"/>
        <w:tabs>
          <w:tab w:leader="none" w:pos="32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Allspring Global Investments Holdings, LLC is 525 Market St., 10th Fl, San Francisco, CA 94105. On January 29, 2025, Allspring Global Investments Holdings, LLC reported its beneficial ownership, indicating that it held sole voting power over 585,364 shares and sole dispositive power over 585,364 shares.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xml:space="preserve"> under the corporate governance section. The Audit Committee reviews the adequacy of and compliance with such charter annually.</w:t>
      </w:r>
    </w:p>
    <w:p>
      <w:pPr>
        <w:spacing w:after="0" w:line="7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discharging its oversight responsibilities, the Audit Committee reviewed and discussed the audited consolidated financial statements of Westwood Holdings Group, Inc. ("Westwood") as of and for the fiscal year ended December 31, 2024 with management and BDO USA, P.C. ("BDO"), our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(“GAAP”). BDO is responsible for auditing those financial statements and expressing an opinion on the conformity of the financial statements with GAAP. The Audit Committee’s responsibility is to monitor and review these processes. The members of the Audit Committee are "independent," as defined by U.S. Securities and Exchange Commission (“SEC”) and New York Stock Exchange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8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work of BDO. In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BDO the overall scope and plan for its audits and met with the firm throughout the year, with and without management present, to monitor the firm's progress and results obtained from their audits.</w:t>
      </w:r>
    </w:p>
    <w:p>
      <w:pPr>
        <w:spacing w:after="0" w:line="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received from BDO a formal written statement describing all relationships between the firm and Westwood that might bear on the auditors’ independence, consistent with Independent Standards Board Standard No. 1, discussed with BDO any relationships that might impact their objectivity and independence, and, based on such information, satisfied itself as to BDO’s independence. The Audit Committee also approved, in advance, all audit and permitted non-audit services to be provided and concluded that BDO's provision of other permitted non-audit services to Westwood and related entities is compatible with BDO's independence.</w:t>
      </w:r>
    </w:p>
    <w:p>
      <w:pPr>
        <w:spacing w:after="0" w:line="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management, Westwood’s internal auditors, and BDO the quality and adequacy of Westwood’s internal controls over financial reporting and the audit scope and plans for audits performed by the internal auditors and BDO.</w:t>
      </w:r>
    </w:p>
    <w:p>
      <w:pPr>
        <w:spacing w:after="0" w:line="5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BDO all communications required by GAAP standards used in the United States, including those described in Statement on Auditing Standards No. 16, as amended, as adopted by the Public Company Accounting Oversight Board in Rule 3200T.</w:t>
      </w:r>
    </w:p>
    <w:p>
      <w:pPr>
        <w:spacing w:after="0" w:line="54"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For the fiscal year 2024,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BDO. At the conclusion of the process, management provided the Audit Committee with a report on management’s assessment of the effectiveness of Westwood’s internal control over financial reporting as of December 31, 2024. The Audit Committee discussed with management and BDO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BDO prior to earnings announcements throughout the year.</w:t>
      </w:r>
    </w:p>
    <w:p>
      <w:pPr>
        <w:spacing w:after="0" w:line="8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Based upon the above-mentioned review and discussions with management and BDO, the Audit Committee recommended to the Board of Directors that Westwood’s audited consolidated financial statements be included in its Annual Report on Form 10-K for the fiscal year ended December 31, 2024, for filing with the SEC.</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 H. Masterson, Chairperson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M. Frank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R. Norman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 A. Bowman</w:t>
      </w:r>
    </w:p>
    <w:p>
      <w:pPr>
        <w:spacing w:after="0" w:line="200" w:lineRule="exact"/>
        <w:rPr>
          <w:sz w:val="20"/>
          <w:szCs w:val="20"/>
          <w:color w:val="auto"/>
        </w:rPr>
      </w:pPr>
    </w:p>
    <w:p>
      <w:pPr>
        <w:spacing w:after="0" w:line="31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230505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99"/>
          </w:cols>
          <w:pgMar w:left="860" w:top="648"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right="260" w:firstLine="405"/>
        <w:spacing w:after="0" w:line="289" w:lineRule="auto"/>
        <w:rPr>
          <w:sz w:val="20"/>
          <w:szCs w:val="20"/>
          <w:color w:val="auto"/>
        </w:rPr>
      </w:pPr>
      <w:r>
        <w:rPr>
          <w:rFonts w:ascii="Times New Roman" w:cs="Times New Roman" w:eastAsia="Times New Roman" w:hAnsi="Times New Roman"/>
          <w:sz w:val="17"/>
          <w:szCs w:val="17"/>
          <w:color w:val="auto"/>
        </w:rPr>
        <w:t>Section 16(a) of the Securities Exchange Act of 1934 requires our directors, executive officers, and persons who own more than 10 percent of our common stock to file with the SEC initial statements of beneficial ownership of securities and subsequent changes in beneficial ownership. Our officers, directors, and greater-than-10-percent stockholders are required by the SEC's regulations to furnish us with copies of all Section 16(a) forms they file.</w:t>
      </w:r>
    </w:p>
    <w:p>
      <w:pPr>
        <w:spacing w:after="0" w:line="50"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To Westwood's knowledge, based solely on a review of the copies of such reports furnished to us and written representations that no other reports were required, we believe that our officers, directors, and greater-than-10-percent beneficial owners complied in a timely fashion with all Section 16(a) filing requirements applicable to them.</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62" w:lineRule="exact"/>
        <w:rPr>
          <w:sz w:val="20"/>
          <w:szCs w:val="20"/>
          <w:color w:val="auto"/>
        </w:rPr>
      </w:pPr>
    </w:p>
    <w:p>
      <w:pPr>
        <w:ind w:right="80" w:firstLine="486"/>
        <w:spacing w:after="0" w:line="297"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form of proxy for consideration at the 2026 annual meeting of stockholders, pursuant to Rule 14a-8 under the Exchange Act, by submitting their proposals to our Corporate Secretary in a timely manner. Such proposals must be received at our principal executive offices no later than the close of business on November 15, 2025. Proposals should be submitted in writing to 200 Crescent Court, Suite 1200, Dallas, Texas 75201, Attn: Corporate Secretary. Such stockholder proposals must comply with all applicable legal requirements, including Rule 14a-8 under the Exchange Act and the Company’s Bylaws.</w:t>
      </w:r>
    </w:p>
    <w:p>
      <w:pPr>
        <w:spacing w:after="0" w:line="69" w:lineRule="exact"/>
        <w:rPr>
          <w:sz w:val="20"/>
          <w:szCs w:val="20"/>
          <w:color w:val="auto"/>
        </w:rPr>
      </w:pPr>
    </w:p>
    <w:p>
      <w:pPr>
        <w:ind w:firstLine="486"/>
        <w:spacing w:after="0" w:line="293" w:lineRule="auto"/>
        <w:rPr>
          <w:sz w:val="20"/>
          <w:szCs w:val="20"/>
          <w:color w:val="auto"/>
        </w:rPr>
      </w:pPr>
      <w:r>
        <w:rPr>
          <w:rFonts w:ascii="Times New Roman" w:cs="Times New Roman" w:eastAsia="Times New Roman" w:hAnsi="Times New Roman"/>
          <w:sz w:val="18"/>
          <w:szCs w:val="18"/>
          <w:color w:val="auto"/>
        </w:rPr>
        <w:t>Additionally, our Bylaws provide for advance notice procedures to nominate a person for director or to propose business to be considered by stockholders at a meeting (other than pursuant to Rule 14a-8). To be considered timely under these provisions, the stockholder’s notice must provide the information set forth in the Bylaws and be received by the Corporate Secretary at our principal executive offices at the address set forth on the first page of this proxy statement not later than the close of business on January 30, 2026 and not earlier than the close of business on December 31, 2025; provided, however, that if the date of the 2026 Annual Meeting of stockholders is more than 30 days before or more than 60 days after the one-year anniversary of the 2025 Annual Meeting of Stockholders, notice of such stockholder proposal must be received no earlier than the close of business on the 120th day before the 2026 Annual Meeting of stockholders and no later than the close of business on the later of the two following dates: the 90th day prior to 2026 Annual Meeting of stockholders, or the 10th day following the day on which public announcement of the date our 2026 Annual Meeting of stockholders is first made. Our Bylaws also specify requirements as to the form and content of a stockholder’s notice.</w:t>
      </w:r>
    </w:p>
    <w:p>
      <w:pPr>
        <w:spacing w:after="0" w:line="88" w:lineRule="exact"/>
        <w:rPr>
          <w:sz w:val="20"/>
          <w:szCs w:val="20"/>
          <w:color w:val="auto"/>
        </w:rPr>
      </w:pPr>
    </w:p>
    <w:p>
      <w:pPr>
        <w:ind w:right="180" w:firstLine="486"/>
        <w:spacing w:after="0" w:line="329" w:lineRule="auto"/>
        <w:rPr>
          <w:sz w:val="20"/>
          <w:szCs w:val="20"/>
          <w:color w:val="auto"/>
        </w:rPr>
      </w:pPr>
      <w:r>
        <w:rPr>
          <w:rFonts w:ascii="Times New Roman" w:cs="Times New Roman" w:eastAsia="Times New Roman" w:hAnsi="Times New Roman"/>
          <w:sz w:val="18"/>
          <w:szCs w:val="18"/>
          <w:color w:val="auto"/>
        </w:rPr>
        <w:t>Additionally, to comply with the SEC’s universal proxy rules, stockholders who intend to solicit proxies in support of director nominees other than the Company’s nominees must provide notice by January 12, 2026 and do so by following the procedures prescribed in SEC Rule 14a-19.</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62" w:lineRule="exact"/>
        <w:rPr>
          <w:sz w:val="20"/>
          <w:szCs w:val="20"/>
          <w:color w:val="auto"/>
        </w:rPr>
      </w:pPr>
    </w:p>
    <w:p>
      <w:pPr>
        <w:ind w:right="20" w:firstLine="405"/>
        <w:spacing w:after="0" w:line="297" w:lineRule="auto"/>
        <w:rPr>
          <w:sz w:val="20"/>
          <w:szCs w:val="20"/>
          <w:color w:val="auto"/>
        </w:rPr>
      </w:pPr>
      <w:r>
        <w:rPr>
          <w:rFonts w:ascii="Times New Roman" w:cs="Times New Roman" w:eastAsia="Times New Roman" w:hAnsi="Times New Roman"/>
          <w:sz w:val="18"/>
          <w:szCs w:val="18"/>
          <w:color w:val="auto"/>
        </w:rPr>
        <w:t>Our 2024 Annual Report to Stockholders, which includes our consolidated financial statements as of and for the year ended December 31, 2024, is being mailed to you along with this proxy statement. Upon written request, we will provide, without charge to stockholders, a copy of our 2024 Form 10-K, including the financial statements and financial statement schedules to such report. Requests should be directed to Westwood Holdings Group, 200 Crescent Court, Suite 1200, Dallas, Texas 75201, Attn: Corporate Secretary.</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stockholders would like to receive only a single set of our disclosure documents, they should follow these instructions:</w:t>
      </w:r>
    </w:p>
    <w:p>
      <w:pPr>
        <w:spacing w:after="0" w:line="79" w:lineRule="exact"/>
        <w:rPr>
          <w:sz w:val="20"/>
          <w:szCs w:val="20"/>
          <w:color w:val="auto"/>
        </w:rPr>
      </w:pPr>
    </w:p>
    <w:p>
      <w:pPr>
        <w:ind w:left="660" w:right="300" w:hanging="328"/>
        <w:spacing w:after="0" w:line="312" w:lineRule="auto"/>
        <w:tabs>
          <w:tab w:leader="none" w:pos="65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registered in the name of the stockholder, stockholders should contact us at our offices at Westwood Holdings Group, 200 Crescent Court, Suite 1200, Dallas, Texas 75201, Attention: Corporate Secretary, or by telephone at 214-756-6900, to inform us of the request.</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stockholders should contact the bank, broker, or other nominee directly.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1174115" cy="394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741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Brian O. Casey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12, 2025</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49" w:right="4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AMENDED AND RESTATED WESTWOOD HOLDINGS GROUP,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131"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ESTABLISHMENT, PURPOSE AND TERM OF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1300" w:right="80" w:hanging="644"/>
        <w:spacing w:after="0" w:line="28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Establishment. </w:t>
      </w:r>
      <w:r>
        <w:rPr>
          <w:rFonts w:ascii="Times New Roman" w:cs="Times New Roman" w:eastAsia="Times New Roman" w:hAnsi="Times New Roman"/>
          <w:sz w:val="18"/>
          <w:szCs w:val="18"/>
          <w:color w:val="auto"/>
        </w:rPr>
        <w:t>This Eleventh Amended and Restated Westwood Holdings Group, Inc. Stock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established effective as of March 6,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300" w:right="280" w:hanging="644"/>
        <w:spacing w:after="0" w:line="268"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the Plan is to advance the interests of the Participating Company Group and its stockholders by providing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62" w:lineRule="exact"/>
        <w:rPr>
          <w:rFonts w:ascii="Times New Roman" w:cs="Times New Roman" w:eastAsia="Times New Roman" w:hAnsi="Times New Roman"/>
          <w:sz w:val="18"/>
          <w:szCs w:val="18"/>
          <w:color w:val="auto"/>
        </w:rPr>
      </w:pPr>
    </w:p>
    <w:p>
      <w:pPr>
        <w:ind w:left="1300" w:right="60" w:hanging="644"/>
        <w:spacing w:after="0" w:line="259"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of Plan. </w:t>
      </w:r>
      <w:r>
        <w:rPr>
          <w:rFonts w:ascii="Times New Roman" w:cs="Times New Roman" w:eastAsia="Times New Roman" w:hAnsi="Times New Roman"/>
          <w:sz w:val="18"/>
          <w:szCs w:val="18"/>
          <w:color w:val="auto"/>
        </w:rPr>
        <w:t>The Plan shall continue in effect until the earlier of its termination by the Board or the date on which all of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within ten (10) years from the earlier of the date the Plan is adopted by the Board or the date the Plan is duly approved by the stockholders of the Participating Company Group.</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AND CONSTRUCTION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Whenever used herein, the followin</w:t>
      </w:r>
      <w:r>
        <w:rPr>
          <w:rFonts w:ascii="Times New Roman" w:cs="Times New Roman" w:eastAsia="Times New Roman" w:hAnsi="Times New Roman"/>
          <w:sz w:val="18"/>
          <w:szCs w:val="18"/>
          <w:color w:val="auto"/>
        </w:rPr>
        <w:t>g terms shall have their respective meanings set forth below:</w:t>
      </w:r>
    </w:p>
    <w:p>
      <w:pPr>
        <w:spacing w:after="0" w:line="11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17.2.</w:t>
      </w:r>
    </w:p>
    <w:p>
      <w:pPr>
        <w:spacing w:after="0" w:line="11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11.1.</w:t>
      </w:r>
    </w:p>
    <w:p>
      <w:pPr>
        <w:spacing w:after="0" w:line="117" w:lineRule="exact"/>
        <w:rPr>
          <w:rFonts w:ascii="Times New Roman" w:cs="Times New Roman" w:eastAsia="Times New Roman" w:hAnsi="Times New Roman"/>
          <w:sz w:val="18"/>
          <w:szCs w:val="18"/>
          <w:color w:val="auto"/>
        </w:rPr>
      </w:pPr>
    </w:p>
    <w:p>
      <w:pPr>
        <w:ind w:left="1700" w:right="620" w:hanging="396"/>
        <w:spacing w:after="0" w:line="268" w:lineRule="auto"/>
        <w:tabs>
          <w:tab w:leader="none" w:pos="169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form of incentive or performance award granted under the Plan, whether singly or in combination,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by the CHC Committee pursuant to such terms, conditions, restrictions, and/or limitations (if any) as the CHC Committee may establish. Awards granted under the Plan may include:</w:t>
      </w:r>
    </w:p>
    <w:p>
      <w:pPr>
        <w:spacing w:after="0" w:line="66"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awarded pursuant to Sections 6;</w:t>
      </w:r>
    </w:p>
    <w:p>
      <w:pPr>
        <w:spacing w:after="0" w:line="117" w:lineRule="exact"/>
        <w:rPr>
          <w:rFonts w:ascii="Times New Roman" w:cs="Times New Roman" w:eastAsia="Times New Roman" w:hAnsi="Times New Roman"/>
          <w:sz w:val="18"/>
          <w:szCs w:val="18"/>
          <w:color w:val="auto"/>
        </w:rPr>
      </w:pPr>
    </w:p>
    <w:p>
      <w:pPr>
        <w:ind w:left="2280" w:hanging="571"/>
        <w:spacing w:after="0"/>
        <w:tabs>
          <w:tab w:leader="none" w:pos="228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awarded pursuant to Section 7;</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pursuant to Section 9;</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pursuant to Section 10.</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awarded pursuant to Section 14.</w:t>
      </w:r>
    </w:p>
    <w:p>
      <w:pPr>
        <w:spacing w:after="0" w:line="117" w:lineRule="exact"/>
        <w:rPr>
          <w:rFonts w:ascii="Times New Roman" w:cs="Times New Roman" w:eastAsia="Times New Roman" w:hAnsi="Times New Roman"/>
          <w:sz w:val="18"/>
          <w:szCs w:val="18"/>
          <w:color w:val="auto"/>
        </w:rPr>
      </w:pPr>
    </w:p>
    <w:p>
      <w:pPr>
        <w:ind w:left="2280" w:hanging="571"/>
        <w:spacing w:after="0"/>
        <w:tabs>
          <w:tab w:leader="none" w:pos="228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awarded pursuant to Section 11;</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awarded pursuant to Section 12; and</w:t>
      </w:r>
    </w:p>
    <w:p>
      <w:pPr>
        <w:spacing w:after="0" w:line="117"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awarded pursuant to Section 13.</w:t>
      </w:r>
    </w:p>
    <w:p>
      <w:pPr>
        <w:spacing w:after="0" w:line="113" w:lineRule="exact"/>
        <w:rPr>
          <w:rFonts w:ascii="Times New Roman" w:cs="Times New Roman" w:eastAsia="Times New Roman" w:hAnsi="Times New Roman"/>
          <w:sz w:val="18"/>
          <w:szCs w:val="18"/>
          <w:color w:val="auto"/>
        </w:rPr>
      </w:pPr>
    </w:p>
    <w:p>
      <w:pPr>
        <w:ind w:left="1700" w:right="500" w:hanging="396"/>
        <w:spacing w:after="0" w:line="286" w:lineRule="auto"/>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setting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of an Award granted to the Participant.</w:t>
      </w:r>
    </w:p>
    <w:p>
      <w:pPr>
        <w:spacing w:after="0" w:line="4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11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6.3(a).</w:t>
      </w:r>
    </w:p>
    <w:p>
      <w:pPr>
        <w:spacing w:after="0" w:line="117" w:lineRule="exact"/>
        <w:rPr>
          <w:rFonts w:ascii="Times New Roman" w:cs="Times New Roman" w:eastAsia="Times New Roman" w:hAnsi="Times New Roman"/>
          <w:sz w:val="18"/>
          <w:szCs w:val="18"/>
          <w:color w:val="auto"/>
        </w:rPr>
      </w:pPr>
    </w:p>
    <w:p>
      <w:pPr>
        <w:ind w:left="1700" w:right="140" w:hanging="396"/>
        <w:spacing w:after="0" w:line="256" w:lineRule="auto"/>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any of the following: (i) the Participant’s theft of a Participating Company’s property or falsification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7" w:name="page48"/>
    <w:bookmarkEnd w:id="47"/>
    <w:p>
      <w:pPr>
        <w:ind w:left="580" w:right="100"/>
        <w:spacing w:after="0" w:line="284" w:lineRule="auto"/>
        <w:rPr>
          <w:sz w:val="20"/>
          <w:szCs w:val="20"/>
          <w:color w:val="auto"/>
        </w:rPr>
      </w:pPr>
      <w:r>
        <w:rPr>
          <w:rFonts w:ascii="Times New Roman" w:cs="Times New Roman" w:eastAsia="Times New Roman" w:hAnsi="Times New Roman"/>
          <w:sz w:val="18"/>
          <w:szCs w:val="18"/>
          <w:color w:val="auto"/>
        </w:rPr>
        <w:t xml:space="preserve">Participant’s conviction (including any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of any felony or any other criminal act which impairs the Participant’s ability to perform his or her duties with the Participating Company Group or any Participating Company.</w:t>
      </w:r>
    </w:p>
    <w:p>
      <w:pPr>
        <w:spacing w:after="0" w:line="48" w:lineRule="exact"/>
        <w:rPr>
          <w:sz w:val="20"/>
          <w:szCs w:val="20"/>
          <w:color w:val="auto"/>
        </w:rPr>
      </w:pPr>
    </w:p>
    <w:p>
      <w:pPr>
        <w:ind w:left="580" w:hanging="396"/>
        <w:spacing w:after="0"/>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17.1.</w:t>
      </w:r>
    </w:p>
    <w:p>
      <w:pPr>
        <w:spacing w:after="0" w:line="117"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promulgated thereunder.</w:t>
      </w:r>
    </w:p>
    <w:p>
      <w:pPr>
        <w:spacing w:after="0" w:line="117" w:lineRule="exact"/>
        <w:rPr>
          <w:rFonts w:ascii="Times New Roman" w:cs="Times New Roman" w:eastAsia="Times New Roman" w:hAnsi="Times New Roman"/>
          <w:sz w:val="18"/>
          <w:szCs w:val="18"/>
          <w:color w:val="auto"/>
        </w:rPr>
      </w:pPr>
    </w:p>
    <w:p>
      <w:pPr>
        <w:ind w:left="580" w:right="20" w:hanging="396"/>
        <w:spacing w:after="0" w:line="262" w:lineRule="auto"/>
        <w:tabs>
          <w:tab w:leader="none" w:pos="56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CHC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Compensation and Human Capital Committee or other committee of the Board duly appointed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68"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Westwood Holdings Group, Inc., a Delaware corporation, or any successor corporation thereto.</w:t>
      </w:r>
    </w:p>
    <w:p>
      <w:pPr>
        <w:spacing w:after="0" w:line="117" w:lineRule="exact"/>
        <w:rPr>
          <w:rFonts w:ascii="Times New Roman" w:cs="Times New Roman" w:eastAsia="Times New Roman" w:hAnsi="Times New Roman"/>
          <w:sz w:val="18"/>
          <w:szCs w:val="18"/>
          <w:color w:val="auto"/>
        </w:rPr>
      </w:pPr>
    </w:p>
    <w:p>
      <w:pPr>
        <w:ind w:left="580" w:right="120" w:hanging="396"/>
        <w:spacing w:after="0" w:line="278" w:lineRule="auto"/>
        <w:tabs>
          <w:tab w:leader="none" w:pos="56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person engaged to provide consulting or advisory services (other than as an Employee or a Director)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55" w:lineRule="exact"/>
        <w:rPr>
          <w:rFonts w:ascii="Times New Roman" w:cs="Times New Roman" w:eastAsia="Times New Roman" w:hAnsi="Times New Roman"/>
          <w:sz w:val="17"/>
          <w:szCs w:val="17"/>
          <w:color w:val="auto"/>
        </w:rPr>
      </w:pPr>
    </w:p>
    <w:p>
      <w:pPr>
        <w:ind w:left="580" w:hanging="396"/>
        <w:spacing w:after="0"/>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or of the board of directors of any other Participating Company.</w:t>
      </w:r>
    </w:p>
    <w:p>
      <w:pPr>
        <w:spacing w:after="0" w:line="117"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permanent and total disability of the Participant within the meaning of Section 22(e)(3) of the Code.</w:t>
      </w:r>
    </w:p>
    <w:p>
      <w:pPr>
        <w:spacing w:after="0" w:line="117" w:lineRule="exact"/>
        <w:rPr>
          <w:rFonts w:ascii="Times New Roman" w:cs="Times New Roman" w:eastAsia="Times New Roman" w:hAnsi="Times New Roman"/>
          <w:sz w:val="18"/>
          <w:szCs w:val="18"/>
          <w:color w:val="auto"/>
        </w:rPr>
      </w:pPr>
    </w:p>
    <w:p>
      <w:pPr>
        <w:ind w:left="580" w:right="20" w:hanging="396"/>
        <w:spacing w:after="0" w:line="262"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treated as an employee (including an officer or a Director who is also treated as an employee)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records of a Participating Company and, with respect to any Incentive Stock Option granted to such person, who is an employee for purposes of Section 422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the Plan.</w:t>
      </w:r>
    </w:p>
    <w:p>
      <w:pPr>
        <w:spacing w:after="0" w:line="68"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117" w:lineRule="exact"/>
        <w:rPr>
          <w:rFonts w:ascii="Times New Roman" w:cs="Times New Roman" w:eastAsia="Times New Roman" w:hAnsi="Times New Roman"/>
          <w:sz w:val="18"/>
          <w:szCs w:val="18"/>
          <w:color w:val="auto"/>
        </w:rPr>
      </w:pPr>
    </w:p>
    <w:p>
      <w:pPr>
        <w:jc w:val="both"/>
        <w:ind w:left="580" w:right="60" w:hanging="396"/>
        <w:spacing w:after="0" w:line="268"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as of any date, the value of a share of Stock or other property as determined by the CHC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discretion, or by the Company, in its discretion, if such determination is expressly allocated to the Company herein, subject to the following:</w:t>
      </w:r>
    </w:p>
    <w:p>
      <w:pPr>
        <w:spacing w:after="0" w:line="66" w:lineRule="exact"/>
        <w:rPr>
          <w:rFonts w:ascii="Times New Roman" w:cs="Times New Roman" w:eastAsia="Times New Roman" w:hAnsi="Times New Roman"/>
          <w:sz w:val="18"/>
          <w:szCs w:val="18"/>
          <w:color w:val="auto"/>
        </w:rPr>
      </w:pPr>
    </w:p>
    <w:p>
      <w:pPr>
        <w:ind w:left="1160" w:right="20" w:hanging="571"/>
        <w:spacing w:after="0" w:line="254" w:lineRule="auto"/>
        <w:tabs>
          <w:tab w:leader="none" w:pos="114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CHC Committee, in its discretion.</w:t>
      </w:r>
    </w:p>
    <w:p>
      <w:pPr>
        <w:spacing w:after="0" w:line="83" w:lineRule="exact"/>
        <w:rPr>
          <w:rFonts w:ascii="Times New Roman" w:cs="Times New Roman" w:eastAsia="Times New Roman" w:hAnsi="Times New Roman"/>
          <w:sz w:val="18"/>
          <w:szCs w:val="18"/>
          <w:color w:val="auto"/>
        </w:rPr>
      </w:pPr>
    </w:p>
    <w:p>
      <w:pPr>
        <w:ind w:left="1160" w:hanging="571"/>
        <w:spacing w:after="0" w:line="261" w:lineRule="auto"/>
        <w:tabs>
          <w:tab w:leader="none" w:pos="115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on a national or regional securities exchange or market system, the Fair Market Value of a share of Stock shall be as determined by the CHC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7" w:lineRule="exact"/>
        <w:rPr>
          <w:rFonts w:ascii="Times New Roman" w:cs="Times New Roman" w:eastAsia="Times New Roman" w:hAnsi="Times New Roman"/>
          <w:sz w:val="18"/>
          <w:szCs w:val="18"/>
          <w:color w:val="auto"/>
        </w:rPr>
      </w:pPr>
    </w:p>
    <w:p>
      <w:pPr>
        <w:ind w:left="580" w:right="80" w:hanging="396"/>
        <w:spacing w:after="0" w:line="262" w:lineRule="auto"/>
        <w:tabs>
          <w:tab w:leader="none" w:pos="56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 resignation occurring within ninety (90) days following a Change in Control; (ii) the relocation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in the Participant’s responsibilities.</w:t>
      </w:r>
    </w:p>
    <w:p>
      <w:pPr>
        <w:spacing w:after="0" w:line="3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51" w:right="359" w:bottom="1440" w:gutter="0" w:footer="0" w:header="0"/>
        </w:sectPr>
      </w:pPr>
    </w:p>
    <w:bookmarkStart w:id="48" w:name="page49"/>
    <w:bookmarkEnd w:id="48"/>
    <w:p>
      <w:pPr>
        <w:ind w:left="580" w:right="540" w:hanging="396"/>
        <w:spacing w:after="0" w:line="286" w:lineRule="auto"/>
        <w:tabs>
          <w:tab w:leader="none" w:pos="5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Option Agreement), and which qualifies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within the meaning of Section 422(b) of the Code.</w:t>
      </w:r>
    </w:p>
    <w:p>
      <w:pPr>
        <w:spacing w:after="0" w:line="46" w:lineRule="exact"/>
        <w:rPr>
          <w:rFonts w:ascii="Times New Roman" w:cs="Times New Roman" w:eastAsia="Times New Roman" w:hAnsi="Times New Roman"/>
          <w:sz w:val="18"/>
          <w:szCs w:val="18"/>
          <w:color w:val="auto"/>
        </w:rPr>
      </w:pPr>
    </w:p>
    <w:p>
      <w:pPr>
        <w:ind w:left="580" w:right="80" w:hanging="396"/>
        <w:spacing w:after="0" w:line="286" w:lineRule="auto"/>
        <w:tabs>
          <w:tab w:leader="none" w:pos="56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or a Director of the Company or any other person whose transactions in Stock are subject to Section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w:t>
      </w:r>
    </w:p>
    <w:p>
      <w:pPr>
        <w:spacing w:after="0" w:line="46"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who is not an active Employee of the Company or any Subsidiary.</w:t>
      </w:r>
    </w:p>
    <w:p>
      <w:pPr>
        <w:spacing w:after="0" w:line="117" w:lineRule="exact"/>
        <w:rPr>
          <w:rFonts w:ascii="Times New Roman" w:cs="Times New Roman" w:eastAsia="Times New Roman" w:hAnsi="Times New Roman"/>
          <w:sz w:val="18"/>
          <w:szCs w:val="18"/>
          <w:color w:val="auto"/>
        </w:rPr>
      </w:pPr>
    </w:p>
    <w:p>
      <w:pPr>
        <w:ind w:left="580" w:right="520" w:hanging="396"/>
        <w:spacing w:after="0" w:line="286" w:lineRule="auto"/>
        <w:tabs>
          <w:tab w:leader="none" w:pos="5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Option Agreement), or which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an Incentive Stock Option.</w:t>
      </w:r>
    </w:p>
    <w:p>
      <w:pPr>
        <w:spacing w:after="0" w:line="46"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granted to an eligible person under Section 14 hereof.</w:t>
      </w:r>
    </w:p>
    <w:p>
      <w:pPr>
        <w:spacing w:after="0" w:line="117" w:lineRule="exact"/>
        <w:rPr>
          <w:rFonts w:ascii="Times New Roman" w:cs="Times New Roman" w:eastAsia="Times New Roman" w:hAnsi="Times New Roman"/>
          <w:sz w:val="18"/>
          <w:szCs w:val="18"/>
          <w:color w:val="auto"/>
        </w:rPr>
      </w:pPr>
    </w:p>
    <w:p>
      <w:pPr>
        <w:ind w:left="580" w:hanging="396"/>
        <w:spacing w:after="0" w:line="286"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purchase Stock (subject to adjustment as provided in Section 4.3) pursuant to the terms and conditions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An Option may be either an Incentive Stock Option or a Non-statutory Stock Option.</w:t>
      </w:r>
    </w:p>
    <w:p>
      <w:pPr>
        <w:spacing w:after="0" w:line="46" w:lineRule="exact"/>
        <w:rPr>
          <w:rFonts w:ascii="Times New Roman" w:cs="Times New Roman" w:eastAsia="Times New Roman" w:hAnsi="Times New Roman"/>
          <w:sz w:val="18"/>
          <w:szCs w:val="18"/>
          <w:color w:val="auto"/>
        </w:rPr>
      </w:pPr>
    </w:p>
    <w:p>
      <w:pPr>
        <w:ind w:left="580" w:right="60" w:hanging="396"/>
        <w:spacing w:after="0" w:line="262" w:lineRule="auto"/>
        <w:tabs>
          <w:tab w:leader="none" w:pos="5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Agreement setting forth the terms, conditions, and restrictions of an Option granted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CHC Committee may approve from time to time.</w:t>
      </w:r>
    </w:p>
    <w:p>
      <w:pPr>
        <w:spacing w:after="0" w:line="68"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6.4(a)(i).</w:t>
      </w:r>
    </w:p>
    <w:p>
      <w:pPr>
        <w:spacing w:after="0" w:line="117" w:lineRule="exact"/>
        <w:rPr>
          <w:sz w:val="20"/>
          <w:szCs w:val="20"/>
          <w:color w:val="auto"/>
        </w:rPr>
      </w:pPr>
    </w:p>
    <w:p>
      <w:pPr>
        <w:ind w:left="580" w:hanging="396"/>
        <w:spacing w:after="0"/>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given to it in Section 17.1.</w:t>
      </w:r>
    </w:p>
    <w:p>
      <w:pPr>
        <w:spacing w:after="0" w:line="117" w:lineRule="exact"/>
        <w:rPr>
          <w:sz w:val="20"/>
          <w:szCs w:val="20"/>
          <w:color w:val="auto"/>
        </w:rPr>
      </w:pPr>
    </w:p>
    <w:p>
      <w:pPr>
        <w:ind w:left="580" w:right="60" w:hanging="399"/>
        <w:spacing w:after="0" w:line="259" w:lineRule="auto"/>
        <w:tabs>
          <w:tab w:leader="none" w:pos="56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“parent corporation” as defined in Section 424(e) of the Code and any successor provisions; (ii)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71"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person who has been granted one or more awards pursuant to the terms and conditions of the Plan.</w:t>
      </w:r>
    </w:p>
    <w:p>
      <w:pPr>
        <w:spacing w:after="0" w:line="117"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ad.</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Participating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Company or any Parent or Subsidiary.</w:t>
      </w:r>
    </w:p>
    <w:p>
      <w:pPr>
        <w:spacing w:after="0" w:line="117" w:lineRule="exact"/>
        <w:rPr>
          <w:sz w:val="20"/>
          <w:szCs w:val="20"/>
          <w:color w:val="auto"/>
        </w:rPr>
      </w:pPr>
    </w:p>
    <w:p>
      <w:pPr>
        <w:ind w:left="580" w:right="700" w:hanging="404"/>
        <w:spacing w:after="0" w:line="286" w:lineRule="auto"/>
        <w:tabs>
          <w:tab w:leader="none" w:pos="560" w:val="left"/>
        </w:tabs>
        <w:rPr>
          <w:sz w:val="20"/>
          <w:szCs w:val="20"/>
          <w:color w:val="auto"/>
        </w:rPr>
      </w:pPr>
      <w:r>
        <w:rPr>
          <w:rFonts w:ascii="Times New Roman" w:cs="Times New Roman" w:eastAsia="Times New Roman" w:hAnsi="Times New Roman"/>
          <w:sz w:val="18"/>
          <w:szCs w:val="18"/>
          <w:color w:val="auto"/>
        </w:rPr>
        <w:t>ae.</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at any point in time, all corporations or other entities collectively which are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Companies.</w:t>
      </w:r>
    </w:p>
    <w:p>
      <w:pPr>
        <w:spacing w:after="0" w:line="47" w:lineRule="exact"/>
        <w:rPr>
          <w:sz w:val="20"/>
          <w:szCs w:val="20"/>
          <w:color w:val="auto"/>
        </w:rPr>
      </w:pPr>
    </w:p>
    <w:p>
      <w:pPr>
        <w:ind w:left="580" w:right="160" w:hanging="404"/>
        <w:spacing w:after="0" w:line="262" w:lineRule="auto"/>
        <w:tabs>
          <w:tab w:leader="none" w:pos="560" w:val="left"/>
        </w:tabs>
        <w:rPr>
          <w:sz w:val="20"/>
          <w:szCs w:val="20"/>
          <w:color w:val="auto"/>
        </w:rPr>
      </w:pPr>
      <w:r>
        <w:rPr>
          <w:rFonts w:ascii="Times New Roman" w:cs="Times New Roman" w:eastAsia="Times New Roman" w:hAnsi="Times New Roman"/>
          <w:sz w:val="18"/>
          <w:szCs w:val="18"/>
          <w:color w:val="auto"/>
        </w:rPr>
        <w:t>af.</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Exception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performance-based exception from the tax deductibility limitation imposed by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68" w:lineRule="exact"/>
        <w:rPr>
          <w:sz w:val="20"/>
          <w:szCs w:val="20"/>
          <w:color w:val="auto"/>
        </w:rPr>
      </w:pPr>
    </w:p>
    <w:p>
      <w:pPr>
        <w:ind w:left="580" w:right="120" w:hanging="399"/>
        <w:spacing w:after="0" w:line="286" w:lineRule="auto"/>
        <w:tabs>
          <w:tab w:leader="none" w:pos="560" w:val="left"/>
        </w:tabs>
        <w:rPr>
          <w:sz w:val="20"/>
          <w:szCs w:val="20"/>
          <w:color w:val="auto"/>
        </w:rPr>
      </w:pPr>
      <w:r>
        <w:rPr>
          <w:rFonts w:ascii="Times New Roman" w:cs="Times New Roman" w:eastAsia="Times New Roman" w:hAnsi="Times New Roman"/>
          <w:sz w:val="18"/>
          <w:szCs w:val="18"/>
          <w:color w:val="auto"/>
        </w:rPr>
        <w:t>ag.</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each calendar year, unless otherwise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w:t>
      </w:r>
    </w:p>
    <w:p>
      <w:pPr>
        <w:spacing w:after="0" w:line="47" w:lineRule="exact"/>
        <w:rPr>
          <w:sz w:val="20"/>
          <w:szCs w:val="20"/>
          <w:color w:val="auto"/>
        </w:rPr>
      </w:pPr>
    </w:p>
    <w:p>
      <w:pPr>
        <w:ind w:left="580" w:right="400" w:hanging="399"/>
        <w:spacing w:after="0" w:line="268" w:lineRule="auto"/>
        <w:tabs>
          <w:tab w:leader="none" w:pos="56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or Performance-Based Award, one or more targets,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or levels of attainment required to be achieved in terms of the specified Performance Measure(s) during a fiscal year or specified performance period.</w:t>
      </w:r>
    </w:p>
    <w:p>
      <w:pPr>
        <w:spacing w:after="0" w:line="63"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aj.</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ind w:left="580" w:right="180" w:hanging="399"/>
        <w:spacing w:after="0" w:line="259" w:lineRule="auto"/>
        <w:tabs>
          <w:tab w:leader="none" w:pos="560" w:val="left"/>
        </w:tabs>
        <w:rPr>
          <w:sz w:val="20"/>
          <w:szCs w:val="20"/>
          <w:color w:val="auto"/>
        </w:rPr>
      </w:pPr>
      <w:r>
        <w:rPr>
          <w:rFonts w:ascii="Times New Roman" w:cs="Times New Roman" w:eastAsia="Times New Roman" w:hAnsi="Times New Roman"/>
          <w:sz w:val="18"/>
          <w:szCs w:val="18"/>
          <w:color w:val="auto"/>
        </w:rPr>
        <w:t>ak.</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a Participant’s immediate family, trusts for the exclusive benefit of such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71"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al.</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49" w:right="359" w:bottom="1440" w:gutter="0" w:footer="0" w:header="0"/>
        </w:sectPr>
      </w:pPr>
    </w:p>
    <w:bookmarkStart w:id="49" w:name="page50"/>
    <w:bookmarkEnd w:id="49"/>
    <w:p>
      <w:pPr>
        <w:ind w:left="1700" w:right="180" w:hanging="404"/>
        <w:spacing w:after="0" w:line="268" w:lineRule="auto"/>
        <w:rPr>
          <w:sz w:val="20"/>
          <w:szCs w:val="20"/>
          <w:color w:val="auto"/>
        </w:rPr>
      </w:pPr>
      <w:r>
        <w:rPr>
          <w:rFonts w:ascii="Times New Roman" w:cs="Times New Roman" w:eastAsia="Times New Roman" w:hAnsi="Times New Roman"/>
          <w:sz w:val="18"/>
          <w:szCs w:val="18"/>
          <w:color w:val="auto"/>
        </w:rPr>
        <w:t>am. “</w:t>
      </w:r>
      <w:r>
        <w:rPr>
          <w:rFonts w:ascii="Times New Roman" w:cs="Times New Roman" w:eastAsia="Times New Roman" w:hAnsi="Times New Roman"/>
          <w:sz w:val="18"/>
          <w:szCs w:val="18"/>
          <w:b w:val="1"/>
          <w:bCs w:val="1"/>
          <w:i w:val="1"/>
          <w:iCs w:val="1"/>
          <w:color w:val="auto"/>
        </w:rPr>
        <w:t>Prior Section 162(m) of the Code</w:t>
      </w:r>
      <w:r>
        <w:rPr>
          <w:rFonts w:ascii="Times New Roman" w:cs="Times New Roman" w:eastAsia="Times New Roman" w:hAnsi="Times New Roman"/>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63"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an.</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9.1.</w:t>
      </w:r>
    </w:p>
    <w:p>
      <w:pPr>
        <w:spacing w:after="0" w:line="11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ao.</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award of Stock made under Section 9, which is subject to vesting provisions.</w:t>
      </w:r>
    </w:p>
    <w:p>
      <w:pPr>
        <w:spacing w:after="0" w:line="117" w:lineRule="exact"/>
        <w:rPr>
          <w:sz w:val="20"/>
          <w:szCs w:val="20"/>
          <w:color w:val="auto"/>
        </w:rPr>
      </w:pPr>
    </w:p>
    <w:p>
      <w:pPr>
        <w:ind w:left="1700" w:right="860" w:hanging="399"/>
        <w:spacing w:after="0" w:line="286" w:lineRule="auto"/>
        <w:tabs>
          <w:tab w:leader="none" w:pos="1680" w:val="left"/>
        </w:tabs>
        <w:rPr>
          <w:sz w:val="20"/>
          <w:szCs w:val="20"/>
          <w:color w:val="auto"/>
        </w:rPr>
      </w:pPr>
      <w:r>
        <w:rPr>
          <w:rFonts w:ascii="Times New Roman" w:cs="Times New Roman" w:eastAsia="Times New Roman" w:hAnsi="Times New Roman"/>
          <w:sz w:val="18"/>
          <w:szCs w:val="18"/>
          <w:color w:val="auto"/>
        </w:rPr>
        <w:t>ap.</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granted pursuant to Section 10 and shall be evidenced by a bookkeeping 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equivalent of one share of Stock.</w:t>
      </w:r>
    </w:p>
    <w:p>
      <w:pPr>
        <w:spacing w:after="0" w:line="4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aq.</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Rule 16b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Rule 16b-3 under the Exchange Act, as amended from time to time, or any successor rule or regulation.</w:t>
      </w:r>
    </w:p>
    <w:p>
      <w:pPr>
        <w:spacing w:after="0" w:line="11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ar.</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117" w:lineRule="exact"/>
        <w:rPr>
          <w:sz w:val="20"/>
          <w:szCs w:val="20"/>
          <w:color w:val="auto"/>
        </w:rPr>
      </w:pPr>
    </w:p>
    <w:p>
      <w:pPr>
        <w:ind w:left="1700" w:right="40" w:hanging="404"/>
        <w:spacing w:after="0" w:line="253" w:lineRule="auto"/>
        <w:tabs>
          <w:tab w:leader="none" w:pos="1680" w:val="left"/>
        </w:tabs>
        <w:rPr>
          <w:sz w:val="20"/>
          <w:szCs w:val="20"/>
          <w:color w:val="auto"/>
        </w:rPr>
      </w:pP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Participant’s employment or service with the Participating Company Group, whether in the capacity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9" w:lineRule="exact"/>
        <w:rPr>
          <w:sz w:val="20"/>
          <w:szCs w:val="20"/>
          <w:color w:val="auto"/>
        </w:rPr>
      </w:pPr>
    </w:p>
    <w:p>
      <w:pPr>
        <w:jc w:val="both"/>
        <w:ind w:left="1700" w:right="100" w:hanging="399"/>
        <w:spacing w:after="0" w:line="268" w:lineRule="auto"/>
        <w:tabs>
          <w:tab w:leader="none" w:pos="1680" w:val="left"/>
        </w:tabs>
        <w:rPr>
          <w:sz w:val="20"/>
          <w:szCs w:val="20"/>
          <w:color w:val="auto"/>
        </w:rPr>
      </w:pP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pursuant to Section 7 to receive a payment equal to the excess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of a specified number of shares of Stock on the date the SAR is exercised over the grant price of the SAR, as set forth in the applicable Award Agreement.</w:t>
      </w:r>
    </w:p>
    <w:p>
      <w:pPr>
        <w:spacing w:after="0" w:line="63"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au.</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common stock of the Company, as adjusted from time to time in accordance with Section 4.3.</w:t>
      </w:r>
    </w:p>
    <w:p>
      <w:pPr>
        <w:spacing w:after="0" w:line="117" w:lineRule="exact"/>
        <w:rPr>
          <w:sz w:val="20"/>
          <w:szCs w:val="20"/>
          <w:color w:val="auto"/>
        </w:rPr>
      </w:pPr>
    </w:p>
    <w:p>
      <w:pPr>
        <w:ind w:left="1700" w:right="40" w:hanging="404"/>
        <w:spacing w:after="0" w:line="257" w:lineRule="auto"/>
        <w:tabs>
          <w:tab w:leader="none" w:pos="1680" w:val="left"/>
        </w:tabs>
        <w:rPr>
          <w:sz w:val="20"/>
          <w:szCs w:val="20"/>
          <w:color w:val="auto"/>
        </w:rPr>
      </w:pPr>
      <w:r>
        <w:rPr>
          <w:rFonts w:ascii="Times New Roman" w:cs="Times New Roman" w:eastAsia="Times New Roman" w:hAnsi="Times New Roman"/>
          <w:sz w:val="18"/>
          <w:szCs w:val="18"/>
          <w:color w:val="auto"/>
        </w:rPr>
        <w:t>av.</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“subsidiary corporation” of the Company, as defined in Section 424(f) of the Code and any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74" w:lineRule="exact"/>
        <w:rPr>
          <w:sz w:val="20"/>
          <w:szCs w:val="20"/>
          <w:color w:val="auto"/>
        </w:rPr>
      </w:pPr>
    </w:p>
    <w:p>
      <w:pPr>
        <w:ind w:left="1700" w:hanging="404"/>
        <w:spacing w:after="0" w:line="268" w:lineRule="auto"/>
        <w:tabs>
          <w:tab w:leader="none" w:pos="1680" w:val="left"/>
        </w:tabs>
        <w:rPr>
          <w:sz w:val="20"/>
          <w:szCs w:val="20"/>
          <w:color w:val="auto"/>
        </w:rPr>
      </w:pPr>
      <w:r>
        <w:rPr>
          <w:rFonts w:ascii="Times New Roman" w:cs="Times New Roman" w:eastAsia="Times New Roman" w:hAnsi="Times New Roman"/>
          <w:sz w:val="18"/>
          <w:szCs w:val="18"/>
          <w:color w:val="auto"/>
        </w:rPr>
        <w:t>aw.</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Owner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 who, at the time an Option is granted to the Participant, owns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possessing more than 10 percent (10%) of the total combined voting power of all classes of stock of a Participating Company within the meaning of Section 422(b)(6) of the Code.</w:t>
      </w:r>
    </w:p>
    <w:p>
      <w:pPr>
        <w:spacing w:after="0" w:line="63" w:lineRule="exact"/>
        <w:rPr>
          <w:sz w:val="20"/>
          <w:szCs w:val="20"/>
          <w:color w:val="auto"/>
        </w:rPr>
      </w:pPr>
    </w:p>
    <w:p>
      <w:pPr>
        <w:ind w:left="1300" w:right="20" w:hanging="644"/>
        <w:spacing w:after="0" w:line="268" w:lineRule="auto"/>
        <w:tabs>
          <w:tab w:leader="none" w:pos="96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20" w:hanging="644"/>
        <w:spacing w:after="0" w:line="268"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Unless the Board determines otherwise, the Plan shall be administered by the CHC Committee. All questions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the Plan or of any Award shall be determined by the CHC Committee, and such determinations shall be final and binding upon all persons having an interest in the Plan.</w:t>
      </w:r>
    </w:p>
    <w:p>
      <w:pPr>
        <w:spacing w:after="0" w:line="62" w:lineRule="exact"/>
        <w:rPr>
          <w:rFonts w:ascii="Times New Roman" w:cs="Times New Roman" w:eastAsia="Times New Roman" w:hAnsi="Times New Roman"/>
          <w:sz w:val="18"/>
          <w:szCs w:val="18"/>
          <w:color w:val="auto"/>
        </w:rPr>
      </w:pPr>
    </w:p>
    <w:p>
      <w:pPr>
        <w:ind w:left="1300" w:right="180" w:hanging="644"/>
        <w:spacing w:after="0" w:line="28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of Officers. </w:t>
      </w:r>
      <w:r>
        <w:rPr>
          <w:rFonts w:ascii="Times New Roman" w:cs="Times New Roman" w:eastAsia="Times New Roman" w:hAnsi="Times New Roman"/>
          <w:sz w:val="18"/>
          <w:szCs w:val="18"/>
          <w:color w:val="auto"/>
        </w:rPr>
        <w:t>Any officer of a Participating Company shall have the authority to act on behalf of the Company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matter, right, obligation, determination, or election which is the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ind w:left="644" w:right="260"/>
        <w:spacing w:after="0" w:line="282" w:lineRule="auto"/>
        <w:rPr>
          <w:sz w:val="20"/>
          <w:szCs w:val="20"/>
          <w:color w:val="auto"/>
        </w:rPr>
      </w:pPr>
      <w:r>
        <w:rPr>
          <w:rFonts w:ascii="Times New Roman" w:cs="Times New Roman" w:eastAsia="Times New Roman" w:hAnsi="Times New Roman"/>
          <w:sz w:val="18"/>
          <w:szCs w:val="18"/>
          <w:color w:val="auto"/>
        </w:rPr>
        <w:t>responsibility of, or which is allocated, to the Company herein, provided the officer has apparent authority with respect to such matter, right, obligation, determination, or election.</w:t>
      </w:r>
    </w:p>
    <w:p>
      <w:pPr>
        <w:spacing w:after="0" w:line="50" w:lineRule="exact"/>
        <w:rPr>
          <w:sz w:val="20"/>
          <w:szCs w:val="20"/>
          <w:color w:val="auto"/>
        </w:rPr>
      </w:pPr>
    </w:p>
    <w:p>
      <w:pPr>
        <w:ind w:left="644" w:right="40" w:hanging="644"/>
        <w:spacing w:after="0" w:line="286"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w:t>
      </w:r>
      <w:r>
        <w:rPr>
          <w:rFonts w:ascii="Times New Roman" w:cs="Times New Roman" w:eastAsia="Times New Roman" w:hAnsi="Times New Roman"/>
          <w:sz w:val="18"/>
          <w:szCs w:val="18"/>
          <w:color w:val="auto"/>
        </w:rPr>
        <w:t>In addition to any other powers set forth in the Plan and subject to the provisions of the Plan, the CHC Committee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and final power and authority, in its discretion to:</w:t>
      </w:r>
    </w:p>
    <w:p>
      <w:pPr>
        <w:spacing w:after="0" w:line="50" w:lineRule="exact"/>
        <w:rPr>
          <w:rFonts w:ascii="Times New Roman" w:cs="Times New Roman" w:eastAsia="Times New Roman" w:hAnsi="Times New Roman"/>
          <w:sz w:val="18"/>
          <w:szCs w:val="18"/>
          <w:color w:val="auto"/>
        </w:rPr>
      </w:pPr>
    </w:p>
    <w:p>
      <w:pPr>
        <w:ind w:left="1044" w:right="80" w:hanging="396"/>
        <w:spacing w:after="0" w:line="282" w:lineRule="auto"/>
        <w:tabs>
          <w:tab w:leader="none" w:pos="103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persons to whom, and the time or times at which, Awards shall be granted and, if applicable, the number of shares of Stock to be subject thereto;</w:t>
      </w:r>
    </w:p>
    <w:p>
      <w:pPr>
        <w:spacing w:after="0" w:line="53"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Options as Incentive Stock Options or Non-statutory Stock Options;</w:t>
      </w:r>
    </w:p>
    <w:p>
      <w:pPr>
        <w:spacing w:after="0" w:line="117"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shares of Stock or other property;</w:t>
      </w:r>
    </w:p>
    <w:p>
      <w:pPr>
        <w:spacing w:after="0" w:line="117" w:lineRule="exact"/>
        <w:rPr>
          <w:rFonts w:ascii="Times New Roman" w:cs="Times New Roman" w:eastAsia="Times New Roman" w:hAnsi="Times New Roman"/>
          <w:sz w:val="18"/>
          <w:szCs w:val="18"/>
          <w:color w:val="auto"/>
        </w:rPr>
      </w:pPr>
    </w:p>
    <w:p>
      <w:pPr>
        <w:ind w:left="1044" w:right="80" w:hanging="396"/>
        <w:spacing w:after="0" w:line="254" w:lineRule="auto"/>
        <w:tabs>
          <w:tab w:leader="none" w:pos="10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83"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one or more forms of Award Agreement or Option Agreement;</w:t>
      </w:r>
    </w:p>
    <w:p>
      <w:pPr>
        <w:spacing w:after="0" w:line="117" w:lineRule="exact"/>
        <w:rPr>
          <w:rFonts w:ascii="Times New Roman" w:cs="Times New Roman" w:eastAsia="Times New Roman" w:hAnsi="Times New Roman"/>
          <w:sz w:val="18"/>
          <w:szCs w:val="18"/>
          <w:color w:val="auto"/>
        </w:rPr>
      </w:pPr>
    </w:p>
    <w:p>
      <w:pPr>
        <w:ind w:left="1044" w:right="200" w:hanging="396"/>
        <w:spacing w:after="0" w:line="261" w:lineRule="auto"/>
        <w:tabs>
          <w:tab w:leader="none" w:pos="104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extend, cancel, or renew any Award, or to waive any restrictions or conditions applicable to any Award or any shares of Stock acquired upon the exercise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in this Plan to the contrary:</w:t>
      </w:r>
    </w:p>
    <w:p>
      <w:pPr>
        <w:ind w:left="104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CHC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CHC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 (E) take any other action with respect to an Option or SAR that would be treated as a “repricing” under generally accepted accounting principles;</w:t>
      </w:r>
    </w:p>
    <w:p>
      <w:pPr>
        <w:spacing w:after="0" w:line="85" w:lineRule="exact"/>
        <w:rPr>
          <w:rFonts w:ascii="Times New Roman" w:cs="Times New Roman" w:eastAsia="Times New Roman" w:hAnsi="Times New Roman"/>
          <w:sz w:val="18"/>
          <w:szCs w:val="18"/>
          <w:color w:val="auto"/>
        </w:rPr>
      </w:pPr>
    </w:p>
    <w:p>
      <w:pPr>
        <w:ind w:left="1044" w:right="40" w:hanging="396"/>
        <w:spacing w:after="0" w:line="282" w:lineRule="auto"/>
        <w:tabs>
          <w:tab w:leader="none" w:pos="10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53" w:lineRule="exact"/>
        <w:rPr>
          <w:rFonts w:ascii="Times New Roman" w:cs="Times New Roman" w:eastAsia="Times New Roman" w:hAnsi="Times New Roman"/>
          <w:sz w:val="18"/>
          <w:szCs w:val="18"/>
          <w:color w:val="auto"/>
        </w:rPr>
      </w:pPr>
    </w:p>
    <w:p>
      <w:pPr>
        <w:jc w:val="both"/>
        <w:ind w:left="1044" w:right="220" w:hanging="396"/>
        <w:spacing w:after="0" w:line="266" w:lineRule="auto"/>
        <w:tabs>
          <w:tab w:leader="none" w:pos="10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or rescind rules, guidelines, and policies relating to the Plan, or to adopt supplements to, or alternative versions of, the Plan, including, without limitation, as the CHC Committee deems necessary or desirable to comply with the laws of, or to accommodate the tax policy or custom of, foreign jurisdictions whose citizens may be granted Awards;</w:t>
      </w:r>
    </w:p>
    <w:p>
      <w:pPr>
        <w:spacing w:after="0" w:line="67" w:lineRule="exact"/>
        <w:rPr>
          <w:rFonts w:ascii="Times New Roman" w:cs="Times New Roman" w:eastAsia="Times New Roman" w:hAnsi="Times New Roman"/>
          <w:sz w:val="18"/>
          <w:szCs w:val="18"/>
          <w:color w:val="auto"/>
        </w:rPr>
      </w:pPr>
    </w:p>
    <w:p>
      <w:pPr>
        <w:ind w:left="1044" w:right="80" w:hanging="396"/>
        <w:spacing w:after="0" w:line="266" w:lineRule="auto"/>
        <w:tabs>
          <w:tab w:leader="none" w:pos="103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any Award Agreement, or Option Agreement and to make all other determinations and take such other actions with respect to the Plan or any Award as the CHC Committee may deem advisable to the extent not inconsistent with the provisions of the Plan or applicable law; and</w:t>
      </w:r>
    </w:p>
    <w:p>
      <w:pPr>
        <w:spacing w:after="0" w:line="67" w:lineRule="exact"/>
        <w:rPr>
          <w:rFonts w:ascii="Times New Roman" w:cs="Times New Roman" w:eastAsia="Times New Roman" w:hAnsi="Times New Roman"/>
          <w:sz w:val="18"/>
          <w:szCs w:val="18"/>
          <w:color w:val="auto"/>
        </w:rPr>
      </w:pPr>
    </w:p>
    <w:p>
      <w:pPr>
        <w:ind w:left="1044" w:right="160" w:hanging="396"/>
        <w:spacing w:after="0" w:line="266" w:lineRule="auto"/>
        <w:tabs>
          <w:tab w:leader="none" w:pos="103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upon an Employee’s termination of Service on account of a Disability, the circumstances of such Disability and whether the Employee’s Award should be amended to provide that it is fully vested, if the CHC Committee in its sole discretion considers such action in the best interest of the Company and the Employee.</w:t>
      </w:r>
    </w:p>
    <w:p>
      <w:pPr>
        <w:spacing w:after="0" w:line="63" w:lineRule="exact"/>
        <w:rPr>
          <w:rFonts w:ascii="Times New Roman" w:cs="Times New Roman" w:eastAsia="Times New Roman" w:hAnsi="Times New Roman"/>
          <w:sz w:val="18"/>
          <w:szCs w:val="18"/>
          <w:color w:val="auto"/>
        </w:rPr>
      </w:pPr>
    </w:p>
    <w:p>
      <w:pPr>
        <w:ind w:left="644" w:hanging="644"/>
        <w:spacing w:after="0" w:line="268" w:lineRule="auto"/>
        <w:tabs>
          <w:tab w:leader="none" w:pos="3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with Respect to Insiders. </w:t>
      </w:r>
      <w:r>
        <w:rPr>
          <w:rFonts w:ascii="Times New Roman" w:cs="Times New Roman" w:eastAsia="Times New Roman" w:hAnsi="Times New Roman"/>
          <w:sz w:val="18"/>
          <w:szCs w:val="18"/>
          <w:color w:val="auto"/>
        </w:rPr>
        <w:t>With respect to participation by Insiders in the Plan, at any time that any class of equity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registered pursuant to Section 12 of the Exchange Act, the Plan shall be administered in compliance with the requirements, if any, of Rule 16b-3.</w:t>
      </w:r>
    </w:p>
    <w:p>
      <w:pPr>
        <w:spacing w:after="0" w:line="62" w:lineRule="exact"/>
        <w:rPr>
          <w:rFonts w:ascii="Times New Roman" w:cs="Times New Roman" w:eastAsia="Times New Roman" w:hAnsi="Times New Roman"/>
          <w:sz w:val="18"/>
          <w:szCs w:val="18"/>
          <w:color w:val="auto"/>
        </w:rPr>
      </w:pPr>
    </w:p>
    <w:p>
      <w:pPr>
        <w:ind w:left="644" w:right="100" w:hanging="644"/>
        <w:spacing w:after="0" w:line="268" w:lineRule="auto"/>
        <w:tabs>
          <w:tab w:leader="none" w:pos="3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In addition to such other rights of indemnification as they may have as members of the CHC Committee, or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or employees of the Participating Company Group, members of the CHC Committee or Board and any officers or employees of the Participating Company Group to whom</w:t>
      </w:r>
    </w:p>
    <w:p>
      <w:pPr>
        <w:spacing w:after="0" w:line="3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222250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51" w:name="page52"/>
    <w:bookmarkEnd w:id="51"/>
    <w:p>
      <w:pPr>
        <w:ind w:left="1292"/>
        <w:spacing w:after="0" w:line="254" w:lineRule="auto"/>
        <w:rPr>
          <w:sz w:val="20"/>
          <w:szCs w:val="20"/>
          <w:color w:val="auto"/>
        </w:rPr>
      </w:pPr>
      <w:r>
        <w:rPr>
          <w:rFonts w:ascii="Times New Roman" w:cs="Times New Roman" w:eastAsia="Times New Roman" w:hAnsi="Times New Roman"/>
          <w:sz w:val="18"/>
          <w:szCs w:val="18"/>
          <w:color w:val="auto"/>
        </w:rPr>
        <w:t>authority to act for the CHC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76" w:lineRule="exact"/>
        <w:rPr>
          <w:sz w:val="20"/>
          <w:szCs w:val="20"/>
          <w:color w:val="auto"/>
        </w:rPr>
      </w:pPr>
    </w:p>
    <w:p>
      <w:pPr>
        <w:ind w:left="312" w:hanging="312"/>
        <w:spacing w:after="0"/>
        <w:tabs>
          <w:tab w:leader="none" w:pos="31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40" w:hanging="644"/>
        <w:spacing w:after="0" w:line="253" w:lineRule="auto"/>
        <w:tabs>
          <w:tab w:leader="none" w:pos="12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Number of Shares Issuable. </w:t>
      </w:r>
      <w:r>
        <w:rPr>
          <w:rFonts w:ascii="Times New Roman" w:cs="Times New Roman" w:eastAsia="Times New Roman" w:hAnsi="Times New Roman"/>
          <w:sz w:val="18"/>
          <w:szCs w:val="18"/>
          <w:color w:val="auto"/>
        </w:rPr>
        <w:t>Subject to adjustment as provided in Section 4.3, the maximum aggregate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be issued under the Plan shall be 6,948,100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81" w:lineRule="exact"/>
        <w:rPr>
          <w:rFonts w:ascii="Times New Roman" w:cs="Times New Roman" w:eastAsia="Times New Roman" w:hAnsi="Times New Roman"/>
          <w:sz w:val="18"/>
          <w:szCs w:val="18"/>
          <w:color w:val="auto"/>
        </w:rPr>
      </w:pPr>
    </w:p>
    <w:p>
      <w:pPr>
        <w:ind w:left="1292" w:right="440" w:hanging="644"/>
        <w:spacing w:after="0" w:line="262" w:lineRule="auto"/>
        <w:tabs>
          <w:tab w:leader="none" w:pos="12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Limits. </w:t>
      </w:r>
      <w:r>
        <w:rPr>
          <w:rFonts w:ascii="Times New Roman" w:cs="Times New Roman" w:eastAsia="Times New Roman" w:hAnsi="Times New Roman"/>
          <w:sz w:val="18"/>
          <w:szCs w:val="18"/>
          <w:color w:val="auto"/>
        </w:rPr>
        <w:t>Subject to adjustment as provided in Section 4.3, the maximum aggregate number of shares of Stock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68"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692" w:right="20" w:hanging="396"/>
        <w:spacing w:after="0" w:line="253" w:lineRule="auto"/>
        <w:tabs>
          <w:tab w:leader="none" w:pos="168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the CHC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CHC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CHC Committee pursuant to this Section 4.3 shall be final, binding, and conclusive.</w:t>
      </w:r>
    </w:p>
    <w:p>
      <w:pPr>
        <w:spacing w:after="0" w:line="79" w:lineRule="exact"/>
        <w:rPr>
          <w:rFonts w:ascii="Times New Roman" w:cs="Times New Roman" w:eastAsia="Times New Roman" w:hAnsi="Times New Roman"/>
          <w:sz w:val="18"/>
          <w:szCs w:val="18"/>
          <w:color w:val="auto"/>
        </w:rPr>
      </w:pPr>
    </w:p>
    <w:p>
      <w:pPr>
        <w:ind w:left="1692" w:right="140" w:hanging="396"/>
        <w:spacing w:after="0" w:line="256" w:lineRule="auto"/>
        <w:tabs>
          <w:tab w:leader="none" w:pos="169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adjustments permitted under paragraph (a) above, the CHC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w:t>
      </w:r>
    </w:p>
    <w:p>
      <w:pPr>
        <w:spacing w:after="0" w:line="3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52" w:name="page53"/>
    <w:bookmarkEnd w:id="52"/>
    <w:p>
      <w:pPr>
        <w:ind w:left="1700" w:right="140"/>
        <w:spacing w:after="0" w:line="258" w:lineRule="auto"/>
        <w:rPr>
          <w:sz w:val="20"/>
          <w:szCs w:val="20"/>
          <w:color w:val="auto"/>
        </w:rPr>
      </w:pPr>
      <w:r>
        <w:rPr>
          <w:rFonts w:ascii="Times New Roman" w:cs="Times New Roman" w:eastAsia="Times New Roman" w:hAnsi="Times New Roman"/>
          <w:sz w:val="18"/>
          <w:szCs w:val="18"/>
          <w:color w:val="auto"/>
        </w:rPr>
        <w:t>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75" w:lineRule="exact"/>
        <w:rPr>
          <w:sz w:val="20"/>
          <w:szCs w:val="20"/>
          <w:color w:val="auto"/>
        </w:rPr>
      </w:pPr>
    </w:p>
    <w:p>
      <w:pPr>
        <w:jc w:val="both"/>
        <w:ind w:left="1700" w:right="260" w:hanging="396"/>
        <w:spacing w:after="0" w:line="266" w:lineRule="auto"/>
        <w:tabs>
          <w:tab w:leader="none" w:pos="169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CHC Committee as to the foregoing adjustments set forth in this Section 4.3(c), if any, shall be made in accordance with Sections 409A or 424 of the Code, to the extent applicable, and shall be conclusive and binding on Participants under the Plan.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AND OPTION LIMITATIONS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60" w:hanging="644"/>
        <w:spacing w:after="0" w:line="26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Persons Eligible for Awards. </w:t>
      </w:r>
      <w:r>
        <w:rPr>
          <w:rFonts w:ascii="Times New Roman" w:cs="Times New Roman" w:eastAsia="Times New Roman" w:hAnsi="Times New Roman"/>
          <w:sz w:val="18"/>
          <w:szCs w:val="18"/>
          <w:color w:val="auto"/>
        </w:rPr>
        <w:t>Awards may be granted pursuant to this Plan only to Employees, Consultants, and Directors.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Grant Restrictions. </w:t>
      </w:r>
      <w:r>
        <w:rPr>
          <w:rFonts w:ascii="Times New Roman" w:cs="Times New Roman" w:eastAsia="Times New Roman" w:hAnsi="Times New Roman"/>
          <w:sz w:val="18"/>
          <w:szCs w:val="18"/>
          <w:color w:val="auto"/>
        </w:rPr>
        <w:t>Any person who is not an Employee on the effective date of the grant of an Option to such person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68" w:lineRule="exact"/>
        <w:rPr>
          <w:rFonts w:ascii="Times New Roman" w:cs="Times New Roman" w:eastAsia="Times New Roman" w:hAnsi="Times New Roman"/>
          <w:sz w:val="18"/>
          <w:szCs w:val="18"/>
          <w:color w:val="auto"/>
        </w:rPr>
      </w:pPr>
    </w:p>
    <w:p>
      <w:pPr>
        <w:ind w:left="1300" w:hanging="644"/>
        <w:spacing w:after="0" w:line="270" w:lineRule="auto"/>
        <w:tabs>
          <w:tab w:leader="none" w:pos="130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Fair Market Value Limitation. </w:t>
      </w:r>
      <w:r>
        <w:rPr>
          <w:rFonts w:ascii="Times New Roman" w:cs="Times New Roman" w:eastAsia="Times New Roman" w:hAnsi="Times New Roman"/>
          <w:sz w:val="17"/>
          <w:szCs w:val="17"/>
          <w:color w:val="auto"/>
        </w:rPr>
        <w:t>To the extent that Options designated as Incentive Stock Options (granted under all stock option plans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6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TERMS AND CONDITIONS OF OPTIONS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shall be evidenced by Option Agreements specifying the number of shares of Stock covered thereby, in such form as the CHC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68"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The exercise price for each Option shall be established in the discretion of the CHC Committee; provided, however, that</w:t>
      </w:r>
    </w:p>
    <w:p>
      <w:pPr>
        <w:spacing w:after="0" w:line="31"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exercise price per share for an Option shall be not less than the Fair Market Value of a share of Stock on the effective date of grant of the Option, and (b) no Incentive Stock Option granted to a 10 Percent Owner Participant shall have an exercise price per share less than 110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7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Exercisability and Term of Options. </w:t>
      </w:r>
      <w:r>
        <w:rPr>
          <w:rFonts w:ascii="Times New Roman" w:cs="Times New Roman" w:eastAsia="Times New Roman" w:hAnsi="Times New Roman"/>
          <w:sz w:val="18"/>
          <w:szCs w:val="18"/>
          <w:color w:val="auto"/>
        </w:rPr>
        <w:t>Options shall be exercisable at such time or times, or upon such event or events,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conditions, performance criteria and restrictions as shall be determined by the CHC Committee and set forth in the Option Agreement evidencing such Option; provided, however, that (a) no Option shall be exercisable after the expiration of 10 years after the effective date of grant of such Option, (b) no Incentive Stock Option granted to a 10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left="644"/>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CHC Committee in the grant of an Option, any Option granted hereunder shall terminate 10 years after the effective date of grant of the Option, unless earlier terminated in accordance with its provisions.</w:t>
      </w:r>
    </w:p>
    <w:p>
      <w:pPr>
        <w:spacing w:after="0" w:line="50" w:lineRule="exact"/>
        <w:rPr>
          <w:sz w:val="20"/>
          <w:szCs w:val="20"/>
          <w:color w:val="auto"/>
        </w:rPr>
      </w:pPr>
    </w:p>
    <w:p>
      <w:pPr>
        <w:ind w:left="644" w:hanging="644"/>
        <w:spacing w:after="0"/>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Exercise Price.</w:t>
      </w:r>
    </w:p>
    <w:p>
      <w:pPr>
        <w:spacing w:after="0" w:line="117" w:lineRule="exact"/>
        <w:rPr>
          <w:rFonts w:ascii="Times New Roman" w:cs="Times New Roman" w:eastAsia="Times New Roman" w:hAnsi="Times New Roman"/>
          <w:sz w:val="18"/>
          <w:szCs w:val="18"/>
          <w:color w:val="auto"/>
        </w:rPr>
      </w:pPr>
    </w:p>
    <w:p>
      <w:pPr>
        <w:ind w:left="1044" w:hanging="396"/>
        <w:spacing w:after="0" w:line="253" w:lineRule="auto"/>
        <w:tabs>
          <w:tab w:leader="none" w:pos="103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Forms of Consideration Authorized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below, payment of the exercise price for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(iv) by such other consideration as may be approved by the CHC Committee from time to time to the extent permitted by applicable law, or (v) by any combination thereof. In no event shall the Company accept a promissory note in payment of the exercise price or make a loan to a Participant to enable the Participant to exercise an Option. The CHC Committee may at any time or from time to time, by approval of or by amendment to the standard forms of Option Agreement described in Section 6.6, or by other means, grant Options that do not permit all of the foregoing forms of consideration to be used in payment of the exercise price or that otherwise restrict one or more forms of consideration.</w:t>
      </w:r>
    </w:p>
    <w:p>
      <w:pPr>
        <w:spacing w:after="0" w:line="77"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Forms of Consideration.</w:t>
      </w:r>
    </w:p>
    <w:p>
      <w:pPr>
        <w:spacing w:after="0" w:line="117" w:lineRule="exact"/>
        <w:rPr>
          <w:rFonts w:ascii="Times New Roman" w:cs="Times New Roman" w:eastAsia="Times New Roman" w:hAnsi="Times New Roman"/>
          <w:sz w:val="18"/>
          <w:szCs w:val="18"/>
          <w:color w:val="auto"/>
        </w:rPr>
      </w:pPr>
    </w:p>
    <w:p>
      <w:pPr>
        <w:ind w:left="1624" w:right="20" w:hanging="571"/>
        <w:spacing w:after="0" w:line="268" w:lineRule="auto"/>
        <w:tabs>
          <w:tab w:leader="none" w:pos="1611" w:val="left"/>
        </w:tabs>
        <w:numPr>
          <w:ilvl w:val="2"/>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Tender of Stock. </w:t>
      </w:r>
      <w:r>
        <w:rPr>
          <w:rFonts w:ascii="Times New Roman" w:cs="Times New Roman" w:eastAsia="Times New Roman" w:hAnsi="Times New Roman"/>
          <w:sz w:val="18"/>
          <w:szCs w:val="18"/>
          <w:color w:val="auto"/>
        </w:rPr>
        <w:t>Notwithstanding the foregoing, an Option may not be exercised by tender to the Company or attestation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ownership of shares of Stock, to the extent such tender or attestation would constitute a violation of the provisions of any law, regulation, or agreement restricting the redemption of the Company’s stock.</w:t>
      </w:r>
    </w:p>
    <w:p>
      <w:pPr>
        <w:spacing w:after="0" w:line="62" w:lineRule="exact"/>
        <w:rPr>
          <w:rFonts w:ascii="Times New Roman" w:cs="Times New Roman" w:eastAsia="Times New Roman" w:hAnsi="Times New Roman"/>
          <w:sz w:val="18"/>
          <w:szCs w:val="18"/>
          <w:b w:val="1"/>
          <w:bCs w:val="1"/>
          <w:color w:val="auto"/>
        </w:rPr>
      </w:pPr>
    </w:p>
    <w:p>
      <w:pPr>
        <w:ind w:left="1624" w:right="60" w:hanging="571"/>
        <w:spacing w:after="0" w:line="268" w:lineRule="auto"/>
        <w:tabs>
          <w:tab w:leader="none" w:pos="162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The Company reserves, at any and all times, the right, in the Company’s sole and absolute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decline to approve, or terminate any program or procedures for the exercise of Options by means of a Cashless Exercise.</w:t>
      </w:r>
    </w:p>
    <w:p>
      <w:pPr>
        <w:spacing w:after="0" w:line="6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Service</w:t>
      </w:r>
    </w:p>
    <w:p>
      <w:pPr>
        <w:spacing w:after="0" w:line="117" w:lineRule="exact"/>
        <w:rPr>
          <w:rFonts w:ascii="Times New Roman" w:cs="Times New Roman" w:eastAsia="Times New Roman" w:hAnsi="Times New Roman"/>
          <w:sz w:val="18"/>
          <w:szCs w:val="18"/>
          <w:color w:val="auto"/>
        </w:rPr>
      </w:pPr>
    </w:p>
    <w:p>
      <w:pPr>
        <w:jc w:val="both"/>
        <w:ind w:left="1044" w:hanging="396"/>
        <w:spacing w:after="0" w:line="262" w:lineRule="auto"/>
        <w:tabs>
          <w:tab w:leader="none" w:pos="9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Exercisability</w:t>
      </w:r>
      <w:r>
        <w:rPr>
          <w:rFonts w:ascii="Times New Roman" w:cs="Times New Roman" w:eastAsia="Times New Roman" w:hAnsi="Times New Roman"/>
          <w:sz w:val="18"/>
          <w:szCs w:val="18"/>
          <w:color w:val="auto"/>
        </w:rPr>
        <w:t>. Subject to earlier termination of the Option as otherwise provided herein and unless otherwise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CHC 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68" w:lineRule="exact"/>
        <w:rPr>
          <w:rFonts w:ascii="Times New Roman" w:cs="Times New Roman" w:eastAsia="Times New Roman" w:hAnsi="Times New Roman"/>
          <w:sz w:val="18"/>
          <w:szCs w:val="18"/>
          <w:color w:val="auto"/>
        </w:rPr>
      </w:pPr>
    </w:p>
    <w:p>
      <w:pPr>
        <w:jc w:val="both"/>
        <w:ind w:left="1624" w:hanging="571"/>
        <w:spacing w:after="0" w:line="257" w:lineRule="auto"/>
        <w:tabs>
          <w:tab w:leader="none" w:pos="161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If the Participant’s Service with the Participating Company Group terminates because of the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CHC Committee, in its discretion) after the date on which the Participant’s Service terminated, but in any event no later than the date of expiration of the Option’s term as set forth in the Option Agreement evidencing such Option (the “</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w:t>
      </w:r>
    </w:p>
    <w:p>
      <w:pPr>
        <w:spacing w:after="0" w:line="74" w:lineRule="exact"/>
        <w:rPr>
          <w:rFonts w:ascii="Times New Roman" w:cs="Times New Roman" w:eastAsia="Times New Roman" w:hAnsi="Times New Roman"/>
          <w:sz w:val="18"/>
          <w:szCs w:val="18"/>
          <w:color w:val="auto"/>
        </w:rPr>
      </w:pPr>
    </w:p>
    <w:p>
      <w:pPr>
        <w:jc w:val="both"/>
        <w:ind w:left="1624" w:hanging="571"/>
        <w:spacing w:after="0" w:line="256" w:lineRule="auto"/>
        <w:tabs>
          <w:tab w:leader="none" w:pos="1620" w:val="left"/>
        </w:tabs>
        <w:numPr>
          <w:ilvl w:val="2"/>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with the Participating Company Group terminates because of the death of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CHC Committee, in its discretion) after the date on which the Participant’s Service terminated, but in any event no later than the Option Expiration Date. The Participant’s Service shall be deemed to have terminated on account of death if the Participant</w:t>
      </w:r>
    </w:p>
    <w:p>
      <w:pPr>
        <w:spacing w:after="0" w:line="35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222250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54" w:name="page55"/>
    <w:bookmarkEnd w:id="54"/>
    <w:p>
      <w:pPr>
        <w:ind w:left="2280"/>
        <w:spacing w:after="0" w:line="282" w:lineRule="auto"/>
        <w:rPr>
          <w:sz w:val="20"/>
          <w:szCs w:val="20"/>
          <w:color w:val="auto"/>
        </w:rPr>
      </w:pPr>
      <w:r>
        <w:rPr>
          <w:rFonts w:ascii="Times New Roman" w:cs="Times New Roman" w:eastAsia="Times New Roman" w:hAnsi="Times New Roman"/>
          <w:sz w:val="18"/>
          <w:szCs w:val="18"/>
          <w:color w:val="auto"/>
        </w:rPr>
        <w:t>dies within three (3) months (or such other period of time as determined by the CHC Committee, in its discretion) after the Participant’s termination of Service.</w:t>
      </w:r>
    </w:p>
    <w:p>
      <w:pPr>
        <w:spacing w:after="0" w:line="50" w:lineRule="exact"/>
        <w:rPr>
          <w:sz w:val="20"/>
          <w:szCs w:val="20"/>
          <w:color w:val="auto"/>
        </w:rPr>
      </w:pPr>
    </w:p>
    <w:p>
      <w:pPr>
        <w:ind w:left="2280" w:hanging="571"/>
        <w:spacing w:after="0" w:line="286" w:lineRule="auto"/>
        <w:tabs>
          <w:tab w:leader="none" w:pos="2272" w:val="left"/>
        </w:tabs>
        <w:numPr>
          <w:ilvl w:val="3"/>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If the Participant’s Service with the Participating Company Group is terminated for Cause, the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and cease to be exercisable immediately upon such termination of Service.</w:t>
      </w:r>
    </w:p>
    <w:p>
      <w:pPr>
        <w:spacing w:after="0" w:line="46" w:lineRule="exact"/>
        <w:rPr>
          <w:rFonts w:ascii="Times New Roman" w:cs="Times New Roman" w:eastAsia="Times New Roman" w:hAnsi="Times New Roman"/>
          <w:sz w:val="18"/>
          <w:szCs w:val="18"/>
          <w:color w:val="auto"/>
        </w:rPr>
      </w:pPr>
    </w:p>
    <w:p>
      <w:pPr>
        <w:jc w:val="both"/>
        <w:ind w:left="2280" w:hanging="571"/>
        <w:spacing w:after="0" w:line="259" w:lineRule="auto"/>
        <w:tabs>
          <w:tab w:leader="none" w:pos="2264" w:val="left"/>
        </w:tabs>
        <w:numPr>
          <w:ilvl w:val="3"/>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Service. </w:t>
      </w:r>
      <w:r>
        <w:rPr>
          <w:rFonts w:ascii="Times New Roman" w:cs="Times New Roman" w:eastAsia="Times New Roman" w:hAnsi="Times New Roman"/>
          <w:sz w:val="18"/>
          <w:szCs w:val="18"/>
          <w:color w:val="auto"/>
        </w:rPr>
        <w:t>If the Participant’s Service with the Participating Company Group terminates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Disability, death, or Cause, the Option, to the extent unexercised and exercisable by the Participant on the date on which the Participant’s Service terminated, may be exercised by the Participant at any time prior to the expiration of three</w:t>
      </w:r>
    </w:p>
    <w:p>
      <w:pPr>
        <w:ind w:left="2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months (or such other period of time as determined by the CHC Committee, in its discretion) after the date on which the Participant’s Service terminated, but in any event no later than the Option Expiration Date.</w:t>
      </w:r>
    </w:p>
    <w:p>
      <w:pPr>
        <w:spacing w:after="0" w:line="69" w:lineRule="exact"/>
        <w:rPr>
          <w:rFonts w:ascii="Times New Roman" w:cs="Times New Roman" w:eastAsia="Times New Roman" w:hAnsi="Times New Roman"/>
          <w:sz w:val="18"/>
          <w:szCs w:val="18"/>
          <w:color w:val="auto"/>
        </w:rPr>
      </w:pPr>
    </w:p>
    <w:p>
      <w:pPr>
        <w:ind w:left="1960" w:hanging="656"/>
        <w:spacing w:after="0" w:line="262" w:lineRule="auto"/>
        <w:tabs>
          <w:tab w:leader="none" w:pos="1681"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if Exercise Prevented by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if the exercise of an Option within the applicable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set forth in Section 6.4(a) is prevented by the provisions of Section 20 below, the Option shall remain exercisable until three (3) months (or such longer period of time as determined by the CHC Committee, in its discretion) after the date the Participant is notified by the Company that the Option is exercisable, but in any event no later than the Option Expiration Date.</w:t>
      </w:r>
    </w:p>
    <w:p>
      <w:pPr>
        <w:spacing w:after="0" w:line="68" w:lineRule="exact"/>
        <w:rPr>
          <w:rFonts w:ascii="Times New Roman" w:cs="Times New Roman" w:eastAsia="Times New Roman" w:hAnsi="Times New Roman"/>
          <w:sz w:val="18"/>
          <w:szCs w:val="18"/>
          <w:color w:val="auto"/>
        </w:rPr>
      </w:pPr>
    </w:p>
    <w:p>
      <w:pPr>
        <w:ind w:left="1960" w:hanging="656"/>
        <w:spacing w:after="0" w:line="260" w:lineRule="auto"/>
        <w:tabs>
          <w:tab w:leader="none" w:pos="165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if Participant Subject to Section 16(b). </w:t>
      </w:r>
      <w:r>
        <w:rPr>
          <w:rFonts w:ascii="Times New Roman" w:cs="Times New Roman" w:eastAsia="Times New Roman" w:hAnsi="Times New Roman"/>
          <w:sz w:val="18"/>
          <w:szCs w:val="18"/>
          <w:color w:val="auto"/>
        </w:rPr>
        <w:t>Notwithstanding the foregoing, if a sale within the applicable time periods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Participant’s termination of Service, or (iii) the Option Expiration Date.</w:t>
      </w:r>
    </w:p>
    <w:p>
      <w:pPr>
        <w:spacing w:after="0" w:line="4" w:lineRule="exact"/>
        <w:rPr>
          <w:rFonts w:ascii="Times New Roman" w:cs="Times New Roman" w:eastAsia="Times New Roman" w:hAnsi="Times New Roman"/>
          <w:sz w:val="18"/>
          <w:szCs w:val="18"/>
          <w:color w:val="auto"/>
        </w:rPr>
      </w:pPr>
    </w:p>
    <w:p>
      <w:pPr>
        <w:ind w:left="1960" w:hanging="656"/>
        <w:spacing w:after="0" w:line="268" w:lineRule="auto"/>
        <w:tabs>
          <w:tab w:leader="none" w:pos="170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Vesting</w:t>
      </w:r>
      <w:r>
        <w:rPr>
          <w:rFonts w:ascii="Times New Roman" w:cs="Times New Roman" w:eastAsia="Times New Roman" w:hAnsi="Times New Roman"/>
          <w:sz w:val="18"/>
          <w:szCs w:val="18"/>
          <w:color w:val="auto"/>
        </w:rPr>
        <w:t>. Every Option awarded under the Plan (including those Options awarded prior to the Effective Date,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amended to incorporate the following terms) shall become 100% vested if the Participant’s Service with the Participating Company Group terminates because of the death of the Participant, as of the date of the Participant’s death.</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 Payments. </w:t>
      </w:r>
      <w:r>
        <w:rPr>
          <w:rFonts w:ascii="Times New Roman" w:cs="Times New Roman" w:eastAsia="Times New Roman" w:hAnsi="Times New Roman"/>
          <w:sz w:val="18"/>
          <w:szCs w:val="18"/>
          <w:color w:val="auto"/>
        </w:rPr>
        <w:t>No dividends or dividend equivalents will be accrued or paid with respect to Options.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Standard Forms of Option Agreement.</w:t>
      </w:r>
    </w:p>
    <w:p>
      <w:pPr>
        <w:spacing w:after="0" w:line="117" w:lineRule="exact"/>
        <w:rPr>
          <w:rFonts w:ascii="Times New Roman" w:cs="Times New Roman" w:eastAsia="Times New Roman" w:hAnsi="Times New Roman"/>
          <w:sz w:val="18"/>
          <w:szCs w:val="18"/>
          <w:color w:val="auto"/>
        </w:rPr>
      </w:pPr>
    </w:p>
    <w:p>
      <w:pPr>
        <w:ind w:left="1960" w:right="560" w:hanging="656"/>
        <w:spacing w:after="0" w:line="268" w:lineRule="auto"/>
        <w:tabs>
          <w:tab w:leader="none" w:pos="195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Agreement. </w:t>
      </w:r>
      <w:r>
        <w:rPr>
          <w:rFonts w:ascii="Times New Roman" w:cs="Times New Roman" w:eastAsia="Times New Roman" w:hAnsi="Times New Roman"/>
          <w:sz w:val="18"/>
          <w:szCs w:val="18"/>
          <w:color w:val="auto"/>
        </w:rPr>
        <w:t>Unless otherwise provided by the CHC Committee at the time the Option is granted, an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and be subject to the terms and conditions set forth in the form of Option Agreement approved by the CHC Committee concurrently with its adoption of the Plan and as amended from time to time.</w:t>
      </w:r>
    </w:p>
    <w:p>
      <w:pPr>
        <w:spacing w:after="0" w:line="62" w:lineRule="exact"/>
        <w:rPr>
          <w:rFonts w:ascii="Times New Roman" w:cs="Times New Roman" w:eastAsia="Times New Roman" w:hAnsi="Times New Roman"/>
          <w:sz w:val="18"/>
          <w:szCs w:val="18"/>
          <w:color w:val="auto"/>
        </w:rPr>
      </w:pPr>
    </w:p>
    <w:p>
      <w:pPr>
        <w:ind w:left="1960" w:right="300" w:hanging="656"/>
        <w:spacing w:after="0" w:line="259"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to Vary Terms. </w:t>
      </w:r>
      <w:r>
        <w:rPr>
          <w:rFonts w:ascii="Times New Roman" w:cs="Times New Roman" w:eastAsia="Times New Roman" w:hAnsi="Times New Roman"/>
          <w:sz w:val="18"/>
          <w:szCs w:val="18"/>
          <w:color w:val="auto"/>
        </w:rPr>
        <w:t>The CHC Committee shall have the authority from time to time to vary the terms of any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11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Stock Appreciation Rights.</w:t>
      </w:r>
    </w:p>
    <w:p>
      <w:pPr>
        <w:spacing w:after="0" w:line="121"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5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may be granted to any eligible person selected by the CHC Committee. A Stock Appreciation Right shall be subject to such terms and conditions not inconsistent with the Plan as the CHC Committee shall impose and shall be evidenced by an Award Agreement, provided that the term of any Stock Appreciation Right shall not exceed ten years.</w:t>
      </w:r>
    </w:p>
    <w:p>
      <w:pPr>
        <w:spacing w:after="0" w:line="67" w:lineRule="exact"/>
        <w:rPr>
          <w:rFonts w:ascii="Times New Roman" w:cs="Times New Roman" w:eastAsia="Times New Roman" w:hAnsi="Times New Roman"/>
          <w:sz w:val="18"/>
          <w:szCs w:val="18"/>
          <w:color w:val="auto"/>
        </w:rPr>
      </w:pPr>
    </w:p>
    <w:p>
      <w:pPr>
        <w:ind w:left="1960" w:right="180" w:hanging="656"/>
        <w:spacing w:after="0" w:line="256" w:lineRule="auto"/>
        <w:tabs>
          <w:tab w:leader="none" w:pos="196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CHC Committee may impose.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ind w:left="1960" w:right="40" w:hanging="656"/>
        <w:spacing w:after="0" w:line="266" w:lineRule="auto"/>
        <w:tabs>
          <w:tab w:leader="none" w:pos="195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 price per share of Stock subject to a Stock Appreciation Right shall be determined by the CHC Committee and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grant price for any Stock Appreciation Right shall not be less than 100% of the Fair Market Value of a share of Stock on the date of grant.</w:t>
      </w:r>
    </w:p>
    <w:p>
      <w:pPr>
        <w:spacing w:after="0" w:line="67"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set forth in Section 6.4 with respect to the exercise of Options following termination of employment shall apply as well to such exercise of SARs.</w:t>
      </w:r>
    </w:p>
    <w:p>
      <w:pPr>
        <w:spacing w:after="0" w:line="50" w:lineRule="exact"/>
        <w:rPr>
          <w:sz w:val="20"/>
          <w:szCs w:val="20"/>
          <w:color w:val="auto"/>
        </w:rPr>
      </w:pPr>
    </w:p>
    <w:p>
      <w:pPr>
        <w:jc w:val="both"/>
        <w:ind w:left="980" w:right="80" w:hanging="647"/>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Payment and Limitations on Exercise. </w:t>
      </w:r>
      <w:r>
        <w:rPr>
          <w:rFonts w:ascii="Times New Roman" w:cs="Times New Roman" w:eastAsia="Times New Roman" w:hAnsi="Times New Roman"/>
          <w:sz w:val="18"/>
          <w:szCs w:val="18"/>
          <w:color w:val="auto"/>
        </w:rPr>
        <w:t>Payment of the amounts determined under Section 7.1(b) hereof shall be in cash, in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Fair Market Value as of the date the Stock Appreciation Right is exercised), or a combination of both, as determined by the CHC Committee.</w:t>
      </w:r>
    </w:p>
    <w:p>
      <w:pPr>
        <w:spacing w:after="0" w:line="63"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xml:space="preserve">Dividend Payments. </w:t>
      </w:r>
      <w:r>
        <w:rPr>
          <w:rFonts w:ascii="Times New Roman" w:cs="Times New Roman" w:eastAsia="Times New Roman" w:hAnsi="Times New Roman"/>
          <w:sz w:val="17"/>
          <w:szCs w:val="17"/>
          <w:color w:val="auto"/>
        </w:rPr>
        <w:t>No dividends or dividend equivalents will be accrued or paid with respect to SARs.</w:t>
      </w:r>
    </w:p>
    <w:p>
      <w:pPr>
        <w:spacing w:after="0" w:line="117"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AWARDS TO NON-EMPLOYEE DIRECTORS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Non-Employee Directors are eligible to receive any type of Award under this Plan other than Incentive Stock Options. The grant of an Award to a Non-Employee Director shall be made by the CHC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w:t>
      </w:r>
    </w:p>
    <w:p>
      <w:pPr>
        <w:spacing w:after="0" w:line="3" w:lineRule="exact"/>
        <w:rPr>
          <w:sz w:val="20"/>
          <w:szCs w:val="20"/>
          <w:color w:val="auto"/>
        </w:rPr>
      </w:pPr>
    </w:p>
    <w:p>
      <w:pPr>
        <w:ind w:firstLine="8"/>
        <w:spacing w:after="0" w:line="260" w:lineRule="auto"/>
        <w:tabs>
          <w:tab w:leader="none" w:pos="2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in total value in the case of the Chairman of the Board. For the avoidance of doubt, Awards granted to Non-Employee Directors shall be subject to all of the other limitations set forth in the Plan.</w:t>
      </w:r>
    </w:p>
    <w:p>
      <w:pPr>
        <w:spacing w:after="0" w:line="69"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DELIVERY OF RESTRICTED STOCK</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80" w:hanging="644"/>
        <w:spacing w:after="0" w:line="255"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At the time an award of Restricted Stock is made, the CHC Committee shall establish a period or periods of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such other restrictions on the vesting of the Restricted Stock as it shall deem appropriate or applicable to such award. Each award of Restricted Stock may have a different Restricted Period or Restricted Periods. The CHC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CHC Committee may also, in its sole discretion, shorten or terminate a Restricted Period or waive any conditions for the lapse or termination of restrictions with respect to all or any portion of the Restricted Stock.</w:t>
      </w:r>
    </w:p>
    <w:p>
      <w:pPr>
        <w:spacing w:after="0" w:line="76" w:lineRule="exact"/>
        <w:rPr>
          <w:rFonts w:ascii="Times New Roman" w:cs="Times New Roman" w:eastAsia="Times New Roman" w:hAnsi="Times New Roman"/>
          <w:sz w:val="18"/>
          <w:szCs w:val="18"/>
          <w:color w:val="auto"/>
        </w:rPr>
      </w:pPr>
    </w:p>
    <w:p>
      <w:pPr>
        <w:ind w:left="1300" w:hanging="644"/>
        <w:spacing w:after="0" w:line="25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Rights and Privileges. </w:t>
      </w:r>
      <w:r>
        <w:rPr>
          <w:rFonts w:ascii="Times New Roman" w:cs="Times New Roman" w:eastAsia="Times New Roman" w:hAnsi="Times New Roman"/>
          <w:sz w:val="18"/>
          <w:szCs w:val="18"/>
          <w:color w:val="auto"/>
        </w:rPr>
        <w:t>At the time a grant of Restricted Stock is made to a Participant, a stock certificate representing a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CHC Committee; (ii) none of the shares then subject to a Restricted Period shall be sold, transferred, assigned, pledged, or otherwise encumbered, or disposed of during the Restricted Period applicable to such shares and until the satisfaction of any other conditions prescribed by the CHC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CHC Committee applicable to such Restricted Stock. No dividends or dividend equivalents will be paid with respect to outstanding shares of Restricted Stock then subject to a Restricted Period. The CHC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CHC Committee determines that dividends with respect to Restricted Stock will be paid in the form of additional shares of Restricted Stock, then the CHC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ind w:left="1292" w:right="160"/>
        <w:spacing w:after="0" w:line="282" w:lineRule="auto"/>
        <w:rPr>
          <w:sz w:val="20"/>
          <w:szCs w:val="20"/>
          <w:color w:val="auto"/>
        </w:rPr>
      </w:pPr>
      <w:r>
        <w:rPr>
          <w:rFonts w:ascii="Times New Roman" w:cs="Times New Roman" w:eastAsia="Times New Roman" w:hAnsi="Times New Roman"/>
          <w:sz w:val="18"/>
          <w:szCs w:val="18"/>
          <w:color w:val="auto"/>
        </w:rPr>
        <w:t>limitation, shares of Restricted Stock issued as dividends), such forfeited shares of Restricted Stock shall be transferred to the Company without further action by the Participant.</w:t>
      </w:r>
    </w:p>
    <w:p>
      <w:pPr>
        <w:spacing w:after="0" w:line="50" w:lineRule="exact"/>
        <w:rPr>
          <w:sz w:val="20"/>
          <w:szCs w:val="20"/>
          <w:color w:val="auto"/>
        </w:rPr>
      </w:pPr>
    </w:p>
    <w:p>
      <w:pPr>
        <w:ind w:left="1292" w:right="20" w:hanging="644"/>
        <w:spacing w:after="0" w:line="256" w:lineRule="auto"/>
        <w:tabs>
          <w:tab w:leader="none" w:pos="12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Expiration of Restricted Period. </w:t>
      </w:r>
      <w:r>
        <w:rPr>
          <w:rFonts w:ascii="Times New Roman" w:cs="Times New Roman" w:eastAsia="Times New Roman" w:hAnsi="Times New Roman"/>
          <w:sz w:val="18"/>
          <w:szCs w:val="18"/>
          <w:color w:val="auto"/>
        </w:rPr>
        <w:t>Upon the expiration or termination of the Restricted Period applicable to Restricted Stock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any other conditions prescribed by the CHC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74" w:lineRule="exact"/>
        <w:rPr>
          <w:rFonts w:ascii="Times New Roman" w:cs="Times New Roman" w:eastAsia="Times New Roman" w:hAnsi="Times New Roman"/>
          <w:sz w:val="18"/>
          <w:szCs w:val="18"/>
          <w:color w:val="auto"/>
        </w:rPr>
      </w:pPr>
    </w:p>
    <w:p>
      <w:pPr>
        <w:jc w:val="both"/>
        <w:ind w:left="1292" w:right="220" w:hanging="644"/>
        <w:spacing w:after="0" w:line="268" w:lineRule="auto"/>
        <w:tabs>
          <w:tab w:leader="none" w:pos="12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Events for Restricted Stock. </w:t>
      </w:r>
      <w:r>
        <w:rPr>
          <w:rFonts w:ascii="Times New Roman" w:cs="Times New Roman" w:eastAsia="Times New Roman" w:hAnsi="Times New Roman"/>
          <w:sz w:val="18"/>
          <w:szCs w:val="18"/>
          <w:color w:val="auto"/>
        </w:rPr>
        <w:t>If the Employee terminates employment by reason of death, all of his or her shares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shall become 100% vested upon the date of death. All Restricted Stock awards prior to the Effective Date are hereby amended to incorporate these terms.</w:t>
      </w:r>
    </w:p>
    <w:p>
      <w:pPr>
        <w:spacing w:after="0" w:line="6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CHC Committee is authorized to grant Restricted Stock Units to eligible persons, subject to the following terms and conditions:</w:t>
      </w:r>
    </w:p>
    <w:p>
      <w:pPr>
        <w:spacing w:after="0" w:line="113" w:lineRule="exact"/>
        <w:rPr>
          <w:sz w:val="20"/>
          <w:szCs w:val="20"/>
          <w:color w:val="auto"/>
        </w:rPr>
      </w:pPr>
    </w:p>
    <w:p>
      <w:pPr>
        <w:ind w:left="1292" w:hanging="644"/>
        <w:spacing w:after="0" w:line="262" w:lineRule="auto"/>
        <w:tabs>
          <w:tab w:leader="none" w:pos="12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and Restrictions. </w:t>
      </w:r>
      <w:r>
        <w:rPr>
          <w:rFonts w:ascii="Times New Roman" w:cs="Times New Roman" w:eastAsia="Times New Roman" w:hAnsi="Times New Roman"/>
          <w:sz w:val="18"/>
          <w:szCs w:val="18"/>
          <w:color w:val="auto"/>
        </w:rPr>
        <w:t>Restricted Stock Units shall be subject to such restrictions (which may include a risk of forfeiture) as the CHC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CHC Committee may determine.</w:t>
      </w:r>
    </w:p>
    <w:p>
      <w:pPr>
        <w:spacing w:after="0" w:line="68" w:lineRule="exact"/>
        <w:rPr>
          <w:rFonts w:ascii="Times New Roman" w:cs="Times New Roman" w:eastAsia="Times New Roman" w:hAnsi="Times New Roman"/>
          <w:sz w:val="18"/>
          <w:szCs w:val="18"/>
          <w:color w:val="auto"/>
        </w:rPr>
      </w:pPr>
    </w:p>
    <w:p>
      <w:pPr>
        <w:ind w:left="1292" w:right="20" w:hanging="644"/>
        <w:spacing w:after="0" w:line="259" w:lineRule="auto"/>
        <w:tabs>
          <w:tab w:leader="none" w:pos="12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w:t>
      </w:r>
      <w:r>
        <w:rPr>
          <w:rFonts w:ascii="Times New Roman" w:cs="Times New Roman" w:eastAsia="Times New Roman" w:hAnsi="Times New Roman"/>
          <w:sz w:val="18"/>
          <w:szCs w:val="18"/>
          <w:color w:val="auto"/>
        </w:rPr>
        <w:t>Settlement of Restricted Stock Units shall occur upon expiration of the deferral period specified for such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by the CHC Committee (or, if permitted by the CHC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CHC Committee at the date of grant or thereafter.</w:t>
      </w:r>
    </w:p>
    <w:p>
      <w:pPr>
        <w:spacing w:after="0" w:line="71" w:lineRule="exact"/>
        <w:rPr>
          <w:rFonts w:ascii="Times New Roman" w:cs="Times New Roman" w:eastAsia="Times New Roman" w:hAnsi="Times New Roman"/>
          <w:sz w:val="18"/>
          <w:szCs w:val="18"/>
          <w:color w:val="auto"/>
        </w:rPr>
      </w:pPr>
    </w:p>
    <w:p>
      <w:pPr>
        <w:ind w:left="1292" w:right="60" w:hanging="644"/>
        <w:spacing w:after="0" w:line="254" w:lineRule="auto"/>
        <w:tabs>
          <w:tab w:leader="none" w:pos="12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on Restricted Stock Units. </w:t>
      </w:r>
      <w:r>
        <w:rPr>
          <w:rFonts w:ascii="Times New Roman" w:cs="Times New Roman" w:eastAsia="Times New Roman" w:hAnsi="Times New Roman"/>
          <w:sz w:val="18"/>
          <w:szCs w:val="18"/>
          <w:color w:val="auto"/>
        </w:rPr>
        <w:t>The CHC Committee may, in its sole discretion and as would be set forth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CHC Committee in its sole discretion. Dividend equivalents credited to a Participant’s account and attributable to any particular Restricted Stock Unit (and earnings thereon, if applicable) shall be distributed in cash or, at the sole discretion of the CHC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80"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Employment.</w:t>
      </w:r>
    </w:p>
    <w:p>
      <w:pPr>
        <w:spacing w:after="0" w:line="121" w:lineRule="exact"/>
        <w:rPr>
          <w:rFonts w:ascii="Times New Roman" w:cs="Times New Roman" w:eastAsia="Times New Roman" w:hAnsi="Times New Roman"/>
          <w:sz w:val="18"/>
          <w:szCs w:val="18"/>
          <w:color w:val="auto"/>
        </w:rPr>
      </w:pPr>
    </w:p>
    <w:p>
      <w:pPr>
        <w:ind w:left="1952" w:right="200" w:hanging="656"/>
        <w:spacing w:after="0" w:line="266" w:lineRule="auto"/>
        <w:tabs>
          <w:tab w:leader="none" w:pos="1609"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applicable Award Agreement or the CHC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67" w:lineRule="exact"/>
        <w:rPr>
          <w:rFonts w:ascii="Times New Roman" w:cs="Times New Roman" w:eastAsia="Times New Roman" w:hAnsi="Times New Roman"/>
          <w:sz w:val="18"/>
          <w:szCs w:val="18"/>
          <w:color w:val="auto"/>
        </w:rPr>
      </w:pPr>
    </w:p>
    <w:p>
      <w:pPr>
        <w:ind w:left="1952" w:right="280" w:hanging="656"/>
        <w:spacing w:after="0" w:line="282" w:lineRule="auto"/>
        <w:tabs>
          <w:tab w:leader="none" w:pos="1619"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terminates employment by reason of death, all of his or her shares of Restricted Stock shall become 100% vested upon the date of death.</w:t>
      </w:r>
    </w:p>
    <w:p>
      <w:pPr>
        <w:spacing w:after="0" w:line="4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INCENTIVE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20" w:hanging="644"/>
        <w:spacing w:after="0" w:line="268" w:lineRule="auto"/>
        <w:tabs>
          <w:tab w:leader="none" w:pos="9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Awards. </w:t>
      </w:r>
      <w:r>
        <w:rPr>
          <w:rFonts w:ascii="Times New Roman" w:cs="Times New Roman" w:eastAsia="Times New Roman" w:hAnsi="Times New Roman"/>
          <w:sz w:val="18"/>
          <w:szCs w:val="18"/>
          <w:color w:val="auto"/>
        </w:rPr>
        <w:t>The CHC Committee may grant annual incentive awards of Stock or cash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Participants as the CHC Committee may from time to time recommend, in such amounts and subject to such terms and conditions as the CHC Committee in its discretion may determine. The CHC Committee shall establish the maximum amount of Annual Incentive</w:t>
      </w:r>
    </w:p>
    <w:p>
      <w:pPr>
        <w:spacing w:after="0" w:line="3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57" w:name="page58"/>
    <w:bookmarkEnd w:id="57"/>
    <w:p>
      <w:pPr>
        <w:ind w:left="1292" w:right="40"/>
        <w:spacing w:after="0" w:line="282" w:lineRule="auto"/>
        <w:rPr>
          <w:sz w:val="20"/>
          <w:szCs w:val="20"/>
          <w:color w:val="auto"/>
        </w:rPr>
      </w:pPr>
      <w:r>
        <w:rPr>
          <w:rFonts w:ascii="Times New Roman" w:cs="Times New Roman" w:eastAsia="Times New Roman" w:hAnsi="Times New Roman"/>
          <w:sz w:val="18"/>
          <w:szCs w:val="18"/>
          <w:color w:val="auto"/>
        </w:rPr>
        <w:t>Awards that may be granted for each Performance Cycle. Notwithstanding the foregoing, all Annual Incentive Awards shall be subject to the provisions of paragraphs (a) through (d) below:</w:t>
      </w:r>
    </w:p>
    <w:p>
      <w:pPr>
        <w:spacing w:after="0" w:line="54" w:lineRule="exact"/>
        <w:rPr>
          <w:sz w:val="20"/>
          <w:szCs w:val="20"/>
          <w:color w:val="auto"/>
        </w:rPr>
      </w:pPr>
    </w:p>
    <w:p>
      <w:pPr>
        <w:ind w:left="1952" w:right="260" w:hanging="656"/>
        <w:spacing w:after="0" w:line="282" w:lineRule="auto"/>
        <w:tabs>
          <w:tab w:leader="none" w:pos="159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granted in connection with a 12-month Performance Cycle, which shall be the fiscal year of the Company;</w:t>
      </w:r>
    </w:p>
    <w:p>
      <w:pPr>
        <w:spacing w:after="0" w:line="53" w:lineRule="exact"/>
        <w:rPr>
          <w:rFonts w:ascii="Times New Roman" w:cs="Times New Roman" w:eastAsia="Times New Roman" w:hAnsi="Times New Roman"/>
          <w:sz w:val="18"/>
          <w:szCs w:val="18"/>
          <w:color w:val="auto"/>
        </w:rPr>
      </w:pPr>
    </w:p>
    <w:p>
      <w:pPr>
        <w:ind w:left="1952" w:right="340" w:hanging="656"/>
        <w:spacing w:after="0" w:line="282" w:lineRule="auto"/>
        <w:tabs>
          <w:tab w:leader="none" w:pos="161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 the CHC Committee shall determine the Participants who shall be eligible to receive an Annual Incentive Award for such Performance Cycle;</w:t>
      </w:r>
    </w:p>
    <w:p>
      <w:pPr>
        <w:spacing w:after="0" w:line="53" w:lineRule="exact"/>
        <w:rPr>
          <w:rFonts w:ascii="Times New Roman" w:cs="Times New Roman" w:eastAsia="Times New Roman" w:hAnsi="Times New Roman"/>
          <w:sz w:val="18"/>
          <w:szCs w:val="18"/>
          <w:color w:val="auto"/>
        </w:rPr>
      </w:pPr>
    </w:p>
    <w:p>
      <w:pPr>
        <w:ind w:left="1952" w:right="60" w:hanging="656"/>
        <w:spacing w:after="0" w:line="289" w:lineRule="auto"/>
        <w:tabs>
          <w:tab w:leader="none" w:pos="1606"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CHC Committee shall fix and establish, in writing, (A) the Performance Measure(s) that shall apply to such Performance Cycle, and (B) an objective formula for computing the amount of the Annual Incentive Awards for such Performance Cycle, where the amount shall be based upon the attainment of various Performance Goals for the applicable Performance Measure(s); and</w:t>
      </w:r>
    </w:p>
    <w:p>
      <w:pPr>
        <w:spacing w:after="0" w:line="49" w:lineRule="exact"/>
        <w:rPr>
          <w:rFonts w:ascii="Times New Roman" w:cs="Times New Roman" w:eastAsia="Times New Roman" w:hAnsi="Times New Roman"/>
          <w:sz w:val="17"/>
          <w:szCs w:val="17"/>
          <w:color w:val="auto"/>
        </w:rPr>
      </w:pPr>
    </w:p>
    <w:p>
      <w:pPr>
        <w:ind w:left="1952" w:right="420" w:hanging="656"/>
        <w:spacing w:after="0" w:line="282" w:lineRule="auto"/>
        <w:tabs>
          <w:tab w:leader="none" w:pos="1484"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paid in the form of cash, Stock (including Restricted Stock), or any combination thereof, in the discretion of the CHC Committee.</w:t>
      </w:r>
    </w:p>
    <w:p>
      <w:pPr>
        <w:spacing w:after="0" w:line="4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PERFORMANCE-BASED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40" w:hanging="644"/>
        <w:spacing w:after="0" w:line="257" w:lineRule="auto"/>
        <w:tabs>
          <w:tab w:leader="none" w:pos="129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Awards</w:t>
      </w:r>
      <w:r>
        <w:rPr>
          <w:rFonts w:ascii="Times New Roman" w:cs="Times New Roman" w:eastAsia="Times New Roman" w:hAnsi="Times New Roman"/>
          <w:sz w:val="18"/>
          <w:szCs w:val="18"/>
          <w:color w:val="auto"/>
        </w:rPr>
        <w:t>. Notwithstanding anything to the contrary contained herein, the CHC Committee may designate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available under the Plan (including but not limited to Options, Restricted Stock, Annual Incentive Awards, and Discretionary Bonus Awards) as conditioned on the achievement of specified Performance Measures (each such Award a “</w:t>
      </w:r>
      <w:r>
        <w:rPr>
          <w:rFonts w:ascii="Times New Roman" w:cs="Times New Roman" w:eastAsia="Times New Roman" w:hAnsi="Times New Roman"/>
          <w:sz w:val="18"/>
          <w:szCs w:val="18"/>
          <w:b w:val="1"/>
          <w:bCs w:val="1"/>
          <w:i w:val="1"/>
          <w:iCs w:val="1"/>
          <w:color w:val="auto"/>
        </w:rPr>
        <w:t>Performance-Based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The grant, exercise, vesting, or settlement of Performance-Based Awards may be conditioned on the achievement of specified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Goals. The Performance Cycle or performance period(s) applicable to a Performance-Based Award shall be any period of time determined by the CHC Committee</w:t>
      </w:r>
      <w:r>
        <w:rPr>
          <w:rFonts w:ascii="Times New Roman" w:cs="Times New Roman" w:eastAsia="Times New Roman" w:hAnsi="Times New Roman"/>
          <w:sz w:val="18"/>
          <w:szCs w:val="18"/>
          <w:b w:val="1"/>
          <w:bCs w:val="1"/>
          <w:color w:val="auto"/>
        </w:rPr>
        <w:t>.</w:t>
      </w:r>
    </w:p>
    <w:p>
      <w:pPr>
        <w:spacing w:after="0" w:line="74" w:lineRule="exact"/>
        <w:rPr>
          <w:rFonts w:ascii="Times New Roman" w:cs="Times New Roman" w:eastAsia="Times New Roman" w:hAnsi="Times New Roman"/>
          <w:sz w:val="18"/>
          <w:szCs w:val="18"/>
          <w:color w:val="auto"/>
        </w:rPr>
      </w:pPr>
    </w:p>
    <w:p>
      <w:pPr>
        <w:ind w:left="1292" w:right="80" w:hanging="644"/>
        <w:spacing w:after="0" w:line="262" w:lineRule="auto"/>
        <w:tabs>
          <w:tab w:leader="none" w:pos="95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Objective Performance Goals and Performance Measures. </w:t>
      </w:r>
      <w:r>
        <w:rPr>
          <w:rFonts w:ascii="Times New Roman" w:cs="Times New Roman" w:eastAsia="Times New Roman" w:hAnsi="Times New Roman"/>
          <w:sz w:val="18"/>
          <w:szCs w:val="18"/>
          <w:color w:val="auto"/>
        </w:rPr>
        <w:t>A Performance Goal established in connection with a Performance-Based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must be based on any one or more of the following performance measures (each, a “</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color w:val="auto"/>
        </w:rPr>
        <w:t>”) (which may be applied to an individual, a subsidiary, a business unit, or division, or the Company, and any one or more of its subsidiaries as a whole, as determined by the CHC Committee):</w:t>
      </w:r>
    </w:p>
    <w:p>
      <w:pPr>
        <w:spacing w:after="0" w:line="72" w:lineRule="exact"/>
        <w:rPr>
          <w:rFonts w:ascii="Times New Roman" w:cs="Times New Roman" w:eastAsia="Times New Roman" w:hAnsi="Times New Roman"/>
          <w:sz w:val="18"/>
          <w:szCs w:val="18"/>
          <w:color w:val="auto"/>
        </w:rPr>
      </w:pPr>
    </w:p>
    <w:p>
      <w:pPr>
        <w:ind w:left="1952" w:hanging="656"/>
        <w:spacing w:after="0" w:line="266" w:lineRule="auto"/>
        <w:tabs>
          <w:tab w:leader="none" w:pos="194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net income (before or after taxes, depreciation and amortization) or economic earnings (non-GAAP performance measure calculated by adding non-cash equity-based compensation expense, amortization of intangible assets, and deferred taxes related to goodwill to comprehensive income);</w:t>
      </w:r>
    </w:p>
    <w:p>
      <w:pPr>
        <w:spacing w:after="0" w:line="6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earnings;</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or revenue growth;</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(including, but not limited to, returns on assets, capital, invested capital, equity, sales, or revenue);</w:t>
      </w:r>
    </w:p>
    <w:p>
      <w:pPr>
        <w:spacing w:after="0" w:line="117" w:lineRule="exact"/>
        <w:rPr>
          <w:rFonts w:ascii="Times New Roman" w:cs="Times New Roman" w:eastAsia="Times New Roman" w:hAnsi="Times New Roman"/>
          <w:sz w:val="18"/>
          <w:szCs w:val="18"/>
          <w:color w:val="auto"/>
        </w:rPr>
      </w:pPr>
    </w:p>
    <w:p>
      <w:pPr>
        <w:ind w:left="1952" w:right="40" w:hanging="656"/>
        <w:spacing w:after="0" w:line="282" w:lineRule="auto"/>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cash flow return on equity, and cash flow return on investment (discounted or otherwise));</w:t>
      </w:r>
    </w:p>
    <w:p>
      <w:pPr>
        <w:spacing w:after="0" w:line="53"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before interest, taxes, depreciation, and amortization;</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stockholders’ equity;</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or operating expenses;</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Company’s Stock or total return to stockholders;</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an investment in the Company’s Stock, assuming the reinvestment of dividends;</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one or more of our investment products on an absolute basis or relative to a benchmark or peer group;</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pre-tax income;</w:t>
      </w:r>
    </w:p>
    <w:p>
      <w:pPr>
        <w:spacing w:after="0" w:line="117"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targets, reductions and savings, productivity, and efficiencies;</w:t>
      </w:r>
    </w:p>
    <w:p>
      <w:pPr>
        <w:spacing w:after="0" w:line="3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553" w:right="379" w:bottom="1440" w:gutter="0" w:footer="0" w:header="0"/>
        </w:sectPr>
      </w:pPr>
    </w:p>
    <w:bookmarkStart w:id="58" w:name="page59"/>
    <w:bookmarkEnd w:id="58"/>
    <w:p>
      <w:pPr>
        <w:ind w:left="1960" w:right="440" w:hanging="656"/>
        <w:spacing w:after="0" w:line="261" w:lineRule="auto"/>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71" w:lineRule="exact"/>
        <w:rPr>
          <w:rFonts w:ascii="Times New Roman" w:cs="Times New Roman" w:eastAsia="Times New Roman" w:hAnsi="Times New Roman"/>
          <w:sz w:val="18"/>
          <w:szCs w:val="18"/>
          <w:color w:val="auto"/>
        </w:rPr>
      </w:pPr>
    </w:p>
    <w:p>
      <w:pPr>
        <w:ind w:left="1960" w:right="180" w:hanging="656"/>
        <w:spacing w:after="0" w:line="266" w:lineRule="auto"/>
        <w:tabs>
          <w:tab w:leader="none" w:pos="19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professional objectives, consisting of one or more objectives based on the implementation of plans and policies, the negotiation of transactions, the development of long-term business goals, formation of joint ventures, research or development collaborations, and the completion of other corporation transactions;</w:t>
      </w:r>
    </w:p>
    <w:p>
      <w:pPr>
        <w:spacing w:after="0" w:line="6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criteria as determined by the CHC Committee in its sole discretion; and/or</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or all of the foregoing criteria.</w:t>
      </w:r>
    </w:p>
    <w:p>
      <w:pPr>
        <w:spacing w:after="0" w:line="11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CHC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71" w:lineRule="exact"/>
        <w:rPr>
          <w:sz w:val="20"/>
          <w:szCs w:val="20"/>
          <w:color w:val="auto"/>
        </w:rPr>
      </w:pPr>
    </w:p>
    <w:p>
      <w:pPr>
        <w:ind w:left="1300" w:right="60" w:hanging="644"/>
        <w:spacing w:after="0" w:line="259" w:lineRule="auto"/>
        <w:tabs>
          <w:tab w:leader="none" w:pos="96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Calculation of Performance-Based Award. </w:t>
      </w:r>
      <w:r>
        <w:rPr>
          <w:rFonts w:ascii="Times New Roman" w:cs="Times New Roman" w:eastAsia="Times New Roman" w:hAnsi="Times New Roman"/>
          <w:sz w:val="18"/>
          <w:szCs w:val="18"/>
          <w:color w:val="auto"/>
        </w:rPr>
        <w:t>At the expiration of the applicable performance period, the CHC Committee shall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to which the Performance Goals established pursuant to this Article are achieved and the extent to which each Performance-Based Award has been earned. The CHC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DISCRETIONARY BONUS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220" w:hanging="644"/>
        <w:spacing w:after="0" w:line="268" w:lineRule="auto"/>
        <w:tabs>
          <w:tab w:leader="none" w:pos="96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Discretionary Bonus Awards. </w:t>
      </w:r>
      <w:r>
        <w:rPr>
          <w:rFonts w:ascii="Times New Roman" w:cs="Times New Roman" w:eastAsia="Times New Roman" w:hAnsi="Times New Roman"/>
          <w:sz w:val="18"/>
          <w:szCs w:val="18"/>
          <w:color w:val="auto"/>
        </w:rPr>
        <w:t>The CHC Committee may grant discretionary bonus awards of Stock or cash (each a “</w:t>
      </w:r>
      <w:r>
        <w:rPr>
          <w:rFonts w:ascii="Times New Roman" w:cs="Times New Roman" w:eastAsia="Times New Roman" w:hAnsi="Times New Roman"/>
          <w:sz w:val="18"/>
          <w:szCs w:val="18"/>
          <w:b w:val="1"/>
          <w:bCs w:val="1"/>
          <w:i w:val="1"/>
          <w:iCs w:val="1"/>
          <w:color w:val="auto"/>
        </w:rPr>
        <w:t>Discretionary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officers and other key Employees of either the Company or any Subsidiary, in such amounts and subject to such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as the CHC Committee in its discretion may determine.</w:t>
      </w:r>
    </w:p>
    <w:p>
      <w:pPr>
        <w:spacing w:after="0" w:line="66"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CHC Committee may grant Discretionary Bonus Awards to eligible Participants in such amounts as the CHC Committee may determine, subject to the limitations set forth in Section 4.1.</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6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shall be paid in the form of cash, Stock (including Restricted Stock) or any combination thereof, in the discretion of the CHC Committee.</w:t>
      </w:r>
    </w:p>
    <w:p>
      <w:pPr>
        <w:spacing w:after="0" w:line="4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CHC Committee is authorized, subject to limitations under applicable law, to grant to eligible persons such other Awards that may be denominated or payable in, valued in whole or in part by reference to, or otherwise based on, or related to, shares of Stock, as deemed by the CHC Committee to be consistent with the purposes of this Plan, including without limitation purchase rights for shares of Stock, Awards with value and payment contingent upon performance of the Company or any other factors designated by the CHC Committee, and Awards valued by reference to the book value of a share of Stock. The CHC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CHC Committee shall determine.</w:t>
      </w:r>
    </w:p>
    <w:p>
      <w:pPr>
        <w:spacing w:after="0" w:line="77" w:lineRule="exact"/>
        <w:rPr>
          <w:sz w:val="20"/>
          <w:szCs w:val="20"/>
          <w:color w:val="auto"/>
        </w:rPr>
      </w:pPr>
    </w:p>
    <w:p>
      <w:pPr>
        <w:ind w:left="420" w:hanging="412"/>
        <w:spacing w:after="0"/>
        <w:tabs>
          <w:tab w:leader="none" w:pos="4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VESTING LIMITATIONS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CHC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75" w:lineRule="exact"/>
        <w:rPr>
          <w:sz w:val="20"/>
          <w:szCs w:val="20"/>
          <w:color w:val="auto"/>
        </w:rPr>
      </w:pPr>
    </w:p>
    <w:p>
      <w:pPr>
        <w:ind w:left="420" w:hanging="412"/>
        <w:spacing w:after="0"/>
        <w:tabs>
          <w:tab w:leader="none" w:pos="4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 OF AWARDS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300" w:right="440" w:hanging="644"/>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each Option and SAR shall be exercisable only by the Participant during the Participant’s lifetime, or by the Person to whom the Participant’s rights shall pass by will or the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ind w:left="1292" w:right="40"/>
        <w:spacing w:after="0" w:line="282" w:lineRule="auto"/>
        <w:rPr>
          <w:sz w:val="20"/>
          <w:szCs w:val="20"/>
          <w:color w:val="auto"/>
        </w:rPr>
      </w:pPr>
      <w:r>
        <w:rPr>
          <w:rFonts w:ascii="Times New Roman" w:cs="Times New Roman" w:eastAsia="Times New Roman" w:hAnsi="Times New Roman"/>
          <w:sz w:val="18"/>
          <w:szCs w:val="18"/>
          <w:color w:val="auto"/>
        </w:rPr>
        <w:t>laws of descent and distribution. Notwithstanding the foregoing, an ISO shall not be transferable other than by will or the laws of descent and distribution.</w:t>
      </w:r>
    </w:p>
    <w:p>
      <w:pPr>
        <w:spacing w:after="0" w:line="54" w:lineRule="exact"/>
        <w:rPr>
          <w:sz w:val="20"/>
          <w:szCs w:val="20"/>
          <w:color w:val="auto"/>
        </w:rPr>
      </w:pPr>
    </w:p>
    <w:p>
      <w:pPr>
        <w:jc w:val="both"/>
        <w:ind w:left="1292" w:right="220" w:hanging="644"/>
        <w:spacing w:after="0" w:line="266" w:lineRule="auto"/>
        <w:tabs>
          <w:tab w:leader="none" w:pos="129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67" w:lineRule="exact"/>
        <w:rPr>
          <w:rFonts w:ascii="Times New Roman" w:cs="Times New Roman" w:eastAsia="Times New Roman" w:hAnsi="Times New Roman"/>
          <w:sz w:val="18"/>
          <w:szCs w:val="18"/>
          <w:color w:val="auto"/>
        </w:rPr>
      </w:pPr>
    </w:p>
    <w:p>
      <w:pPr>
        <w:ind w:left="1292" w:right="160" w:hanging="644"/>
        <w:spacing w:after="0" w:line="282" w:lineRule="auto"/>
        <w:tabs>
          <w:tab w:leader="none" w:pos="129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specifically provided by the CHC Committee, and on such terms and conditions as the CHC Committee may from time to time establish, an Award may be transferred by a Participant without consideration to one or more Permitted Transferees.</w:t>
      </w:r>
    </w:p>
    <w:p>
      <w:pPr>
        <w:spacing w:after="0" w:line="4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deemed to have occurred if any of the following occurs with respect to the Company:</w:t>
      </w:r>
    </w:p>
    <w:p>
      <w:pPr>
        <w:spacing w:after="0" w:line="31" w:lineRule="exact"/>
        <w:rPr>
          <w:rFonts w:ascii="Times New Roman" w:cs="Times New Roman" w:eastAsia="Times New Roman" w:hAnsi="Times New Roman"/>
          <w:sz w:val="18"/>
          <w:szCs w:val="18"/>
          <w:color w:val="auto"/>
        </w:rPr>
      </w:pPr>
    </w:p>
    <w:p>
      <w:pPr>
        <w:ind w:left="1952"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direct or indirect sale or exchange in a single or series of related transactions by the stockholders of the Company of more than 50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76" w:lineRule="exact"/>
        <w:rPr>
          <w:rFonts w:ascii="Times New Roman" w:cs="Times New Roman" w:eastAsia="Times New Roman" w:hAnsi="Times New Roman"/>
          <w:sz w:val="18"/>
          <w:szCs w:val="18"/>
          <w:color w:val="auto"/>
        </w:rPr>
      </w:pPr>
    </w:p>
    <w:p>
      <w:pPr>
        <w:ind w:left="1952" w:hanging="656"/>
        <w:spacing w:after="0" w:line="252" w:lineRule="auto"/>
        <w:tabs>
          <w:tab w:leader="none" w:pos="195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(i) a merger or consolidation of the Company with or into another corporation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w:t>
      </w:r>
    </w:p>
    <w:p>
      <w:pPr>
        <w:spacing w:after="0" w:line="82" w:lineRule="exact"/>
        <w:rPr>
          <w:rFonts w:ascii="Times New Roman" w:cs="Times New Roman" w:eastAsia="Times New Roman" w:hAnsi="Times New Roman"/>
          <w:sz w:val="18"/>
          <w:szCs w:val="18"/>
          <w:color w:val="auto"/>
        </w:rPr>
      </w:pPr>
    </w:p>
    <w:p>
      <w:pPr>
        <w:ind w:left="1292" w:right="20" w:hanging="644"/>
        <w:spacing w:after="0" w:line="253" w:lineRule="auto"/>
        <w:tabs>
          <w:tab w:leader="none" w:pos="95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Change in Control on Awards. </w:t>
      </w:r>
      <w:r>
        <w:rPr>
          <w:rFonts w:ascii="Times New Roman" w:cs="Times New Roman" w:eastAsia="Times New Roman" w:hAnsi="Times New Roman"/>
          <w:sz w:val="18"/>
          <w:szCs w:val="18"/>
          <w:color w:val="auto"/>
        </w:rPr>
        <w:t>Upon a Change in Control, each outstanding Award shall become 100% vested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conditions imposed with respect to such Award deemed to be achieved at “target” performance levels) and exercisable as of the date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CHC Committee may, in its discretion, provide that any Option or SAR shall, immediately prior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number of shares of Stock subject to the Option or SAR. Notwithstanding the foregoing, shares acquired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prior to the Change in Control and any consideration received pursuant to the Change in Control with</w:t>
      </w:r>
    </w:p>
    <w:p>
      <w:pPr>
        <w:spacing w:after="0" w:line="3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53" w:right="359" w:bottom="1440" w:gutter="0" w:footer="0" w:header="0"/>
        </w:sectPr>
      </w:pPr>
    </w:p>
    <w:bookmarkStart w:id="60" w:name="page61"/>
    <w:bookmarkEnd w:id="60"/>
    <w:p>
      <w:pPr>
        <w:ind w:left="1300" w:right="20"/>
        <w:spacing w:after="0" w:line="255" w:lineRule="auto"/>
        <w:rPr>
          <w:sz w:val="20"/>
          <w:szCs w:val="20"/>
          <w:color w:val="auto"/>
        </w:rPr>
      </w:pPr>
      <w:r>
        <w:rPr>
          <w:rFonts w:ascii="Times New Roman" w:cs="Times New Roman" w:eastAsia="Times New Roman" w:hAnsi="Times New Roman"/>
          <w:sz w:val="18"/>
          <w:szCs w:val="18"/>
          <w:color w:val="auto"/>
        </w:rPr>
        <w:t>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50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CHC Committee otherwise provides in its discretion. For the avoidance of doubt, all Restricted Stock awards prior to the Effective Date are hereby amended to incorporate these terms.</w:t>
      </w:r>
    </w:p>
    <w:p>
      <w:pPr>
        <w:spacing w:after="0" w:line="77" w:lineRule="exact"/>
        <w:rPr>
          <w:sz w:val="20"/>
          <w:szCs w:val="20"/>
          <w:color w:val="auto"/>
        </w:rPr>
      </w:pPr>
    </w:p>
    <w:p>
      <w:pPr>
        <w:ind w:left="420" w:hanging="412"/>
        <w:spacing w:after="0"/>
        <w:tabs>
          <w:tab w:leader="none" w:pos="4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CHC Committee for the satisfaction of these tax obligations with respect to any taxable event concerning the Participant or such other person arising as a result of Awards made under this Plan.</w:t>
      </w:r>
    </w:p>
    <w:p>
      <w:pPr>
        <w:spacing w:after="0" w:line="84" w:lineRule="exact"/>
        <w:rPr>
          <w:sz w:val="20"/>
          <w:szCs w:val="20"/>
          <w:color w:val="auto"/>
        </w:rPr>
      </w:pPr>
    </w:p>
    <w:p>
      <w:pPr>
        <w:ind w:left="420" w:hanging="412"/>
        <w:spacing w:after="0"/>
        <w:tabs>
          <w:tab w:leader="none" w:pos="4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 OF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Participant shall be given access to information concerning the Company equivalent to that information generally made available to the Company’s common stockholders.</w:t>
      </w:r>
    </w:p>
    <w:p>
      <w:pPr>
        <w:spacing w:after="0" w:line="50" w:lineRule="exact"/>
        <w:rPr>
          <w:sz w:val="20"/>
          <w:szCs w:val="20"/>
          <w:color w:val="auto"/>
        </w:rPr>
      </w:pPr>
    </w:p>
    <w:p>
      <w:pPr>
        <w:ind w:left="420" w:hanging="412"/>
        <w:spacing w:after="0"/>
        <w:tabs>
          <w:tab w:leader="none" w:pos="4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SECURITIES LAW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8" w:lineRule="exact"/>
        <w:rPr>
          <w:sz w:val="20"/>
          <w:szCs w:val="20"/>
          <w:color w:val="auto"/>
        </w:rPr>
      </w:pPr>
    </w:p>
    <w:p>
      <w:pPr>
        <w:ind w:left="420" w:hanging="412"/>
        <w:spacing w:after="0"/>
        <w:tabs>
          <w:tab w:leader="none" w:pos="4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OR AMENDMENT OF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t>Participant, unless such termination or amendment is required to enable an Option designated as an Incentive Stock Option to qualify as an Incentive Stock Option or is necessary to comply with any applicable law, regulation, or rule.</w:t>
      </w:r>
    </w:p>
    <w:p>
      <w:pPr>
        <w:spacing w:after="0" w:line="50" w:lineRule="exact"/>
        <w:rPr>
          <w:sz w:val="20"/>
          <w:szCs w:val="20"/>
          <w:color w:val="auto"/>
        </w:rPr>
      </w:pPr>
    </w:p>
    <w:p>
      <w:pPr>
        <w:ind w:left="420" w:hanging="412"/>
        <w:spacing w:after="0"/>
        <w:tabs>
          <w:tab w:leader="none" w:pos="4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Any increase in the maximum aggregate number of shares of Stock issuable under the Plan as provided in Section 4.1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shall be approved by the stockholders of the Company within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394" w:lineRule="auto"/>
        <w:rPr>
          <w:sz w:val="20"/>
          <w:szCs w:val="20"/>
          <w:color w:val="auto"/>
        </w:rPr>
      </w:pPr>
      <w:r>
        <w:rPr>
          <w:rFonts w:ascii="Times New Roman" w:cs="Times New Roman" w:eastAsia="Times New Roman" w:hAnsi="Times New Roman"/>
          <w:sz w:val="18"/>
          <w:szCs w:val="18"/>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1174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-289560</wp:posOffset>
            </wp:positionV>
            <wp:extent cx="11741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-503555</wp:posOffset>
            </wp:positionV>
            <wp:extent cx="1174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-718185</wp:posOffset>
            </wp:positionV>
            <wp:extent cx="1174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-932180</wp:posOffset>
            </wp:positionV>
            <wp:extent cx="1174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-1146810</wp:posOffset>
            </wp:positionV>
            <wp:extent cx="1174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-1360805</wp:posOffset>
            </wp:positionV>
            <wp:extent cx="1174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407" w:lineRule="auto"/>
        <w:rPr>
          <w:sz w:val="20"/>
          <w:szCs w:val="20"/>
          <w:color w:val="auto"/>
        </w:rPr>
      </w:pPr>
      <w:r>
        <w:rPr>
          <w:rFonts w:ascii="Times New Roman" w:cs="Times New Roman" w:eastAsia="Times New Roman" w:hAnsi="Times New Roman"/>
          <w:sz w:val="18"/>
          <w:szCs w:val="18"/>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11741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-296545</wp:posOffset>
            </wp:positionV>
            <wp:extent cx="1174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60"/>
        <w:spacing w:after="0"/>
        <w:rPr>
          <w:sz w:val="20"/>
          <w:szCs w:val="20"/>
          <w:color w:val="auto"/>
        </w:rPr>
      </w:pPr>
      <w:r>
        <w:rPr>
          <w:rFonts w:ascii="Times New Roman" w:cs="Times New Roman" w:eastAsia="Times New Roman" w:hAnsi="Times New Roman"/>
          <w:sz w:val="18"/>
          <w:szCs w:val="18"/>
          <w:b w:val="1"/>
          <w:bCs w:val="1"/>
          <w:u w:val="single" w:color="auto"/>
          <w:color w:val="auto"/>
        </w:rPr>
        <w:t>PLAN HISTORY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7"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700,000 shares and providing for performance-based awards, which was approved by stockholders at the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71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8"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Board amends the Plan to allow for CHC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71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8"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750,000 shares. The Plan was amended to clarify the CHC Committee’s authority to prescribe adjustments to performance measures set forth in Section 12.2 of the Plan, used to set performance goals for incentive awards that are intended to be exempt from the deduction limitation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58718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1"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8"/>
          <w:szCs w:val="18"/>
          <w:color w:val="auto"/>
        </w:rPr>
        <w:t>The material terms of the Plan were amended to expand performance measures to be established by the Board or the Committee with respect to annual incentive awards or performance-based awards. The Fourth Amendment permits the Board or the Committee to adjust performance measures in a manner that complies with Treasury Regulations governing</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modifications to performance measures under Section 162(m) of the Internal Revenue Code. Under the Fourth Amendment, the Board or CHC Committee may designate any awards under the Plan as performance-based awards. The Fourth Amendment restricts the number of shares of the Company’s common stock that can be settled, or cash that can be paid, for a performance-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to any Plan participant in a single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5871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111"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CHC Committee adopts Fifth Amended and Restated Plan, increasing the reserve by 200,000 shares and prohibiting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71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Sixth Amended and Restated Plan, increasing the reserve by 200,000 shares. The Plan was amended to</w:t>
      </w:r>
    </w:p>
    <w:p>
      <w:pPr>
        <w:jc w:val="both"/>
        <w:ind w:firstLine="4"/>
        <w:spacing w:after="0" w:line="223" w:lineRule="auto"/>
        <w:tabs>
          <w:tab w:leader="none" w:pos="24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Stock Appreciation Rights, Restricted Stock Units, and Other Stock-Based Awards as awards available for issuance under the Plan, (b) conform the Plan to changes made to Section 162(m) of the Code by the Tax Cuts and Jobs Act of 2017, and</w:t>
      </w:r>
    </w:p>
    <w:p>
      <w:pPr>
        <w:spacing w:after="0" w:line="1"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5871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222250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40" w:space="620"/>
            <w:col w:w="9200"/>
          </w:cols>
          <w:pgMar w:left="340" w:top="455" w:right="399" w:bottom="1440" w:gutter="0" w:footer="0" w:header="0"/>
        </w:sectPr>
      </w:pPr>
    </w:p>
    <w:bookmarkStart w:id="63" w:name="page64"/>
    <w:bookmarkEnd w:id="63"/>
    <w:p>
      <w:pPr>
        <w:ind w:right="80"/>
        <w:spacing w:after="0" w:line="292" w:lineRule="auto"/>
        <w:rPr>
          <w:sz w:val="20"/>
          <w:szCs w:val="20"/>
          <w:color w:val="auto"/>
        </w:rPr>
      </w:pPr>
      <w:r>
        <w:rPr>
          <w:rFonts w:ascii="Times New Roman" w:cs="Times New Roman" w:eastAsia="Times New Roman" w:hAnsi="Times New Roman"/>
          <w:sz w:val="18"/>
          <w:szCs w:val="18"/>
          <w:color w:val="auto"/>
        </w:rPr>
        <w:t>March 2, 2022 March 16, 2023 March 6, 2024 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1174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-181610</wp:posOffset>
            </wp:positionV>
            <wp:extent cx="1174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-335915</wp:posOffset>
            </wp:positionV>
            <wp:extent cx="11741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11741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CHC Committee adopts First Amendment to the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58718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the Ninth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the Tenth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CHC Committee adopts the Eleventh Amended and Restated Plan, increasing the reserve by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71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230505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40" w:space="720"/>
            <w:col w:w="9140"/>
          </w:cols>
          <w:pgMar w:left="340" w:top="486" w:right="459" w:bottom="1440" w:gutter="0" w:footer="0" w:header="0"/>
        </w:sectPr>
      </w:pPr>
    </w:p>
    <w:bookmarkStart w:id="64" w:name="page65"/>
    <w:bookmarkEnd w:id="64"/>
    <w:p>
      <w:pPr>
        <w:jc w:val="right"/>
        <w:spacing w:after="0"/>
        <w:rPr>
          <w:sz w:val="20"/>
          <w:szCs w:val="20"/>
          <w:color w:val="auto"/>
        </w:rPr>
      </w:pPr>
      <w:r>
        <w:rPr>
          <w:rFonts w:ascii="Wingdings" w:cs="Wingdings" w:eastAsia="Wingdings" w:hAnsi="Wingdings"/>
          <w:sz w:val="18"/>
          <w:szCs w:val="18"/>
          <w:b w:val="1"/>
          <w:bCs w:val="1"/>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WESTWOOD HOLDINGS GROUP,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0" w:lineRule="exact"/>
        <w:rPr>
          <w:sz w:val="20"/>
          <w:szCs w:val="20"/>
          <w:color w:val="auto"/>
        </w:rPr>
      </w:pPr>
    </w:p>
    <w:p>
      <w:pPr>
        <w:spacing w:after="0" w:line="3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PROXY SOLICITED BY THE BOARD OF DIRECTORS FOR</w:t>
      </w:r>
    </w:p>
    <w:p>
      <w:pPr>
        <w:spacing w:after="0" w:line="5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THE ANNUAL MEETING TO BE HELD ON APRIL 30, 2025</w:t>
      </w:r>
    </w:p>
    <w:p>
      <w:pPr>
        <w:spacing w:after="0" w:line="287" w:lineRule="exact"/>
        <w:rPr>
          <w:sz w:val="20"/>
          <w:szCs w:val="20"/>
          <w:color w:val="auto"/>
        </w:rPr>
      </w:pPr>
    </w:p>
    <w:p>
      <w:pPr>
        <w:ind w:right="20" w:firstLine="526"/>
        <w:spacing w:after="0" w:line="285" w:lineRule="auto"/>
        <w:rPr>
          <w:sz w:val="20"/>
          <w:szCs w:val="20"/>
          <w:color w:val="auto"/>
        </w:rPr>
      </w:pPr>
      <w:r>
        <w:rPr>
          <w:rFonts w:ascii="Times New Roman" w:cs="Times New Roman" w:eastAsia="Times New Roman" w:hAnsi="Times New Roman"/>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Times New Roman" w:cs="Times New Roman" w:eastAsia="Times New Roman" w:hAnsi="Times New Roman"/>
          <w:sz w:val="18"/>
          <w:szCs w:val="18"/>
          <w:i w:val="1"/>
          <w:iCs w:val="1"/>
          <w:u w:val="single" w:color="auto"/>
          <w:color w:val="auto"/>
        </w:rPr>
        <w:t>www.virtualshareholdermeeting.com/WHG2025</w:t>
      </w:r>
      <w:r>
        <w:rPr>
          <w:rFonts w:ascii="Times New Roman" w:cs="Times New Roman" w:eastAsia="Times New Roman" w:hAnsi="Times New Roman"/>
          <w:sz w:val="18"/>
          <w:szCs w:val="18"/>
          <w:color w:val="auto"/>
        </w:rPr>
        <w:t xml:space="preserve"> on Wednesday, April 30, 2025, at 10:00 a.m., Central Time, and any postponements or adjournments thereof, as fully as the undersigned could if personally present, revoking any proxy or proxies heretofore given.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6" w:right="359" w:bottom="1440" w:gutter="0" w:footer="0" w:header="0"/>
        </w:sectPr>
      </w:pPr>
    </w:p>
    <w:bookmarkStart w:id="65" w:name="page66"/>
    <w:bookmarkEnd w:id="65"/>
    <w:p>
      <w:pPr>
        <w:spacing w:after="0"/>
        <w:tabs>
          <w:tab w:leader="none" w:pos="11040" w:val="left"/>
        </w:tabs>
        <w:rPr>
          <w:sz w:val="20"/>
          <w:szCs w:val="20"/>
          <w:color w:val="auto"/>
        </w:rPr>
      </w:pPr>
      <w:r>
        <w:rPr>
          <w:rFonts w:ascii="Wingdings" w:cs="Wingdings" w:eastAsia="Wingdings" w:hAnsi="Wingdings"/>
          <w:sz w:val="18"/>
          <w:szCs w:val="18"/>
          <w:b w:val="1"/>
          <w:bCs w:val="1"/>
          <w:color w:val="auto"/>
        </w:rPr>
        <w:t>n</w:t>
      </w:r>
      <w:r>
        <w:rPr>
          <w:sz w:val="20"/>
          <w:szCs w:val="20"/>
          <w:color w:val="auto"/>
        </w:rPr>
        <w:tab/>
      </w:r>
      <w:r>
        <w:rPr>
          <w:rFonts w:ascii="Wingdings" w:cs="Wingdings" w:eastAsia="Wingdings" w:hAnsi="Wingdings"/>
          <w:sz w:val="18"/>
          <w:szCs w:val="18"/>
          <w:b w:val="1"/>
          <w:bCs w:val="1"/>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40575" cy="3317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all director nominees in Proposal 1 and “FOR” Proposals 2, 3 and 4.</w:t>
      </w:r>
    </w:p>
    <w:p>
      <w:pPr>
        <w:spacing w:after="0" w:line="163" w:lineRule="exact"/>
        <w:rPr>
          <w:sz w:val="20"/>
          <w:szCs w:val="20"/>
          <w:color w:val="auto"/>
        </w:rPr>
      </w:pPr>
    </w:p>
    <w:p>
      <w:pPr>
        <w:jc w:val="center"/>
        <w:ind w:right="260"/>
        <w:spacing w:after="0" w:line="325" w:lineRule="auto"/>
        <w:rPr>
          <w:sz w:val="20"/>
          <w:szCs w:val="20"/>
          <w:color w:val="auto"/>
        </w:rPr>
      </w:pPr>
      <w:r>
        <w:rPr>
          <w:rFonts w:ascii="Times New Roman" w:cs="Times New Roman" w:eastAsia="Times New Roman" w:hAnsi="Times New Roman"/>
          <w:sz w:val="14"/>
          <w:szCs w:val="14"/>
          <w:b w:val="1"/>
          <w:bCs w:val="1"/>
          <w:color w:val="auto"/>
        </w:rPr>
        <w:t xml:space="preserve">PLEASE SIGN, DATE AND RETURN PROMPTLY IN THE ENCLOSED ENVELOPE. PLEASE MARK YOUR VOTE IN BLUE OR BLACK INK AS SHOWN HERE   </w:t>
      </w:r>
      <w:r>
        <w:rPr>
          <w:rFonts w:ascii="Wingdings" w:cs="Wingdings" w:eastAsia="Wingdings" w:hAnsi="Wingdings"/>
          <w:sz w:val="14"/>
          <w:szCs w:val="14"/>
          <w:b w:val="1"/>
          <w:bCs w:val="1"/>
          <w:color w:val="auto"/>
        </w:rPr>
        <w:t>x</w:t>
      </w:r>
    </w:p>
    <w:p>
      <w:pPr>
        <w:sectPr>
          <w:pgSz w:w="11900" w:h="16838" w:orient="portrait"/>
          <w:cols w:equalWidth="0" w:num="1">
            <w:col w:w="11240"/>
          </w:cols>
          <w:pgMar w:left="340" w:top="1285" w:right="319" w:bottom="1440" w:gutter="0" w:footer="0" w:header="0"/>
        </w:sectPr>
      </w:pPr>
    </w:p>
    <w:p>
      <w:pPr>
        <w:spacing w:after="0" w:line="214" w:lineRule="exact"/>
        <w:rPr>
          <w:sz w:val="20"/>
          <w:szCs w:val="20"/>
          <w:color w:val="auto"/>
        </w:rPr>
      </w:pPr>
    </w:p>
    <w:p>
      <w:pPr>
        <w:jc w:val="both"/>
        <w:ind w:right="840" w:firstLine="6"/>
        <w:spacing w:after="0" w:line="241" w:lineRule="auto"/>
        <w:tabs>
          <w:tab w:leader="none" w:pos="144"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six directors to hold office until the next annual meeting of Westwood’s stockholders and until their respective successors shall have been duly elected and qualified.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FOR</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AGAINST</w:t>
            </w:r>
          </w:p>
        </w:tc>
        <w:tc>
          <w:tcPr>
            <w:tcW w:w="700" w:type="dxa"/>
            <w:vAlign w:val="bottom"/>
          </w:tcPr>
          <w:p>
            <w:pPr>
              <w:jc w:val="center"/>
              <w:ind w:left="155"/>
              <w:spacing w:after="0"/>
              <w:rPr>
                <w:sz w:val="20"/>
                <w:szCs w:val="20"/>
                <w:color w:val="auto"/>
              </w:rPr>
            </w:pPr>
            <w:r>
              <w:rPr>
                <w:rFonts w:ascii="Times New Roman" w:cs="Times New Roman" w:eastAsia="Times New Roman" w:hAnsi="Times New Roman"/>
                <w:sz w:val="11"/>
                <w:szCs w:val="11"/>
                <w:color w:val="auto"/>
                <w:w w:val="96"/>
              </w:rPr>
              <w:t>ABSTAIN</w:t>
            </w:r>
          </w:p>
        </w:tc>
      </w:tr>
      <w:tr>
        <w:trPr>
          <w:trHeight w:val="274"/>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01)</w:t>
            </w:r>
          </w:p>
        </w:tc>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Brian O. Casey</w:t>
            </w:r>
          </w:p>
        </w:tc>
        <w:tc>
          <w:tcPr>
            <w:tcW w:w="980" w:type="dxa"/>
            <w:vAlign w:val="bottom"/>
          </w:tcPr>
          <w:p>
            <w:pPr>
              <w:ind w:left="50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83"/>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02)</w:t>
            </w:r>
          </w:p>
        </w:tc>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Ellen H. Masterson</w:t>
            </w:r>
          </w:p>
        </w:tc>
        <w:tc>
          <w:tcPr>
            <w:tcW w:w="980" w:type="dxa"/>
            <w:vAlign w:val="bottom"/>
          </w:tcPr>
          <w:p>
            <w:pPr>
              <w:ind w:left="50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7"/>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03)</w:t>
            </w:r>
          </w:p>
        </w:tc>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Geoffrey R. Norman</w:t>
            </w:r>
          </w:p>
        </w:tc>
        <w:tc>
          <w:tcPr>
            <w:tcW w:w="980" w:type="dxa"/>
            <w:vAlign w:val="bottom"/>
          </w:tcPr>
          <w:p>
            <w:pPr>
              <w:ind w:left="50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43"/>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04)</w:t>
            </w:r>
          </w:p>
        </w:tc>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Randy A. Bowman</w:t>
            </w:r>
          </w:p>
        </w:tc>
        <w:tc>
          <w:tcPr>
            <w:tcW w:w="980" w:type="dxa"/>
            <w:vAlign w:val="bottom"/>
          </w:tcPr>
          <w:p>
            <w:pPr>
              <w:ind w:left="50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70"/>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05)</w:t>
            </w:r>
          </w:p>
        </w:tc>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 Hale Hoak</w:t>
            </w:r>
          </w:p>
        </w:tc>
        <w:tc>
          <w:tcPr>
            <w:tcW w:w="980" w:type="dxa"/>
            <w:vAlign w:val="bottom"/>
          </w:tcPr>
          <w:p>
            <w:pPr>
              <w:ind w:left="50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6"/>
        </w:trPr>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06)</w:t>
            </w:r>
          </w:p>
        </w:tc>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Katherine Murray</w:t>
            </w:r>
          </w:p>
        </w:tc>
        <w:tc>
          <w:tcPr>
            <w:tcW w:w="980" w:type="dxa"/>
            <w:vAlign w:val="bottom"/>
          </w:tcPr>
          <w:p>
            <w:pPr>
              <w:ind w:left="500"/>
              <w:spacing w:after="0"/>
              <w:rPr>
                <w:sz w:val="20"/>
                <w:szCs w:val="20"/>
                <w:color w:val="auto"/>
              </w:rPr>
            </w:pPr>
            <w:r>
              <w:rPr>
                <w:rFonts w:ascii="Wingdings" w:cs="Wingdings" w:eastAsia="Wingdings" w:hAnsi="Wingdings"/>
                <w:sz w:val="18"/>
                <w:szCs w:val="18"/>
                <w:b w:val="1"/>
                <w:bCs w:val="1"/>
                <w:color w:val="auto"/>
                <w:highlight w:val="black"/>
              </w:rPr>
              <w:t>o</w:t>
            </w:r>
          </w:p>
        </w:tc>
        <w:tc>
          <w:tcPr>
            <w:tcW w:w="10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700" w:type="dxa"/>
            <w:vAlign w:val="bottom"/>
          </w:tcPr>
          <w:p>
            <w:pPr>
              <w:jc w:val="center"/>
              <w:ind w:left="175"/>
              <w:spacing w:after="0"/>
              <w:rPr>
                <w:sz w:val="20"/>
                <w:szCs w:val="20"/>
                <w:color w:val="auto"/>
              </w:rPr>
            </w:pPr>
            <w:r>
              <w:rPr>
                <w:rFonts w:ascii="Wingdings" w:cs="Wingdings" w:eastAsia="Wingdings" w:hAnsi="Wingdings"/>
                <w:sz w:val="18"/>
                <w:szCs w:val="18"/>
                <w:b w:val="1"/>
                <w:bCs w:val="1"/>
                <w:color w:val="auto"/>
                <w:highlight w:val="black"/>
                <w:w w:val="99"/>
              </w:rPr>
              <w:t>o</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4" w:right="40" w:firstLine="4"/>
        <w:spacing w:after="0" w:line="241" w:lineRule="auto"/>
        <w:tabs>
          <w:tab w:leader="none" w:pos="175"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BDO USA, P.C. as Westwood’s independent auditors for the year ending December 31, 2025.</w:t>
      </w:r>
    </w:p>
    <w:p>
      <w:pPr>
        <w:spacing w:after="0" w:line="203" w:lineRule="exact"/>
        <w:rPr>
          <w:rFonts w:ascii="Times New Roman" w:cs="Times New Roman" w:eastAsia="Times New Roman" w:hAnsi="Times New Roman"/>
          <w:sz w:val="14"/>
          <w:szCs w:val="14"/>
          <w:color w:val="auto"/>
        </w:rPr>
      </w:pPr>
    </w:p>
    <w:p>
      <w:pPr>
        <w:ind w:left="-4" w:firstLine="4"/>
        <w:spacing w:after="0" w:line="241" w:lineRule="auto"/>
        <w:tabs>
          <w:tab w:leader="none" w:pos="13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Eleventh Amended and Restated Westwood Holdings Group, Inc. Stock Incentive Plan.</w:t>
      </w:r>
    </w:p>
    <w:p>
      <w:pPr>
        <w:spacing w:after="0" w:line="325" w:lineRule="exact"/>
        <w:rPr>
          <w:rFonts w:ascii="Times New Roman" w:cs="Times New Roman" w:eastAsia="Times New Roman" w:hAnsi="Times New Roman"/>
          <w:sz w:val="14"/>
          <w:szCs w:val="14"/>
          <w:color w:val="auto"/>
        </w:rPr>
      </w:pPr>
    </w:p>
    <w:p>
      <w:pPr>
        <w:ind w:left="-4" w:right="340" w:firstLine="4"/>
        <w:spacing w:after="0" w:line="261" w:lineRule="auto"/>
        <w:tabs>
          <w:tab w:leader="none" w:pos="139"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cast a non-binding, advisory vote on Westwood's executive compensation.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540" w:val="left"/>
          <w:tab w:leader="none" w:pos="1400" w:val="left"/>
        </w:tabs>
        <w:rPr>
          <w:sz w:val="20"/>
          <w:szCs w:val="20"/>
          <w:color w:val="auto"/>
        </w:rPr>
      </w:pPr>
      <w:r>
        <w:rPr>
          <w:rFonts w:ascii="Times New Roman" w:cs="Times New Roman" w:eastAsia="Times New Roman" w:hAnsi="Times New Roman"/>
          <w:sz w:val="11"/>
          <w:szCs w:val="11"/>
          <w:color w:val="auto"/>
        </w:rPr>
        <w:t>FOR</w:t>
      </w:r>
      <w:r>
        <w:rPr>
          <w:sz w:val="20"/>
          <w:szCs w:val="20"/>
          <w:color w:val="auto"/>
        </w:rPr>
        <w:tab/>
      </w:r>
      <w:r>
        <w:rPr>
          <w:rFonts w:ascii="Times New Roman" w:cs="Times New Roman" w:eastAsia="Times New Roman" w:hAnsi="Times New Roman"/>
          <w:sz w:val="11"/>
          <w:szCs w:val="11"/>
          <w:color w:val="auto"/>
        </w:rPr>
        <w:t>AGAINST</w:t>
      </w:r>
      <w:r>
        <w:rPr>
          <w:sz w:val="20"/>
          <w:szCs w:val="20"/>
          <w:color w:val="auto"/>
        </w:rPr>
        <w:tab/>
      </w:r>
      <w:r>
        <w:rPr>
          <w:rFonts w:ascii="Times New Roman" w:cs="Times New Roman" w:eastAsia="Times New Roman" w:hAnsi="Times New Roman"/>
          <w:sz w:val="10"/>
          <w:szCs w:val="10"/>
          <w:color w:val="auto"/>
        </w:rPr>
        <w:t>ABSTAIN</w:t>
      </w:r>
    </w:p>
    <w:p>
      <w:pPr>
        <w:spacing w:after="0" w:line="47" w:lineRule="exact"/>
        <w:rPr>
          <w:sz w:val="20"/>
          <w:szCs w:val="20"/>
          <w:color w:val="auto"/>
        </w:rPr>
      </w:pPr>
    </w:p>
    <w:p>
      <w:pPr>
        <w:ind w:left="40"/>
        <w:spacing w:after="0"/>
        <w:tabs>
          <w:tab w:leader="none" w:pos="700" w:val="left"/>
          <w:tab w:leader="none" w:pos="156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200" w:lineRule="exact"/>
        <w:rPr>
          <w:sz w:val="20"/>
          <w:szCs w:val="20"/>
          <w:color w:val="auto"/>
        </w:rPr>
      </w:pPr>
    </w:p>
    <w:p>
      <w:pPr>
        <w:spacing w:after="0" w:line="289" w:lineRule="exact"/>
        <w:rPr>
          <w:sz w:val="20"/>
          <w:szCs w:val="20"/>
          <w:color w:val="auto"/>
        </w:rPr>
      </w:pPr>
    </w:p>
    <w:p>
      <w:pPr>
        <w:ind w:left="40"/>
        <w:spacing w:after="0"/>
        <w:tabs>
          <w:tab w:leader="none" w:pos="700" w:val="left"/>
          <w:tab w:leader="none" w:pos="156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700" w:val="left"/>
          <w:tab w:leader="none" w:pos="156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603" w:lineRule="exact"/>
        <w:rPr>
          <w:sz w:val="20"/>
          <w:szCs w:val="20"/>
          <w:color w:val="auto"/>
        </w:rPr>
      </w:pPr>
    </w:p>
    <w:p>
      <w:pPr>
        <w:sectPr>
          <w:pgSz w:w="11900" w:h="16838" w:orient="portrait"/>
          <w:cols w:equalWidth="0" w:num="3">
            <w:col w:w="4900" w:space="344"/>
            <w:col w:w="2756" w:space="400"/>
            <w:col w:w="2840"/>
          </w:cols>
          <w:pgMar w:left="340" w:top="1285" w:right="319"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4"/>
          <w:szCs w:val="14"/>
          <w:color w:val="auto"/>
        </w:rPr>
        <w:t>IN THEIR DISCRETION, THE PROXIES ARE AUTHORIZED TO VOTE UPON</w:t>
      </w:r>
    </w:p>
    <w:p>
      <w:pPr>
        <w:ind w:left="5240"/>
        <w:spacing w:after="0" w:line="226" w:lineRule="auto"/>
        <w:rPr>
          <w:sz w:val="20"/>
          <w:szCs w:val="20"/>
          <w:color w:val="auto"/>
        </w:rPr>
      </w:pPr>
      <w:r>
        <w:rPr>
          <w:rFonts w:ascii="Times New Roman" w:cs="Times New Roman" w:eastAsia="Times New Roman" w:hAnsi="Times New Roman"/>
          <w:sz w:val="14"/>
          <w:szCs w:val="14"/>
          <w:color w:val="auto"/>
        </w:rPr>
        <w:t>SUCH OTHER MATTERS AS MAY PROPERLY COME BEFORE THE ANNUAL</w:t>
      </w:r>
    </w:p>
    <w:p>
      <w:pPr>
        <w:ind w:left="5240"/>
        <w:spacing w:after="0"/>
        <w:rPr>
          <w:sz w:val="20"/>
          <w:szCs w:val="20"/>
          <w:color w:val="auto"/>
        </w:rPr>
      </w:pPr>
      <w:r>
        <w:rPr>
          <w:rFonts w:ascii="Times New Roman" w:cs="Times New Roman" w:eastAsia="Times New Roman" w:hAnsi="Times New Roman"/>
          <w:sz w:val="14"/>
          <w:szCs w:val="14"/>
          <w:color w:val="auto"/>
        </w:rPr>
        <w:t>MEETING OR ANY POSTPONEMENTS OR ADJOURNMENTS THEREOF.</w:t>
      </w:r>
    </w:p>
    <w:p>
      <w:pPr>
        <w:spacing w:after="0" w:line="3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THIS PROXY, WHEN PROPERLY EXECUTED, WILL BE VOTED IN ACCORDANCE</w:t>
      </w:r>
    </w:p>
    <w:p>
      <w:pPr>
        <w:ind w:left="5240"/>
        <w:spacing w:after="0" w:line="213" w:lineRule="auto"/>
        <w:rPr>
          <w:sz w:val="20"/>
          <w:szCs w:val="20"/>
          <w:color w:val="auto"/>
        </w:rPr>
      </w:pPr>
      <w:r>
        <w:rPr>
          <w:rFonts w:ascii="Times New Roman" w:cs="Times New Roman" w:eastAsia="Times New Roman" w:hAnsi="Times New Roman"/>
          <w:sz w:val="12"/>
          <w:szCs w:val="12"/>
          <w:b w:val="1"/>
          <w:bCs w:val="1"/>
          <w:color w:val="auto"/>
        </w:rPr>
        <w:t>WITH THE SPECIFICATIONS MADE BELOW, BUT IF NO CHOICE IS INDICATED, THIS</w:t>
      </w:r>
    </w:p>
    <w:p>
      <w:pPr>
        <w:ind w:left="5240"/>
        <w:spacing w:after="0" w:line="195" w:lineRule="auto"/>
        <w:rPr>
          <w:sz w:val="20"/>
          <w:szCs w:val="20"/>
          <w:color w:val="auto"/>
        </w:rPr>
      </w:pPr>
      <w:r>
        <w:rPr>
          <w:rFonts w:ascii="Times New Roman" w:cs="Times New Roman" w:eastAsia="Times New Roman" w:hAnsi="Times New Roman"/>
          <w:sz w:val="13"/>
          <w:szCs w:val="13"/>
          <w:b w:val="1"/>
          <w:bCs w:val="1"/>
          <w:color w:val="auto"/>
        </w:rPr>
        <w:t>PROXY WILL BE VOTED "FOR" ALL DIRECTOR NOMINEES IN PROPOSAL 1 AND</w:t>
      </w:r>
    </w:p>
    <w:p>
      <w:pPr>
        <w:ind w:left="5240"/>
        <w:spacing w:after="0" w:line="217" w:lineRule="auto"/>
        <w:rPr>
          <w:sz w:val="20"/>
          <w:szCs w:val="20"/>
          <w:color w:val="auto"/>
        </w:rPr>
      </w:pPr>
      <w:r>
        <w:rPr>
          <w:rFonts w:ascii="Times New Roman" w:cs="Times New Roman" w:eastAsia="Times New Roman" w:hAnsi="Times New Roman"/>
          <w:sz w:val="13"/>
          <w:szCs w:val="13"/>
          <w:b w:val="1"/>
          <w:bCs w:val="1"/>
          <w:color w:val="auto"/>
        </w:rPr>
        <w:t>"FOR" PROPOSALS 2, 3, AND 4, AND IN THE DISCRETION OF THE PROXIES WITH</w:t>
      </w:r>
    </w:p>
    <w:p>
      <w:pPr>
        <w:ind w:left="5240"/>
        <w:spacing w:after="0" w:line="195" w:lineRule="auto"/>
        <w:rPr>
          <w:sz w:val="20"/>
          <w:szCs w:val="20"/>
          <w:color w:val="auto"/>
        </w:rPr>
      </w:pPr>
      <w:r>
        <w:rPr>
          <w:rFonts w:ascii="Times New Roman" w:cs="Times New Roman" w:eastAsia="Times New Roman" w:hAnsi="Times New Roman"/>
          <w:sz w:val="13"/>
          <w:szCs w:val="13"/>
          <w:b w:val="1"/>
          <w:bCs w:val="1"/>
          <w:color w:val="auto"/>
        </w:rPr>
        <w:t>RESPECT TO ANY OTHER MATTER AS MAY PROPERLY COME BEFORE THE</w:t>
      </w:r>
    </w:p>
    <w:p>
      <w:pPr>
        <w:ind w:left="5240"/>
        <w:spacing w:after="0"/>
        <w:rPr>
          <w:sz w:val="20"/>
          <w:szCs w:val="20"/>
          <w:color w:val="auto"/>
        </w:rPr>
      </w:pPr>
      <w:r>
        <w:rPr>
          <w:rFonts w:ascii="Times New Roman" w:cs="Times New Roman" w:eastAsia="Times New Roman" w:hAnsi="Times New Roman"/>
          <w:sz w:val="13"/>
          <w:szCs w:val="13"/>
          <w:b w:val="1"/>
          <w:bCs w:val="1"/>
          <w:color w:val="auto"/>
        </w:rPr>
        <w:t>ANNUAL MEETING OR ANY POSTPONEMENTS OR ADJOURNMENTS THEREOF.</w:t>
      </w:r>
    </w:p>
    <w:p>
      <w:pPr>
        <w:sectPr>
          <w:pgSz w:w="11900" w:h="16838" w:orient="portrait"/>
          <w:cols w:equalWidth="0" w:num="1">
            <w:col w:w="11240"/>
          </w:cols>
          <w:pgMar w:left="340" w:top="128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of Stockholder</w:t>
      </w:r>
    </w:p>
    <w:p>
      <w:pPr>
        <w:spacing w:after="0" w:line="251"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n</w:t>
      </w:r>
    </w:p>
    <w:p>
      <w:pPr>
        <w:jc w:val="right"/>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17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84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80" w:type="dxa"/>
            <w:vAlign w:val="bottom"/>
            <w:tcBorders>
              <w:top w:val="single" w:sz="8" w:color="auto"/>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10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w:t>
            </w:r>
          </w:p>
        </w:tc>
        <w:tc>
          <w:tcPr>
            <w:tcW w:w="1080" w:type="dxa"/>
            <w:vAlign w:val="bottom"/>
            <w:vMerge w:val="restart"/>
          </w:tcPr>
          <w:p>
            <w:pPr>
              <w:ind w:left="900"/>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151"/>
        </w:trPr>
        <w:tc>
          <w:tcPr>
            <w:tcW w:w="8280" w:type="dxa"/>
            <w:vAlign w:val="bottom"/>
            <w:gridSpan w:val="6"/>
          </w:tcPr>
          <w:p>
            <w:pPr>
              <w:ind w:left="20"/>
              <w:spacing w:after="0" w:line="151" w:lineRule="exact"/>
              <w:rPr>
                <w:sz w:val="20"/>
                <w:szCs w:val="20"/>
                <w:color w:val="auto"/>
              </w:rPr>
            </w:pPr>
            <w:r>
              <w:rPr>
                <w:rFonts w:ascii="Times New Roman" w:cs="Times New Roman" w:eastAsia="Times New Roman" w:hAnsi="Times New Roman"/>
                <w:sz w:val="14"/>
                <w:szCs w:val="14"/>
                <w:color w:val="auto"/>
              </w:rPr>
              <w:t>executor, administrator, attorney, trustee or guardian, please give full title as such. If the signer is a corporation, please sign full corporate</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29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2">
        <w:col w:w="1500" w:space="380"/>
        <w:col w:w="9360"/>
      </w:cols>
      <w:pgMar w:left="340" w:top="128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x"/>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x"/>
      <w:numFmt w:val="bullet"/>
      <w:start w:val="1"/>
    </w:lvl>
  </w:abstractNum>
  <w:abstractNum w:abstractNumId="4">
    <w:nsid w:val="4F4EF00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5">
    <w:nsid w:val="23F9C13C"/>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6">
    <w:nsid w:val="649BB77C"/>
    <w:multiLevelType w:val="hybridMultilevel"/>
    <w:lvl w:ilvl="0">
      <w:lvlJc w:val="left"/>
      <w:lvlText w:val="%1:"/>
      <w:numFmt w:val="upperLetter"/>
      <w:start w:val="1"/>
    </w:lvl>
  </w:abstractNum>
  <w:abstractNum w:abstractNumId="7">
    <w:nsid w:val="275AC794"/>
    <w:multiLevelType w:val="hybridMultilevel"/>
    <w:lvl w:ilvl="0">
      <w:lvlJc w:val="left"/>
      <w:lvlText w:val="%1:"/>
      <w:numFmt w:val="upperLetter"/>
      <w:start w:val="1"/>
    </w:lvl>
    <w:lvl w:ilvl="1">
      <w:lvlJc w:val="left"/>
      <w:lvlText w:val="•"/>
      <w:numFmt w:val="bullet"/>
      <w:start w:val="1"/>
    </w:lvl>
  </w:abstractNum>
  <w:abstractNum w:abstractNumId="8">
    <w:nsid w:val="39386575"/>
    <w:multiLevelType w:val="hybridMultilevel"/>
    <w:lvl w:ilvl="0">
      <w:lvlJc w:val="left"/>
      <w:lvlText w:val="%1:"/>
      <w:numFmt w:val="upperLetter"/>
      <w:start w:val="17"/>
    </w:lvl>
  </w:abstractNum>
  <w:abstractNum w:abstractNumId="9">
    <w:nsid w:val="1CF10FD8"/>
    <w:multiLevelType w:val="hybridMultilevel"/>
    <w:lvl w:ilvl="0">
      <w:lvlJc w:val="left"/>
      <w:lvlText w:val="%1:"/>
      <w:numFmt w:val="upperLetter"/>
      <w:start w:val="1"/>
    </w:lvl>
  </w:abstractNum>
  <w:abstractNum w:abstractNumId="10">
    <w:nsid w:val="180115BE"/>
    <w:multiLevelType w:val="hybridMultilevel"/>
    <w:lvl w:ilvl="0">
      <w:lvlJc w:val="left"/>
      <w:lvlText w:val="%1:"/>
      <w:numFmt w:val="upperLetter"/>
      <w:start w:val="1"/>
    </w:lvl>
  </w:abstractNum>
  <w:abstractNum w:abstractNumId="11">
    <w:nsid w:val="235BA861"/>
    <w:multiLevelType w:val="hybridMultilevel"/>
    <w:lvl w:ilvl="0">
      <w:lvlJc w:val="left"/>
      <w:lvlText w:val="%1:"/>
      <w:numFmt w:val="upperLetter"/>
      <w:start w:val="1"/>
    </w:lvl>
  </w:abstractNum>
  <w:abstractNum w:abstractNumId="12">
    <w:nsid w:val="47398C89"/>
    <w:multiLevelType w:val="hybridMultilevel"/>
    <w:lvl w:ilvl="0">
      <w:lvlJc w:val="left"/>
      <w:lvlText w:val="%1:"/>
      <w:numFmt w:val="upperLetter"/>
      <w:start w:val="1"/>
    </w:lvl>
  </w:abstractNum>
  <w:abstractNum w:abstractNumId="13">
    <w:nsid w:val="354FE9F9"/>
    <w:multiLevelType w:val="hybridMultilevel"/>
    <w:lvl w:ilvl="0">
      <w:lvlJc w:val="left"/>
      <w:lvlText w:val="%1:"/>
      <w:numFmt w:val="upperLetter"/>
      <w:start w:val="1"/>
    </w:lvl>
  </w:abstractNum>
  <w:abstractNum w:abstractNumId="14">
    <w:nsid w:val="15B5AF5C"/>
    <w:multiLevelType w:val="hybridMultilevel"/>
    <w:lvl w:ilvl="0">
      <w:lvlJc w:val="left"/>
      <w:lvlText w:val="%1:"/>
      <w:numFmt w:val="upperLetter"/>
      <w:start w:val="1"/>
    </w:lvl>
  </w:abstractNum>
  <w:abstractNum w:abstractNumId="15">
    <w:nsid w:val="741226BB"/>
    <w:multiLevelType w:val="hybridMultilevel"/>
    <w:lvl w:ilvl="0">
      <w:lvlJc w:val="left"/>
      <w:lvlText w:val="%1:"/>
      <w:numFmt w:val="upperLetter"/>
      <w:start w:val="1"/>
    </w:lvl>
  </w:abstractNum>
  <w:abstractNum w:abstractNumId="16">
    <w:nsid w:val="D34B6A8"/>
    <w:multiLevelType w:val="hybridMultilevel"/>
    <w:lvl w:ilvl="0">
      <w:lvlJc w:val="left"/>
      <w:lvlText w:val="%1:"/>
      <w:numFmt w:val="upperLetter"/>
      <w:start w:val="17"/>
    </w:lvl>
  </w:abstractNum>
  <w:abstractNum w:abstractNumId="17">
    <w:nsid w:val="10233C99"/>
    <w:multiLevelType w:val="hybridMultilevel"/>
    <w:lvl w:ilvl="0">
      <w:lvlJc w:val="left"/>
      <w:lvlText w:val="%1:"/>
      <w:numFmt w:val="upperLetter"/>
      <w:start w:val="1"/>
    </w:lvl>
  </w:abstractNum>
  <w:abstractNum w:abstractNumId="18">
    <w:nsid w:val="3F6AB60F"/>
    <w:multiLevelType w:val="hybridMultilevel"/>
    <w:lvl w:ilvl="0">
      <w:lvlJc w:val="left"/>
      <w:lvlText w:val="%1:"/>
      <w:numFmt w:val="upperLetter"/>
      <w:start w:val="17"/>
    </w:lvl>
  </w:abstractNum>
  <w:abstractNum w:abstractNumId="19">
    <w:nsid w:val="61574095"/>
    <w:multiLevelType w:val="hybridMultilevel"/>
    <w:lvl w:ilvl="0">
      <w:lvlJc w:val="left"/>
      <w:lvlText w:val="%1:"/>
      <w:numFmt w:val="upperLetter"/>
      <w:start w:val="1"/>
    </w:lvl>
    <w:lvl w:ilvl="1">
      <w:lvlJc w:val="left"/>
      <w:lvlText w:val="•"/>
      <w:numFmt w:val="bullet"/>
      <w:start w:val="1"/>
    </w:lvl>
  </w:abstractNum>
  <w:abstractNum w:abstractNumId="20">
    <w:nsid w:val="7E0C57B1"/>
    <w:multiLevelType w:val="hybridMultilevel"/>
    <w:lvl w:ilvl="0">
      <w:lvlJc w:val="left"/>
      <w:lvlText w:val="%1:"/>
      <w:numFmt w:val="upperLetter"/>
      <w:start w:val="17"/>
    </w:lvl>
  </w:abstractNum>
  <w:abstractNum w:abstractNumId="21">
    <w:nsid w:val="77AE35EB"/>
    <w:multiLevelType w:val="hybridMultilevel"/>
    <w:lvl w:ilvl="0">
      <w:lvlJc w:val="left"/>
      <w:lvlText w:val="%1:"/>
      <w:numFmt w:val="upperLetter"/>
      <w:start w:val="1"/>
    </w:lvl>
  </w:abstractNum>
  <w:abstractNum w:abstractNumId="22">
    <w:nsid w:val="579BE4F1"/>
    <w:multiLevelType w:val="hybridMultilevel"/>
    <w:lvl w:ilvl="0">
      <w:lvlJc w:val="left"/>
      <w:lvlText w:val="%1:"/>
      <w:numFmt w:val="upperLetter"/>
      <w:start w:val="1"/>
    </w:lvl>
  </w:abstractNum>
  <w:abstractNum w:abstractNumId="23">
    <w:nsid w:val="310C50B3"/>
    <w:multiLevelType w:val="hybridMultilevel"/>
    <w:lvl w:ilvl="0">
      <w:lvlJc w:val="left"/>
      <w:lvlText w:val="%1:"/>
      <w:numFmt w:val="upperLetter"/>
      <w:start w:val="1"/>
    </w:lvl>
  </w:abstractNum>
  <w:abstractNum w:abstractNumId="24">
    <w:nsid w:val="5FF87E05"/>
    <w:multiLevelType w:val="hybridMultilevel"/>
    <w:lvl w:ilvl="0">
      <w:lvlJc w:val="left"/>
      <w:lvlText w:val="%1:"/>
      <w:numFmt w:val="upperLetter"/>
      <w:start w:val="1"/>
    </w:lvl>
  </w:abstractNum>
  <w:abstractNum w:abstractNumId="25">
    <w:nsid w:val="2F305DEF"/>
    <w:multiLevelType w:val="hybridMultilevel"/>
    <w:lvl w:ilvl="0">
      <w:lvlJc w:val="left"/>
      <w:lvlText w:val="%1:"/>
      <w:numFmt w:val="upperLetter"/>
      <w:start w:val="1"/>
    </w:lvl>
  </w:abstractNum>
  <w:abstractNum w:abstractNumId="26">
    <w:nsid w:val="25A70BF7"/>
    <w:multiLevelType w:val="hybridMultilevel"/>
    <w:lvl w:ilvl="0">
      <w:lvlJc w:val="left"/>
      <w:lvlText w:val="M"/>
      <w:numFmt w:val="bullet"/>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decimal"/>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1)"/>
      <w:numFmt w:val="lowerRoman"/>
      <w:start w:val="7"/>
    </w:lvl>
  </w:abstractNum>
  <w:abstractNum w:abstractNumId="32">
    <w:nsid w:val="100F8FCA"/>
    <w:multiLevelType w:val="hybridMultilevel"/>
    <w:lvl w:ilvl="0">
      <w:lvlJc w:val="left"/>
      <w:lvlText w:val="(%1)"/>
      <w:numFmt w:val="decimal"/>
      <w:start w:val="1"/>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decimal"/>
      <w:start w:val="2"/>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upperLetter"/>
      <w:start w:val="2"/>
    </w:lvl>
  </w:abstractNum>
  <w:abstractNum w:abstractNumId="56">
    <w:nsid w:val="4962813B"/>
    <w:multiLevelType w:val="hybridMultilevel"/>
    <w:lvl w:ilvl="0">
      <w:lvlJc w:val="left"/>
      <w:lvlText w:val="(%1)"/>
      <w:numFmt w:val="lowerRoman"/>
      <w:start w:val="1"/>
    </w:lvl>
  </w:abstractNum>
  <w:abstractNum w:abstractNumId="57">
    <w:nsid w:val="60B6DF70"/>
    <w:multiLevelType w:val="hybridMultilevel"/>
    <w:lvl w:ilvl="0">
      <w:lvlJc w:val="left"/>
      <w:lvlText w:val="(%1)"/>
      <w:numFmt w:val="lowerRoman"/>
      <w:start w:val="7"/>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3">
    <w:nsid w:val="100F59DC"/>
    <w:multiLevelType w:val="hybridMultilevel"/>
    <w:lvl w:ilvl="0">
      <w:lvlJc w:val="left"/>
      <w:lvlText w:val="%1."/>
      <w:numFmt w:val="lowerLetter"/>
      <w:start w:val="8"/>
    </w:lvl>
    <w:lvl w:ilvl="1">
      <w:lvlJc w:val="left"/>
      <w:lvlText w:val="%2."/>
      <w:numFmt w:val="lowerRoman"/>
      <w:start w:val="1"/>
    </w:lvl>
  </w:abstractNum>
  <w:abstractNum w:abstractNumId="64">
    <w:nsid w:val="7FB7E0AA"/>
    <w:multiLevelType w:val="hybridMultilevel"/>
    <w:lvl w:ilvl="0">
      <w:lvlJc w:val="left"/>
      <w:lvlText w:val="%1."/>
      <w:numFmt w:val="lowerLetter"/>
      <w:start w:val="19"/>
    </w:lvl>
  </w:abstractNum>
  <w:abstractNum w:abstractNumId="65">
    <w:nsid w:val="6EB5BD4"/>
    <w:multiLevelType w:val="hybridMultilevel"/>
    <w:lvl w:ilvl="0">
      <w:lvlJc w:val="left"/>
      <w:lvlText w:val="%1."/>
      <w:numFmt w:val="lowerLetter"/>
      <w:start w:val="27"/>
    </w:lvl>
  </w:abstractNum>
  <w:abstractNum w:abstractNumId="66">
    <w:nsid w:val="6F6DD9AC"/>
    <w:multiLevelType w:val="hybridMultilevel"/>
    <w:lvl w:ilvl="0">
      <w:lvlJc w:val="left"/>
      <w:lvlText w:val="%1"/>
      <w:numFmt w:val="decimal"/>
      <w:start w:val="1"/>
    </w:lvl>
    <w:lvl w:ilvl="1">
      <w:lvlJc w:val="left"/>
      <w:lvlText w:val="%2."/>
      <w:numFmt w:val="decimal"/>
      <w:start w:val="2"/>
    </w:lvl>
  </w:abstractNum>
  <w:abstractNum w:abstractNumId="67">
    <w:nsid w:val="94211F2"/>
    <w:multiLevelType w:val="hybridMultilevel"/>
    <w:lvl w:ilvl="0">
      <w:lvlJc w:val="left"/>
      <w:lvlText w:val="%1."/>
      <w:numFmt w:val="decimal"/>
      <w:start w:val="3"/>
    </w:lvl>
    <w:lvl w:ilvl="1">
      <w:lvlJc w:val="left"/>
      <w:lvlText w:val="%2."/>
      <w:numFmt w:val="decimal"/>
      <w:start w:val="1"/>
    </w:lvl>
  </w:abstractNum>
  <w:abstractNum w:abstractNumId="68">
    <w:nsid w:val="885E1B"/>
    <w:multiLevelType w:val="hybridMultilevel"/>
    <w:lvl w:ilvl="0">
      <w:lvlJc w:val="left"/>
      <w:lvlText w:val="%1."/>
      <w:numFmt w:val="decimal"/>
      <w:start w:val="3"/>
    </w:lvl>
    <w:lvl w:ilvl="1">
      <w:lvlJc w:val="left"/>
      <w:lvlText w:val="%2."/>
      <w:numFmt w:val="lowerLetter"/>
      <w:start w:val="1"/>
    </w:lvl>
  </w:abstractNum>
  <w:abstractNum w:abstractNumId="69">
    <w:nsid w:val="76272110"/>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70">
    <w:nsid w:val="4C04A8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1">
    <w:nsid w:val="1716703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2">
    <w:nsid w:val="14E17E33"/>
    <w:multiLevelType w:val="hybridMultilevel"/>
    <w:lvl w:ilvl="0">
      <w:lvlJc w:val="left"/>
      <w:lvlText w:val="%1."/>
      <w:numFmt w:val="decimal"/>
      <w:start w:val="1"/>
    </w:lvl>
  </w:abstractNum>
  <w:abstractNum w:abstractNumId="73">
    <w:nsid w:val="3222E7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4">
    <w:nsid w:val="74DE0E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75">
    <w:nsid w:val="68EBC55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6">
    <w:nsid w:val="2DF6D648"/>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77">
    <w:nsid w:val="46B7D447"/>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8">
    <w:nsid w:val="4A2AC315"/>
    <w:multiLevelType w:val="hybridMultilevel"/>
    <w:lvl w:ilvl="0">
      <w:lvlJc w:val="left"/>
      <w:lvlText w:val="%1."/>
      <w:numFmt w:val="lowerLetter"/>
      <w:start w:val="3"/>
    </w:lvl>
  </w:abstractNum>
  <w:abstractNum w:abstractNumId="79">
    <w:nsid w:val="39EE015C"/>
    <w:multiLevelType w:val="hybridMultilevel"/>
    <w:lvl w:ilvl="0">
      <w:lvlJc w:val="left"/>
      <w:lvlText w:val="%1."/>
      <w:numFmt w:val="decimal"/>
      <w:start w:val="8"/>
    </w:lvl>
  </w:abstractNum>
  <w:abstractNum w:abstractNumId="80">
    <w:nsid w:val="57FC4FBB"/>
    <w:multiLevelType w:val="hybridMultilevel"/>
    <w:lvl w:ilvl="0">
      <w:lvlJc w:val="left"/>
      <w:lvlText w:val="(%1)"/>
      <w:numFmt w:val="lowerLetter"/>
      <w:start w:val="2"/>
    </w:lvl>
  </w:abstractNum>
  <w:abstractNum w:abstractNumId="81">
    <w:nsid w:val="CC1016F"/>
    <w:multiLevelType w:val="hybridMultilevel"/>
    <w:lvl w:ilvl="0">
      <w:lvlJc w:val="left"/>
      <w:lvlText w:val="%1."/>
      <w:numFmt w:val="decimal"/>
      <w:start w:val="9"/>
    </w:lvl>
    <w:lvl w:ilvl="1">
      <w:lvlJc w:val="left"/>
      <w:lvlText w:val="%2."/>
      <w:numFmt w:val="decimal"/>
      <w:start w:val="1"/>
    </w:lvl>
  </w:abstractNum>
  <w:abstractNum w:abstractNumId="82">
    <w:nsid w:val="43F18422"/>
    <w:multiLevelType w:val="hybridMultilevel"/>
    <w:lvl w:ilvl="0">
      <w:lvlJc w:val="left"/>
      <w:lvlText w:val="%1"/>
      <w:numFmt w:val="decimal"/>
      <w:start w:val="1"/>
    </w:lvl>
    <w:lvl w:ilvl="1">
      <w:lvlJc w:val="left"/>
      <w:lvlText w:val="%2."/>
      <w:numFmt w:val="decimal"/>
      <w:start w:val="3"/>
    </w:lvl>
  </w:abstractNum>
  <w:abstractNum w:abstractNumId="83">
    <w:nsid w:val="60EF0119"/>
    <w:multiLevelType w:val="hybridMultilevel"/>
    <w:lvl w:ilvl="0">
      <w:lvlJc w:val="left"/>
      <w:lvlText w:val="%1."/>
      <w:numFmt w:val="decimal"/>
      <w:start w:val="10"/>
    </w:lvl>
    <w:lvl w:ilvl="1">
      <w:lvlJc w:val="left"/>
      <w:lvlText w:val="%2"/>
      <w:numFmt w:val="decimal"/>
      <w:start w:val="1"/>
    </w:lvl>
  </w:abstractNum>
  <w:abstractNum w:abstractNumId="84">
    <w:nsid w:val="26F324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5">
    <w:nsid w:val="7F01579B"/>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86">
    <w:nsid w:val="49DA307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7">
    <w:nsid w:val="7055A5F5"/>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88">
    <w:nsid w:val="5FB8370B"/>
    <w:multiLevelType w:val="hybridMultilevel"/>
    <w:lvl w:ilvl="0">
      <w:lvlJc w:val="left"/>
      <w:lvlText w:val="%1."/>
      <w:numFmt w:val="lowerLetter"/>
      <w:start w:val="17"/>
    </w:lvl>
  </w:abstractNum>
  <w:abstractNum w:abstractNumId="89">
    <w:nsid w:val="50801EE1"/>
    <w:multiLevelType w:val="hybridMultilevel"/>
    <w:lvl w:ilvl="0">
      <w:lvlJc w:val="left"/>
      <w:lvlText w:val="%1"/>
      <w:numFmt w:val="decimal"/>
      <w:start w:val="1"/>
    </w:lvl>
    <w:lvl w:ilvl="1">
      <w:lvlJc w:val="left"/>
      <w:lvlText w:val="%2."/>
      <w:numFmt w:val="decimal"/>
      <w:start w:val="3"/>
    </w:lvl>
  </w:abstractNum>
  <w:abstractNum w:abstractNumId="90">
    <w:nsid w:val="488AC1A"/>
    <w:multiLevelType w:val="hybridMultilevel"/>
    <w:lvl w:ilvl="0">
      <w:lvlJc w:val="left"/>
      <w:lvlText w:val="%1."/>
      <w:numFmt w:val="decimal"/>
      <w:start w:val="13"/>
    </w:lvl>
    <w:lvl w:ilvl="1">
      <w:lvlJc w:val="left"/>
      <w:lvlText w:val="%2."/>
      <w:numFmt w:val="decimal"/>
      <w:start w:val="1"/>
    </w:lvl>
  </w:abstractNum>
  <w:abstractNum w:abstractNumId="91">
    <w:nsid w:val="5FB8011C"/>
    <w:multiLevelType w:val="hybridMultilevel"/>
    <w:lvl w:ilvl="0">
      <w:lvlJc w:val="left"/>
      <w:lvlText w:val="%1."/>
      <w:numFmt w:val="decimal"/>
      <w:start w:val="15"/>
    </w:lvl>
  </w:abstractNum>
  <w:abstractNum w:abstractNumId="92">
    <w:nsid w:val="6AA78F7F"/>
    <w:multiLevelType w:val="hybridMultilevel"/>
    <w:lvl w:ilvl="0">
      <w:lvlJc w:val="left"/>
      <w:lvlText w:val="%1."/>
      <w:numFmt w:val="decimal"/>
      <w:start w:val="16"/>
    </w:lvl>
    <w:lvl w:ilvl="1">
      <w:lvlJc w:val="left"/>
      <w:lvlText w:val="%2."/>
      <w:numFmt w:val="decimal"/>
      <w:start w:val="1"/>
    </w:lvl>
  </w:abstractNum>
  <w:abstractNum w:abstractNumId="93">
    <w:nsid w:val="7672BD2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4">
    <w:nsid w:val="6FC75AF8"/>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95">
    <w:nsid w:val="6A5F7029"/>
    <w:multiLevelType w:val="hybridMultilevel"/>
    <w:lvl w:ilvl="0">
      <w:lvlJc w:val="left"/>
      <w:lvlText w:val="%1."/>
      <w:numFmt w:val="decimal"/>
      <w:start w:val="18"/>
    </w:lvl>
  </w:abstractNum>
  <w:abstractNum w:abstractNumId="96">
    <w:nsid w:val="7D5E18F8"/>
    <w:multiLevelType w:val="hybridMultilevel"/>
    <w:lvl w:ilvl="0">
      <w:lvlJc w:val="left"/>
      <w:lvlText w:val="%1."/>
      <w:numFmt w:val="decimal"/>
      <w:start w:val="19"/>
    </w:lvl>
  </w:abstractNum>
  <w:abstractNum w:abstractNumId="97">
    <w:nsid w:val="5F3534A4"/>
    <w:multiLevelType w:val="hybridMultilevel"/>
    <w:lvl w:ilvl="0">
      <w:lvlJc w:val="left"/>
      <w:lvlText w:val="%1."/>
      <w:numFmt w:val="decimal"/>
      <w:start w:val="20"/>
    </w:lvl>
  </w:abstractNum>
  <w:abstractNum w:abstractNumId="98">
    <w:nsid w:val="73A1821B"/>
    <w:multiLevelType w:val="hybridMultilevel"/>
    <w:lvl w:ilvl="0">
      <w:lvlJc w:val="left"/>
      <w:lvlText w:val="%1."/>
      <w:numFmt w:val="decimal"/>
      <w:start w:val="21"/>
    </w:lvl>
  </w:abstractNum>
  <w:abstractNum w:abstractNumId="99">
    <w:nsid w:val="7DE67713"/>
    <w:multiLevelType w:val="hybridMultilevel"/>
    <w:lvl w:ilvl="0">
      <w:lvlJc w:val="left"/>
      <w:lvlText w:val="%1."/>
      <w:numFmt w:val="decimal"/>
      <w:start w:val="22"/>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lowerLetter"/>
      <w:start w:val="3"/>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2025-03-12T16:45:14Z</dcterms:created>
  <dcterms:modified xsi:type="dcterms:W3CDTF">2025-03-12T16:45:14Z</dcterms:modified>
</cp:coreProperties>
</file>