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12" w:lineRule="exact"/>
        <w:rPr>
          <w:sz w:val="24"/>
          <w:szCs w:val="24"/>
          <w:color w:val="auto"/>
        </w:rPr>
      </w:pPr>
    </w:p>
    <w:p>
      <w:pPr>
        <w:ind w:left="500" w:hanging="357"/>
        <w:spacing w:after="0"/>
        <w:tabs>
          <w:tab w:leader="none" w:pos="500" w:val="left"/>
        </w:tabs>
        <w:numPr>
          <w:ilvl w:val="0"/>
          <w:numId w:val="1"/>
        </w:numPr>
        <w:rPr>
          <w:rFonts w:ascii="MS PGothic" w:cs="MS PGothic" w:eastAsia="MS PGothic" w:hAnsi="MS PGothic"/>
          <w:sz w:val="43"/>
          <w:szCs w:val="43"/>
          <w:color w:val="auto"/>
          <w:vertAlign w:val="superscript"/>
        </w:rPr>
      </w:pPr>
      <w:r>
        <w:rPr>
          <w:rFonts w:ascii="Arial" w:cs="Arial" w:eastAsia="Arial" w:hAnsi="Arial"/>
          <w:sz w:val="22"/>
          <w:szCs w:val="22"/>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1-31234</w:t>
      </w:r>
    </w:p>
    <w:p>
      <w:pPr>
        <w:spacing w:after="0" w:line="2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64"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560" w:type="dxa"/>
            <w:vAlign w:val="bottom"/>
          </w:tcPr>
          <w:p>
            <w:pPr>
              <w:jc w:val="center"/>
              <w:ind w:right="37"/>
              <w:spacing w:after="0"/>
              <w:rPr>
                <w:sz w:val="20"/>
                <w:szCs w:val="20"/>
                <w:color w:val="auto"/>
              </w:rPr>
            </w:pPr>
            <w:r>
              <w:rPr>
                <w:rFonts w:ascii="Arial" w:cs="Arial" w:eastAsia="Arial" w:hAnsi="Arial"/>
                <w:sz w:val="18"/>
                <w:szCs w:val="18"/>
                <w:b w:val="1"/>
                <w:bCs w:val="1"/>
                <w:color w:val="auto"/>
                <w:w w:val="91"/>
              </w:rPr>
              <w:t>Delaware</w:t>
            </w:r>
          </w:p>
        </w:tc>
        <w:tc>
          <w:tcPr>
            <w:tcW w:w="616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218"/>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160" w:type="dxa"/>
            <w:vAlign w:val="bottom"/>
          </w:tcPr>
          <w:p>
            <w:pPr>
              <w:jc w:val="center"/>
              <w:ind w:left="4099"/>
              <w:spacing w:after="0"/>
              <w:rPr>
                <w:sz w:val="20"/>
                <w:szCs w:val="20"/>
                <w:color w:val="auto"/>
              </w:rPr>
            </w:pPr>
            <w:r>
              <w:rPr>
                <w:rFonts w:ascii="Arial" w:cs="Arial" w:eastAsia="Arial" w:hAnsi="Arial"/>
                <w:sz w:val="14"/>
                <w:szCs w:val="14"/>
                <w:color w:val="auto"/>
                <w:w w:val="97"/>
              </w:rPr>
              <w:t>(IRS Employer Identification No.)</w:t>
            </w:r>
          </w:p>
        </w:tc>
      </w:tr>
      <w:tr>
        <w:trPr>
          <w:trHeight w:val="566"/>
        </w:trPr>
        <w:tc>
          <w:tcPr>
            <w:tcW w:w="3560" w:type="dxa"/>
            <w:vAlign w:val="bottom"/>
          </w:tcPr>
          <w:p>
            <w:pPr>
              <w:jc w:val="center"/>
              <w:ind w:right="37"/>
              <w:spacing w:after="0"/>
              <w:rPr>
                <w:sz w:val="20"/>
                <w:szCs w:val="20"/>
                <w:color w:val="auto"/>
              </w:rPr>
            </w:pPr>
            <w:r>
              <w:rPr>
                <w:rFonts w:ascii="Arial" w:cs="Arial" w:eastAsia="Arial" w:hAnsi="Arial"/>
                <w:sz w:val="18"/>
                <w:szCs w:val="18"/>
                <w:b w:val="1"/>
                <w:bCs w:val="1"/>
                <w:color w:val="auto"/>
                <w:w w:val="96"/>
              </w:rPr>
              <w:t>200 CRESCENT COURT, SUITE 1200</w:t>
            </w:r>
          </w:p>
        </w:tc>
        <w:tc>
          <w:tcPr>
            <w:tcW w:w="6160" w:type="dxa"/>
            <w:vAlign w:val="bottom"/>
          </w:tcPr>
          <w:p>
            <w:pPr>
              <w:spacing w:after="0"/>
              <w:rPr>
                <w:sz w:val="24"/>
                <w:szCs w:val="24"/>
                <w:color w:val="auto"/>
              </w:rPr>
            </w:pPr>
          </w:p>
        </w:tc>
      </w:tr>
      <w:tr>
        <w:trPr>
          <w:trHeight w:val="270"/>
        </w:trPr>
        <w:tc>
          <w:tcPr>
            <w:tcW w:w="3560" w:type="dxa"/>
            <w:vAlign w:val="bottom"/>
          </w:tcPr>
          <w:p>
            <w:pPr>
              <w:ind w:left="980"/>
              <w:spacing w:after="0"/>
              <w:rPr>
                <w:sz w:val="20"/>
                <w:szCs w:val="20"/>
                <w:color w:val="auto"/>
              </w:rPr>
            </w:pPr>
            <w:r>
              <w:rPr>
                <w:rFonts w:ascii="Arial" w:cs="Arial" w:eastAsia="Arial" w:hAnsi="Arial"/>
                <w:sz w:val="18"/>
                <w:szCs w:val="18"/>
                <w:b w:val="1"/>
                <w:bCs w:val="1"/>
                <w:color w:val="auto"/>
              </w:rPr>
              <w:t>DALLAS, Texas</w:t>
            </w:r>
          </w:p>
        </w:tc>
        <w:tc>
          <w:tcPr>
            <w:tcW w:w="6160" w:type="dxa"/>
            <w:vAlign w:val="bottom"/>
          </w:tcPr>
          <w:p>
            <w:pPr>
              <w:jc w:val="right"/>
              <w:ind w:right="679"/>
              <w:spacing w:after="0"/>
              <w:rPr>
                <w:sz w:val="20"/>
                <w:szCs w:val="20"/>
                <w:color w:val="auto"/>
              </w:rPr>
            </w:pPr>
            <w:r>
              <w:rPr>
                <w:rFonts w:ascii="Arial" w:cs="Arial" w:eastAsia="Arial" w:hAnsi="Arial"/>
                <w:sz w:val="18"/>
                <w:szCs w:val="18"/>
                <w:b w:val="1"/>
                <w:bCs w:val="1"/>
                <w:color w:val="auto"/>
              </w:rPr>
              <w:t>75201</w:t>
            </w:r>
          </w:p>
        </w:tc>
      </w:tr>
      <w:tr>
        <w:trPr>
          <w:trHeight w:val="218"/>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6"/>
              </w:rPr>
              <w:t>(Address of principal executive office)</w:t>
            </w:r>
          </w:p>
        </w:tc>
        <w:tc>
          <w:tcPr>
            <w:tcW w:w="6160" w:type="dxa"/>
            <w:vAlign w:val="bottom"/>
          </w:tcPr>
          <w:p>
            <w:pPr>
              <w:jc w:val="center"/>
              <w:ind w:left="4119"/>
              <w:spacing w:after="0"/>
              <w:rPr>
                <w:sz w:val="20"/>
                <w:szCs w:val="20"/>
                <w:color w:val="auto"/>
              </w:rPr>
            </w:pPr>
            <w:r>
              <w:rPr>
                <w:rFonts w:ascii="Arial" w:cs="Arial" w:eastAsia="Arial" w:hAnsi="Arial"/>
                <w:sz w:val="14"/>
                <w:szCs w:val="14"/>
                <w:color w:val="auto"/>
                <w:w w:val="96"/>
              </w:rPr>
              <w:t>(Zip Code)</w:t>
            </w:r>
          </w:p>
        </w:tc>
      </w:tr>
      <w:tr>
        <w:trPr>
          <w:trHeight w:val="331"/>
        </w:trPr>
        <w:tc>
          <w:tcPr>
            <w:tcW w:w="3560" w:type="dxa"/>
            <w:vAlign w:val="bottom"/>
          </w:tcPr>
          <w:p>
            <w:pPr>
              <w:spacing w:after="0"/>
              <w:rPr>
                <w:sz w:val="24"/>
                <w:szCs w:val="24"/>
                <w:color w:val="auto"/>
              </w:rPr>
            </w:pPr>
          </w:p>
        </w:tc>
        <w:tc>
          <w:tcPr>
            <w:tcW w:w="6160" w:type="dxa"/>
            <w:vAlign w:val="bottom"/>
          </w:tcPr>
          <w:p>
            <w:pPr>
              <w:jc w:val="right"/>
              <w:ind w:right="387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160" w:type="dxa"/>
            <w:vAlign w:val="bottom"/>
          </w:tcPr>
          <w:p>
            <w:pPr>
              <w:jc w:val="center"/>
              <w:ind w:right="279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3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2" w:lineRule="exact"/>
        <w:rPr>
          <w:sz w:val="24"/>
          <w:szCs w:val="24"/>
          <w:color w:val="auto"/>
        </w:rPr>
      </w:pPr>
    </w:p>
    <w:tbl>
      <w:tblPr>
        <w:tblLayout w:type="fixed"/>
        <w:tblInd w:w="620" w:type="dxa"/>
        <w:tblCellMar>
          <w:top w:w="0" w:type="dxa"/>
          <w:left w:w="0" w:type="dxa"/>
          <w:bottom w:w="0" w:type="dxa"/>
          <w:right w:w="0" w:type="dxa"/>
        </w:tblCellMar>
      </w:tblPr>
      <w:tr>
        <w:trPr>
          <w:trHeight w:val="206"/>
        </w:trPr>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60" w:type="dxa"/>
            <w:vAlign w:val="bottom"/>
            <w:gridSpan w:val="3"/>
          </w:tcPr>
          <w:p>
            <w:pPr>
              <w:jc w:val="center"/>
              <w:ind w:right="2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17"/>
        </w:trPr>
        <w:tc>
          <w:tcPr>
            <w:tcW w:w="8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1000" w:type="dxa"/>
            <w:vAlign w:val="bottom"/>
          </w:tcPr>
          <w:p>
            <w:pPr>
              <w:spacing w:after="0"/>
              <w:rPr>
                <w:sz w:val="24"/>
                <w:szCs w:val="24"/>
                <w:color w:val="auto"/>
              </w:rPr>
            </w:pPr>
          </w:p>
        </w:tc>
        <w:tc>
          <w:tcPr>
            <w:tcW w:w="3960" w:type="dxa"/>
            <w:vAlign w:val="bottom"/>
            <w:gridSpan w:val="3"/>
          </w:tcPr>
          <w:p>
            <w:pPr>
              <w:jc w:val="center"/>
              <w:spacing w:after="0"/>
              <w:rPr>
                <w:sz w:val="20"/>
                <w:szCs w:val="20"/>
                <w:color w:val="auto"/>
              </w:rPr>
            </w:pPr>
            <w:r>
              <w:rPr>
                <w:rFonts w:ascii="Arial" w:cs="Arial" w:eastAsia="Arial" w:hAnsi="Arial"/>
                <w:sz w:val="16"/>
                <w:szCs w:val="16"/>
                <w:color w:val="auto"/>
                <w:w w:val="92"/>
              </w:rPr>
              <w:t>Trading Symbol</w:t>
            </w:r>
          </w:p>
        </w:tc>
        <w:tc>
          <w:tcPr>
            <w:tcW w:w="3120" w:type="dxa"/>
            <w:vAlign w:val="bottom"/>
            <w:gridSpan w:val="2"/>
          </w:tcPr>
          <w:p>
            <w:pPr>
              <w:jc w:val="center"/>
              <w:ind w:left="1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91"/>
        </w:trPr>
        <w:tc>
          <w:tcPr>
            <w:tcW w:w="31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1460" w:type="dxa"/>
            <w:vAlign w:val="bottom"/>
          </w:tcPr>
          <w:p>
            <w:pPr>
              <w:spacing w:after="0"/>
              <w:rPr>
                <w:sz w:val="24"/>
                <w:szCs w:val="24"/>
                <w:color w:val="auto"/>
              </w:rPr>
            </w:pPr>
          </w:p>
        </w:tc>
        <w:tc>
          <w:tcPr>
            <w:tcW w:w="2500" w:type="dxa"/>
            <w:vAlign w:val="bottom"/>
            <w:gridSpan w:val="2"/>
          </w:tcPr>
          <w:p>
            <w:pPr>
              <w:jc w:val="center"/>
              <w:ind w:right="1460"/>
              <w:spacing w:after="0"/>
              <w:rPr>
                <w:sz w:val="20"/>
                <w:szCs w:val="20"/>
                <w:color w:val="auto"/>
              </w:rPr>
            </w:pPr>
            <w:r>
              <w:rPr>
                <w:rFonts w:ascii="Arial" w:cs="Arial" w:eastAsia="Arial" w:hAnsi="Arial"/>
                <w:sz w:val="18"/>
                <w:szCs w:val="18"/>
                <w:color w:val="auto"/>
                <w:w w:val="99"/>
              </w:rPr>
              <w:t>WHG</w:t>
            </w: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9" w:lineRule="exact"/>
        <w:rPr>
          <w:sz w:val="24"/>
          <w:szCs w:val="24"/>
          <w:color w:val="auto"/>
        </w:rPr>
      </w:pPr>
    </w:p>
    <w:p>
      <w:pPr>
        <w:spacing w:after="0" w:line="31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27" w:lineRule="exact"/>
        <w:rPr>
          <w:sz w:val="24"/>
          <w:szCs w:val="24"/>
          <w:color w:val="auto"/>
        </w:rPr>
      </w:pPr>
    </w:p>
    <w:p>
      <w:pPr>
        <w:ind w:right="400"/>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right="10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180"/>
              <w:spacing w:after="0"/>
              <w:rPr>
                <w:sz w:val="20"/>
                <w:szCs w:val="20"/>
                <w:color w:val="auto"/>
              </w:rPr>
            </w:pPr>
            <w:r>
              <w:rPr>
                <w:rFonts w:ascii="Arial" w:cs="Arial" w:eastAsia="Arial" w:hAnsi="Arial"/>
                <w:sz w:val="16"/>
                <w:szCs w:val="16"/>
                <w:color w:val="auto"/>
              </w:rPr>
              <w:t>Large accelerated filer</w:t>
            </w:r>
          </w:p>
        </w:tc>
        <w:tc>
          <w:tcPr>
            <w:tcW w:w="56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206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56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2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98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7"/>
        </w:trPr>
        <w:tc>
          <w:tcPr>
            <w:tcW w:w="10660" w:type="dxa"/>
            <w:vAlign w:val="bottom"/>
            <w:gridSpan w:val="3"/>
          </w:tcPr>
          <w:p>
            <w:pPr>
              <w:ind w:left="180"/>
              <w:spacing w:after="0"/>
              <w:rPr>
                <w:sz w:val="20"/>
                <w:szCs w:val="20"/>
                <w:color w:val="auto"/>
              </w:rPr>
            </w:pPr>
            <w:r>
              <w:rPr>
                <w:rFonts w:ascii="Arial" w:cs="Arial" w:eastAsia="Arial" w:hAnsi="Arial"/>
                <w:sz w:val="16"/>
                <w:szCs w:val="16"/>
                <w:color w:val="auto"/>
                <w:w w:val="95"/>
              </w:rPr>
              <w:t>If an emerging growth company, indicate by check mark if the registrant has elected not to use the extended transition period for complying with any new or</w:t>
            </w:r>
          </w:p>
        </w:tc>
        <w:tc>
          <w:tcPr>
            <w:tcW w:w="4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2"/>
        </w:trPr>
        <w:tc>
          <w:tcPr>
            <w:tcW w:w="7680" w:type="dxa"/>
            <w:vAlign w:val="bottom"/>
            <w:gridSpan w:val="2"/>
          </w:tcPr>
          <w:p>
            <w:pPr>
              <w:ind w:left="180"/>
              <w:spacing w:after="0"/>
              <w:rPr>
                <w:sz w:val="20"/>
                <w:szCs w:val="20"/>
                <w:color w:val="auto"/>
              </w:rPr>
            </w:pPr>
            <w:r>
              <w:rPr>
                <w:rFonts w:ascii="Arial" w:cs="Arial" w:eastAsia="Arial" w:hAnsi="Arial"/>
                <w:sz w:val="16"/>
                <w:szCs w:val="16"/>
                <w:color w:val="auto"/>
              </w:rPr>
              <w:t>revised accounting standards provided pursuant to Section 13(a) of the Exchange Act.</w:t>
            </w:r>
          </w:p>
        </w:tc>
        <w:tc>
          <w:tcPr>
            <w:tcW w:w="298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80" w:type="dxa"/>
            <w:vAlign w:val="bottom"/>
            <w:gridSpan w:val="2"/>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 Yes</w:t>
            </w:r>
          </w:p>
        </w:tc>
        <w:tc>
          <w:tcPr>
            <w:tcW w:w="29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par value $0.01 per share, outstanding as of October 25, 2019: 8,863,674.</w:t>
      </w:r>
    </w:p>
    <w:p>
      <w:pPr>
        <w:spacing w:after="0" w:line="1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ectPr>
          <w:pgSz w:w="11900" w:h="16838" w:orient="portrait"/>
          <w:cols w:equalWidth="0" w:num="1">
            <w:col w:w="11240"/>
          </w:cols>
          <w:pgMar w:left="240" w:top="233" w:right="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gridSpan w:val="2"/>
          </w:tcPr>
          <w:p>
            <w:pPr>
              <w:spacing w:after="0"/>
              <w:rPr>
                <w:sz w:val="20"/>
                <w:szCs w:val="20"/>
                <w:color w:val="auto"/>
              </w:rPr>
            </w:pPr>
            <w:r>
              <w:rPr>
                <w:rFonts w:ascii="Arial" w:cs="Arial" w:eastAsia="Arial" w:hAnsi="Arial"/>
                <w:sz w:val="16"/>
                <w:szCs w:val="16"/>
                <w:color w:val="auto"/>
              </w:rPr>
              <w:t>PART I</w:t>
            </w:r>
          </w:p>
        </w:tc>
        <w:tc>
          <w:tcPr>
            <w:tcW w:w="918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PAGE</w:t>
            </w:r>
          </w:p>
        </w:tc>
      </w:tr>
      <w:tr>
        <w:trPr>
          <w:trHeight w:val="43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18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14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Borders>
              <w:bottom w:val="single" w:sz="8" w:color="0000EE"/>
            </w:tcBorders>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Condensed Consolidated Balance Sheets as of September 30, 2019 and December 31, 2018</w:t>
              </w:r>
            </w:hyperlink>
          </w:p>
        </w:tc>
        <w:tc>
          <w:tcPr>
            <w:tcW w:w="3260" w:type="dxa"/>
            <w:vAlign w:val="bottom"/>
            <w:gridSpan w:val="4"/>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Condensed Consolidated Statements of Comprehensive Income for the Three and Nine Months Ended September 30, 2019 and 2018</w:t>
              </w:r>
            </w:hyperlink>
          </w:p>
        </w:tc>
        <w:tc>
          <w:tcPr>
            <w:tcW w:w="114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tcBorders>
              <w:top w:val="single" w:sz="8" w:color="0000EE"/>
              <w:bottom w:val="single" w:sz="8" w:color="0000EE"/>
            </w:tcBorders>
            <w:gridSpan w:val="12"/>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Condensed Consolidated Statement of Stockholders’ Equity for the Three and Nine Months Ended September 30, 2019 and 2018</w:t>
              </w:r>
            </w:hyperlink>
          </w:p>
        </w:tc>
        <w:tc>
          <w:tcPr>
            <w:tcW w:w="2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Condensed Consolidated Statements of Cash Flows for the Nine Months Ended September 30, 2019 and 2018</w:t>
              </w:r>
            </w:hyperlink>
          </w:p>
        </w:tc>
        <w:tc>
          <w:tcPr>
            <w:tcW w:w="2040" w:type="dxa"/>
            <w:vAlign w:val="bottom"/>
            <w:gridSpan w:val="3"/>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Notes to Condensed Consolidated Financial Statements</w:t>
              </w:r>
            </w:hyperlink>
          </w:p>
        </w:tc>
        <w:tc>
          <w:tcPr>
            <w:tcW w:w="5580" w:type="dxa"/>
            <w:vAlign w:val="bottom"/>
            <w:gridSpan w:val="8"/>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6</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25">
              <w:r>
                <w:rPr>
                  <w:rFonts w:ascii="Arial" w:cs="Arial" w:eastAsia="Arial" w:hAnsi="Arial"/>
                  <w:sz w:val="16"/>
                  <w:szCs w:val="16"/>
                  <w:color w:val="0000EE"/>
                  <w:w w:val="92"/>
                </w:rPr>
                <w:t>Management’s Discussion and Analysis of Financial Condition and Results of Operations</w:t>
              </w:r>
            </w:hyperlink>
          </w:p>
        </w:tc>
        <w:tc>
          <w:tcPr>
            <w:tcW w:w="3360" w:type="dxa"/>
            <w:vAlign w:val="bottom"/>
            <w:gridSpan w:val="5"/>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EE"/>
            </w:tcBorders>
            <w:gridSpan w:val="8"/>
          </w:tcPr>
          <w:p>
            <w:pPr>
              <w:spacing w:after="0"/>
              <w:rPr>
                <w:rFonts w:ascii="Arial" w:cs="Arial" w:eastAsia="Arial" w:hAnsi="Arial"/>
                <w:sz w:val="16"/>
                <w:szCs w:val="16"/>
                <w:color w:val="0000EE"/>
                <w:w w:val="93"/>
              </w:rPr>
            </w:pPr>
            <w:hyperlink w:anchor="page34">
              <w:r>
                <w:rPr>
                  <w:rFonts w:ascii="Arial" w:cs="Arial" w:eastAsia="Arial" w:hAnsi="Arial"/>
                  <w:sz w:val="16"/>
                  <w:szCs w:val="16"/>
                  <w:color w:val="0000EE"/>
                  <w:w w:val="93"/>
                </w:rPr>
                <w:t>Quantitative and Qualitative Disclosures About Market Risk</w:t>
              </w:r>
            </w:hyperlink>
          </w:p>
        </w:tc>
        <w:tc>
          <w:tcPr>
            <w:tcW w:w="5240" w:type="dxa"/>
            <w:vAlign w:val="bottom"/>
            <w:gridSpan w:val="6"/>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180" w:type="dxa"/>
            <w:vAlign w:val="bottom"/>
            <w:gridSpan w:val="1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Controls and Procedures</w:t>
              </w:r>
            </w:hyperlink>
          </w:p>
        </w:tc>
        <w:tc>
          <w:tcPr>
            <w:tcW w:w="114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5">
              <w:r>
                <w:rPr>
                  <w:rFonts w:ascii="Arial" w:cs="Arial" w:eastAsia="Arial" w:hAnsi="Arial"/>
                  <w:sz w:val="16"/>
                  <w:szCs w:val="16"/>
                  <w:color w:val="0000EE"/>
                  <w:w w:val="97"/>
                </w:rPr>
                <w:t>OTHER INFORMATION</w:t>
              </w:r>
            </w:hyperlink>
          </w:p>
        </w:tc>
        <w:tc>
          <w:tcPr>
            <w:tcW w:w="7480" w:type="dxa"/>
            <w:vAlign w:val="bottom"/>
            <w:gridSpan w:val="9"/>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Legal Proceedings</w:t>
              </w:r>
            </w:hyperlink>
          </w:p>
        </w:tc>
        <w:tc>
          <w:tcPr>
            <w:tcW w:w="7980" w:type="dxa"/>
            <w:vAlign w:val="bottom"/>
            <w:gridSpan w:val="11"/>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180" w:type="dxa"/>
            <w:vAlign w:val="bottom"/>
            <w:gridSpan w:val="1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Risk Factors</w:t>
              </w:r>
            </w:hyperlink>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5">
              <w:r>
                <w:rPr>
                  <w:rFonts w:ascii="Arial" w:cs="Arial" w:eastAsia="Arial" w:hAnsi="Arial"/>
                  <w:sz w:val="16"/>
                  <w:szCs w:val="16"/>
                  <w:color w:val="0000EE"/>
                  <w:w w:val="90"/>
                </w:rPr>
                <w:t>Unregistered Sales of Equity Securities and Use of Proceeds</w:t>
              </w:r>
            </w:hyperlink>
          </w:p>
        </w:tc>
        <w:tc>
          <w:tcPr>
            <w:tcW w:w="5260" w:type="dxa"/>
            <w:vAlign w:val="bottom"/>
            <w:gridSpan w:val="7"/>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180" w:type="dxa"/>
            <w:vAlign w:val="bottom"/>
            <w:gridSpan w:val="14"/>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Exhibits</w:t>
              </w:r>
            </w:hyperlink>
          </w:p>
        </w:tc>
        <w:tc>
          <w:tcPr>
            <w:tcW w:w="114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34</w:t>
              </w:r>
            </w:hyperlink>
          </w:p>
        </w:tc>
      </w:tr>
      <w:tr>
        <w:trPr>
          <w:trHeight w:val="358"/>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37">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35</w:t>
              </w:r>
            </w:hyperlink>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52,449</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12,872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18,429</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65,781</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349</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117,661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139,739</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5,425</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19,804</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5,102</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8,698</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15,961</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$7,144 and $6,462</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177,313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199,183</w:t>
            </w:r>
          </w:p>
        </w:tc>
      </w:tr>
      <w:tr>
        <w:trPr>
          <w:trHeight w:val="67"/>
        </w:trPr>
        <w:tc>
          <w:tcPr>
            <w:tcW w:w="83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3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2,518</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7,710</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Compensation and benefits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15,102</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1,432</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17,996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27,127</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1,576</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9,331</w:t>
            </w: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38,034</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w w:val="98"/>
              </w:rPr>
              <w:t>Common stock, $0.01 par value, authorized 25,000,000 shares, issued 10,314,305 and outstanding</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8300" w:type="dxa"/>
            <w:vAlign w:val="bottom"/>
          </w:tcPr>
          <w:p>
            <w:pPr>
              <w:ind w:left="680"/>
              <w:spacing w:after="0"/>
              <w:rPr>
                <w:sz w:val="20"/>
                <w:szCs w:val="20"/>
                <w:color w:val="auto"/>
              </w:rPr>
            </w:pPr>
            <w:r>
              <w:rPr>
                <w:rFonts w:ascii="Arial" w:cs="Arial" w:eastAsia="Arial" w:hAnsi="Arial"/>
                <w:sz w:val="18"/>
                <w:szCs w:val="18"/>
                <w:color w:val="auto"/>
                <w:w w:val="97"/>
              </w:rPr>
              <w:t>8,906,152 shares at September 30, 2019; issued 10,182,583 and outstanding 8,904,902 shares at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00" w:type="dxa"/>
            <w:vAlign w:val="bottom"/>
          </w:tcPr>
          <w:p>
            <w:pPr>
              <w:ind w:left="680"/>
              <w:spacing w:after="0"/>
              <w:rPr>
                <w:sz w:val="20"/>
                <w:szCs w:val="20"/>
                <w:color w:val="auto"/>
              </w:rPr>
            </w:pPr>
            <w:r>
              <w:rPr>
                <w:rFonts w:ascii="Arial" w:cs="Arial" w:eastAsia="Arial" w:hAnsi="Arial"/>
                <w:sz w:val="18"/>
                <w:szCs w:val="18"/>
                <w:color w:val="auto"/>
              </w:rPr>
              <w:t>December 31, 2018</w:t>
            </w: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202,278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194,116</w:t>
            </w:r>
          </w:p>
        </w:tc>
      </w:tr>
      <w:tr>
        <w:trPr>
          <w:trHeight w:val="243"/>
        </w:trPr>
        <w:tc>
          <w:tcPr>
            <w:tcW w:w="8300" w:type="dxa"/>
            <w:vAlign w:val="bottom"/>
          </w:tcPr>
          <w:p>
            <w:pPr>
              <w:ind w:left="500"/>
              <w:spacing w:after="0"/>
              <w:rPr>
                <w:sz w:val="20"/>
                <w:szCs w:val="20"/>
                <w:color w:val="auto"/>
              </w:rPr>
            </w:pPr>
            <w:r>
              <w:rPr>
                <w:rFonts w:ascii="Arial" w:cs="Arial" w:eastAsia="Arial" w:hAnsi="Arial"/>
                <w:sz w:val="18"/>
                <w:szCs w:val="18"/>
                <w:color w:val="auto"/>
                <w:w w:val="90"/>
              </w:rPr>
              <w:t>Treasury stock, at cost - 1,408,152 shares at September 30, 2019; 1,277,681 shares at December 31, 2018</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(58,711)</w:t>
            </w: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30,525</w:t>
            </w: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161,149</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177,313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199,183</w:t>
            </w:r>
          </w:p>
        </w:tc>
      </w:tr>
      <w:tr>
        <w:trPr>
          <w:trHeight w:val="27"/>
        </w:trPr>
        <w:tc>
          <w:tcPr>
            <w:tcW w:w="8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486" w:right="2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50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80"/>
              </w:rPr>
              <w:t>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Pr>
          <w:p>
            <w:pPr>
              <w:spacing w:after="0"/>
              <w:rPr>
                <w:sz w:val="18"/>
                <w:szCs w:val="18"/>
                <w:color w:val="auto"/>
              </w:rPr>
            </w:pP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44,265</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69,979</w:t>
            </w:r>
          </w:p>
        </w:tc>
      </w:tr>
      <w:tr>
        <w:trPr>
          <w:trHeight w:val="243"/>
        </w:trPr>
        <w:tc>
          <w:tcPr>
            <w:tcW w:w="65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2,984</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953</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96,181</w:t>
            </w: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6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46,857</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1,401</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6,753</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7,300</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37"/>
        </w:trPr>
        <w:tc>
          <w:tcPr>
            <w:tcW w:w="6540" w:type="dxa"/>
            <w:vAlign w:val="bottom"/>
          </w:tcPr>
          <w:p>
            <w:pPr>
              <w:ind w:left="9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68,131</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28,050</w:t>
            </w:r>
          </w:p>
        </w:tc>
      </w:tr>
      <w:tr>
        <w:trPr>
          <w:trHeight w:val="237"/>
        </w:trPr>
        <w:tc>
          <w:tcPr>
            <w:tcW w:w="6540" w:type="dxa"/>
            <w:vAlign w:val="bottom"/>
          </w:tcPr>
          <w:p>
            <w:pPr>
              <w:ind w:left="380"/>
              <w:spacing w:after="0"/>
              <w:rPr>
                <w:sz w:val="20"/>
                <w:szCs w:val="20"/>
                <w:color w:val="auto"/>
              </w:rPr>
            </w:pPr>
            <w:r>
              <w:rPr>
                <w:rFonts w:ascii="Arial" w:cs="Arial" w:eastAsia="Arial" w:hAnsi="Arial"/>
                <w:sz w:val="18"/>
                <w:szCs w:val="18"/>
                <w:color w:val="auto"/>
              </w:rPr>
              <w:t>Gain on sale of operations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28,574</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7,236</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21,338</w:t>
            </w:r>
          </w:p>
        </w:tc>
      </w:tr>
      <w:tr>
        <w:trPr>
          <w:trHeight w:val="67"/>
        </w:trPr>
        <w:tc>
          <w:tcPr>
            <w:tcW w:w="65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0.40</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8,432,598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8,402,697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8,414,317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8,359,088</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8,470,673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8,598,230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8,467,823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8,561,918</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June 30, 2019</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8,944,733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153,986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spacing w:after="0"/>
              <w:rPr>
                <w:sz w:val="20"/>
                <w:szCs w:val="20"/>
                <w:color w:val="auto"/>
              </w:rPr>
            </w:pPr>
            <w:r>
              <w:rPr>
                <w:rFonts w:ascii="Arial" w:cs="Arial" w:eastAsia="Arial" w:hAnsi="Arial"/>
                <w:sz w:val="16"/>
                <w:szCs w:val="16"/>
                <w:color w:val="auto"/>
              </w:rPr>
              <w:t>(22,059)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($0.72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treasury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September 30, 2019</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8,906,152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202,278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(63,335)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150,059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460" w:type="dxa"/>
            <w:vAlign w:val="bottom"/>
          </w:tcPr>
          <w:p>
            <w:pPr>
              <w:spacing w:after="0"/>
              <w:rPr>
                <w:sz w:val="24"/>
                <w:szCs w:val="24"/>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9,026,806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187,367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161,141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5,368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spacing w:after="0"/>
              <w:rPr>
                <w:sz w:val="20"/>
                <w:szCs w:val="20"/>
                <w:color w:val="auto"/>
              </w:rPr>
            </w:pPr>
            <w:r>
              <w:rPr>
                <w:rFonts w:ascii="Arial" w:cs="Arial" w:eastAsia="Arial" w:hAnsi="Arial"/>
                <w:sz w:val="16"/>
                <w:szCs w:val="16"/>
                <w:color w:val="auto"/>
              </w:rPr>
              <w:t>(8,252)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($0.68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September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9,018,436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191,062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(55,215)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31,549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164,672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8,904,902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161,149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131,721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($2.16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(19,083)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 be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paid in shares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(68,435)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September 30, 2019</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8,906,152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202,278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(63,335)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150,059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60" w:type="dxa"/>
            <w:vAlign w:val="bottom"/>
          </w:tcPr>
          <w:p>
            <w:pPr>
              <w:spacing w:after="0"/>
              <w:rPr>
                <w:sz w:val="24"/>
                <w:szCs w:val="24"/>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8,899,587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179,241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21,338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215,808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($2.04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11,658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11,658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 be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paid in shares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September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9,018,436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191,062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(55,215)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31,549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164,672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r>
      <w:tr>
        <w:trPr>
          <w:trHeight w:val="47"/>
        </w:trPr>
        <w:tc>
          <w:tcPr>
            <w:tcW w:w="8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47"/>
        </w:trPr>
        <w:tc>
          <w:tcPr>
            <w:tcW w:w="8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21,338</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11,658</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lease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Gain on sale of operations</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operating assets and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Net sales (purchases) of investments - trading securities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23,438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(19,824)</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4,185</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(6,157)</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33,611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property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Omaha divestiture</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10,013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to internally developed software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Purchase of investments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(5,425)</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treasury stock</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(19,979)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(18,825)</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(24,603)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(893)</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52,449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54,249</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58,372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48,086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Cash paid during the period for income taxes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5,634</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dividends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8,644</w:t>
            </w:r>
          </w:p>
        </w:tc>
      </w:tr>
      <w:tr>
        <w:trPr>
          <w:trHeight w:val="33"/>
        </w:trPr>
        <w:tc>
          <w:tcPr>
            <w:tcW w:w="8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ind w:left="280" w:right="27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ind w:right="200" w:firstLine="500"/>
        <w:spacing w:after="0" w:line="297"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provides investment management services to institutional investors, high net worth individuals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On September 6, 2017, we entered into an agreement to sell the Omaha-based component of our Wealth Management business. The sale closed on January 12, 2018. We received proceeds of $10.0 million, net of working capital requirements, and recorded a $524,000 gain on the sale, which is included as “Gain on sale of operations” on our Condensed Consolidated Statements of Comprehensive Income. The sale reduced goodwill and intangible assets but did not have a material impact on our Condensed Consolidated Balance Sheet. The following table presents cash proceeds received and net assets sold (in thousands):</w:t>
      </w:r>
    </w:p>
    <w:p>
      <w:pPr>
        <w:spacing w:after="0" w:line="284"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Gain on sale of operations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4" w:right="279" w:bottom="1440" w:gutter="0" w:footer="0" w:header="0"/>
        </w:sectPr>
      </w:pPr>
    </w:p>
    <w:bookmarkStart w:id="8" w:name="page9"/>
    <w:bookmarkEnd w:id="8"/>
    <w:p>
      <w:pPr>
        <w:jc w:val="center"/>
        <w:ind w:left="280" w:right="21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60" w:firstLine="500"/>
        <w:spacing w:after="0" w:line="270"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our Consolidated Financial Statements, and notes thereto, included in our Annual Report on Form 10-K for the year ended December 31, 2018,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 In the current year, we created a new expense item on the Condensed Consolidated Statements of Comprehensive Income for “(Gain) loss on foreign currency transactions,” which was previously included in “General and Administrative” expense, and a new cash flow item on the Condensed Consolidated Statements of Cash Flows for “Non-cash lease expense,” which was previously included in the changes in operating assets and liabilities within “Other liabilities.” Prior year financial statements were reclassified to conform to this presentation. These reclassifications had no impact on net income, stockholders’ equity or cash flows as previously reported.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requires lessees to recognize a lease liability and a right-of-use asset for all leases at the commencement date, excluding short-term leases. Leases will be classified as either financing or operating, with classification impacting the pattern of expense recognition in the income statement. The amendment is effective for fiscal years beginning after December 15, 2018, including interim periods within those fiscal years. We adopted the standard as of January 1, 2019 under the modified retrospective approach, which provides a method for recording existing leases at adoption and in comparative periods that approximates the results of a full retrospective approach. We elected the package of practical expedients permitted under the transition guidance, which, among other things, allows us to carry forward the historical lease classification and elect hindsight to determine certain lease terms for existing leases. See further discussion in Note 13 “Leases.”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impacts of the adoption of ASU 2016-02 to our previously reported results (in thousands):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New Lease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As Previously</w:t>
            </w: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Standard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Balance Sheet as of December 31, 2018:</w:t>
            </w:r>
          </w:p>
        </w:tc>
        <w:tc>
          <w:tcPr>
            <w:tcW w:w="140" w:type="dxa"/>
            <w:vAlign w:val="bottom"/>
          </w:tcPr>
          <w:p>
            <w:pPr>
              <w:spacing w:after="0"/>
              <w:rPr>
                <w:sz w:val="18"/>
                <w:szCs w:val="18"/>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Reported</w:t>
            </w: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w:t>
            </w:r>
          </w:p>
        </w:tc>
        <w:tc>
          <w:tcPr>
            <w:tcW w:w="16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w w:val="90"/>
              </w:rPr>
              <w:t>As Restated</w:t>
            </w: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8,698</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21"/>
                <w:szCs w:val="21"/>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1,432</w:t>
            </w: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9,331</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purpose of this amendment is to simplify the accounting for share-based payments granted to nonemployees for goods and services by</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it with the accounting used for arrangements with employees. We adopted the standard as of January 1, 2019 and it did not have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includes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do not expect the amendment to have a material impact on our Consolidated Financial Statements, and we plan to adopt this amendment within the required time frame.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(Topic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The purpose of this amendment is to align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5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In May 2019, the FASB issued ASU 2019-05, </w:t>
      </w:r>
      <w:r>
        <w:rPr>
          <w:rFonts w:ascii="Arial" w:cs="Arial" w:eastAsia="Arial" w:hAnsi="Arial"/>
          <w:sz w:val="18"/>
          <w:szCs w:val="18"/>
          <w:i w:val="1"/>
          <w:iCs w:val="1"/>
          <w:color w:val="auto"/>
        </w:rPr>
        <w:t>Financial Instruments—Credit Losses (Topic 326): Targeted Transition Relief.</w:t>
      </w:r>
      <w:r>
        <w:rPr>
          <w:rFonts w:ascii="Arial" w:cs="Arial" w:eastAsia="Arial" w:hAnsi="Arial"/>
          <w:sz w:val="18"/>
          <w:szCs w:val="18"/>
          <w:color w:val="auto"/>
        </w:rPr>
        <w:t xml:space="preserve"> The purpose of this amendment is to amend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Arial" w:cs="Arial" w:eastAsia="Arial" w:hAnsi="Arial"/>
          <w:sz w:val="18"/>
          <w:szCs w:val="18"/>
          <w:i w:val="1"/>
          <w:iCs w:val="1"/>
          <w:color w:val="auto"/>
        </w:rPr>
        <w:t>Financial Instruments-Credit Losses: Amortization Cost</w:t>
      </w:r>
      <w:r>
        <w:rPr>
          <w:rFonts w:ascii="Arial" w:cs="Arial" w:eastAsia="Arial" w:hAnsi="Arial"/>
          <w:sz w:val="18"/>
          <w:szCs w:val="18"/>
          <w:color w:val="auto"/>
        </w:rPr>
        <w:t xml:space="preserve">, if the instruments are eligible for the fair value option under Accounting Standards Codification 825 -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election does not apply to held-to-maturity debt securities.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5" w:lineRule="exact"/>
        <w:rPr>
          <w:sz w:val="20"/>
          <w:szCs w:val="20"/>
          <w:color w:val="auto"/>
        </w:rPr>
      </w:pPr>
    </w:p>
    <w:p>
      <w:pPr>
        <w:ind w:right="180" w:firstLine="500"/>
        <w:spacing w:after="0" w:line="255" w:lineRule="auto"/>
        <w:rPr>
          <w:sz w:val="20"/>
          <w:szCs w:val="20"/>
          <w:color w:val="auto"/>
        </w:rPr>
      </w:pPr>
      <w:r>
        <w:rPr>
          <w:rFonts w:ascii="Arial" w:cs="Arial" w:eastAsia="Arial" w:hAnsi="Arial"/>
          <w:sz w:val="18"/>
          <w:szCs w:val="18"/>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81,000 anti-dilutive restricted shares outstanding for the three months ended September 30, 2019, and there were no anti-dilutive restricted shares outstanding for the three months ended September 30, 2018. There were approximately 87,000 and 3,251 anti-dilutive restricted shares outstanding for the nine months ended September 30, 2019 and 2018, respectively.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Three Months Ended September 30,</w:t>
            </w: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47"/>
        </w:trPr>
        <w:tc>
          <w:tcPr>
            <w:tcW w:w="60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21,338</w:t>
            </w:r>
          </w:p>
        </w:tc>
      </w:tr>
      <w:tr>
        <w:trPr>
          <w:trHeight w:val="297"/>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8,432,598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8,402,697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8,414,317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8,359,088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Dilutive potential shares from unvested restricted shares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38,075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195,533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202,830</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8,470,673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8,598,230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8,467,823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8,561,918</w:t>
            </w:r>
          </w:p>
        </w:tc>
      </w:tr>
      <w:tr>
        <w:trPr>
          <w:trHeight w:val="297"/>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6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5"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During 2018, we made a $5.4 million strategic investment in a private company (“Private Company”), which is included in “Investments” on our Condensed Consolidated Balance Sheets. This investment represents an equity interest in a private company without a readily-determinable fair value. The Company has elected to apply the measurement alternative of cost minus impairment, if any, plus or minus changes resulting from observable price changes. As of September 30, 2019 and December 31, 2018, there were no observable price changes or indicators of impairment for this investment.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February 2019, we made a $250,000 investment in Westwood Hospitality Fund I, LLC, a private investment fund. Our investment is included in “Noncurrent investments at fair value” on our Condensed Consolidated Balance Sheets and will be measured at fair value on a recurring basis using net asset value (“NAV”) as a practical expedient.</w:t>
      </w:r>
    </w:p>
    <w:p>
      <w:pPr>
        <w:spacing w:after="0" w:line="127"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In September 2019, we made a $2.8 million investment in Charis Holdings, Inc. (“Charis”), the parent company of Westwood Private Bank. Our investment is included in “Noncurrent investments at fair value” on our Condensed Consolidated Balance Sheets and will be measured at fair value on a recurring basis.</w:t>
      </w:r>
    </w:p>
    <w:p>
      <w:pPr>
        <w:spacing w:after="0" w:line="73" w:lineRule="exact"/>
        <w:rPr>
          <w:sz w:val="20"/>
          <w:szCs w:val="20"/>
          <w:color w:val="auto"/>
        </w:rPr>
      </w:pPr>
    </w:p>
    <w:p>
      <w:pPr>
        <w:jc w:val="both"/>
        <w:ind w:right="460" w:firstLine="486"/>
        <w:spacing w:after="0" w:line="277" w:lineRule="auto"/>
        <w:rPr>
          <w:sz w:val="20"/>
          <w:szCs w:val="20"/>
          <w:color w:val="auto"/>
        </w:rPr>
      </w:pPr>
      <w:r>
        <w:rPr>
          <w:rFonts w:ascii="Arial" w:cs="Arial" w:eastAsia="Arial" w:hAnsi="Arial"/>
          <w:sz w:val="18"/>
          <w:szCs w:val="18"/>
          <w:color w:val="auto"/>
        </w:rPr>
        <w:t>All other investments are accounted for as trading securities, are carried at fair value on a recurring basis and are included in “Investments, at fair value” on our Condensed Consolidated Balance Sheets.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Estimated</w:t>
            </w: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rPr>
              <w:t>Market</w:t>
            </w: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24,181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6,591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42,844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Private investment fund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w:t>
            </w:r>
          </w:p>
        </w:tc>
      </w:tr>
      <w:tr>
        <w:trPr>
          <w:trHeight w:val="237"/>
        </w:trPr>
        <w:tc>
          <w:tcPr>
            <w:tcW w:w="6540" w:type="dxa"/>
            <w:vAlign w:val="bottom"/>
          </w:tcPr>
          <w:p>
            <w:pPr>
              <w:ind w:left="380"/>
              <w:spacing w:after="0"/>
              <w:rPr>
                <w:sz w:val="20"/>
                <w:szCs w:val="20"/>
                <w:color w:val="auto"/>
              </w:rPr>
            </w:pPr>
            <w:r>
              <w:rPr>
                <w:rFonts w:ascii="Arial" w:cs="Arial" w:eastAsia="Arial" w:hAnsi="Arial"/>
                <w:sz w:val="18"/>
                <w:szCs w:val="18"/>
                <w:color w:val="auto"/>
              </w:rPr>
              <w:t>Total investments carried at fair value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45,864</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6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48,409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funds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7,018</w:t>
            </w:r>
          </w:p>
        </w:tc>
      </w:tr>
      <w:tr>
        <w:trPr>
          <w:trHeight w:val="237"/>
        </w:trPr>
        <w:tc>
          <w:tcPr>
            <w:tcW w:w="6540" w:type="dxa"/>
            <w:vAlign w:val="bottom"/>
          </w:tcPr>
          <w:p>
            <w:pPr>
              <w:ind w:left="38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65,781</w:t>
            </w: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As of September 30, 2019 and December 31, 2018, approximately $6.5 million and $6.1 million, respectively, in corporate funds were invested in Westwood Funds®. See Note 8 “Variable Interest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right="40" w:firstLine="500"/>
        <w:spacing w:after="0" w:line="271" w:lineRule="auto"/>
        <w:rPr>
          <w:sz w:val="20"/>
          <w:szCs w:val="20"/>
          <w:color w:val="auto"/>
        </w:rPr>
      </w:pPr>
      <w:r>
        <w:rPr>
          <w:rFonts w:ascii="Arial" w:cs="Arial" w:eastAsia="Arial" w:hAnsi="Arial"/>
          <w:sz w:val="17"/>
          <w:szCs w:val="17"/>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mutual funds, Westwood Investment Funds Plc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investment in Westwood Hospitality Fund I, LLC is measured at fair value using NAV.</w:t>
      </w:r>
    </w:p>
    <w:p>
      <w:pPr>
        <w:spacing w:after="0" w:line="171"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color w:val="auto"/>
        </w:rPr>
        <w:t>Our investment in Charis is measured at fair value on a recurring basis using a market approach based on a price to tangible book value multiple range that is determined to be reasonable in the current environment. Management believes this valuation methodology is consistent with the banking industry and will reevaluate our methodology and inputs on a quarterly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480" w:firstLine="500"/>
        <w:spacing w:after="0" w:line="277" w:lineRule="auto"/>
        <w:rPr>
          <w:sz w:val="20"/>
          <w:szCs w:val="20"/>
          <w:color w:val="auto"/>
        </w:rPr>
      </w:pPr>
      <w:r>
        <w:rPr>
          <w:rFonts w:ascii="Arial" w:cs="Arial" w:eastAsia="Arial" w:hAnsi="Arial"/>
          <w:sz w:val="18"/>
          <w:szCs w:val="18"/>
          <w:color w:val="auto"/>
        </w:rPr>
        <w:t>Our strategic investment in the Private Company discussed in Note 4 “Investments” is excluded from the recurring fair value table shown below, because we have elected to apply the measurement alternative for this investment.</w:t>
      </w:r>
    </w:p>
    <w:p>
      <w:pPr>
        <w:spacing w:after="0" w:line="116" w:lineRule="exact"/>
        <w:rPr>
          <w:sz w:val="20"/>
          <w:szCs w:val="20"/>
          <w:color w:val="auto"/>
        </w:rPr>
      </w:pPr>
    </w:p>
    <w:p>
      <w:pPr>
        <w:ind w:right="40" w:firstLine="500"/>
        <w:spacing w:after="0" w:line="258"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1" w:lineRule="exact"/>
        <w:rPr>
          <w:sz w:val="20"/>
          <w:szCs w:val="20"/>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48"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63"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Measured at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35"/>
              <w:spacing w:after="0"/>
              <w:rPr>
                <w:sz w:val="20"/>
                <w:szCs w:val="20"/>
                <w:color w:val="auto"/>
              </w:rPr>
            </w:pPr>
            <w:r>
              <w:rPr>
                <w:rFonts w:ascii="Arial" w:cs="Arial" w:eastAsia="Arial" w:hAnsi="Arial"/>
                <w:sz w:val="16"/>
                <w:szCs w:val="16"/>
                <w:b w:val="1"/>
                <w:bCs w:val="1"/>
                <w:color w:val="auto"/>
              </w:rPr>
              <w:t>Total</w:t>
            </w:r>
          </w:p>
        </w:tc>
      </w:tr>
      <w:tr>
        <w:trPr>
          <w:trHeight w:val="244"/>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2019:</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42,844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42,844</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investment fund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Private equity</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2,770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2,770</w:t>
            </w: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investments carried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45,864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65,781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65,781</w:t>
            </w: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investments carried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65,781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40" w:right="100" w:hanging="5"/>
        <w:spacing w:after="0" w:line="253" w:lineRule="auto"/>
        <w:tabs>
          <w:tab w:leader="none" w:pos="244"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0" w:lineRule="exact"/>
        <w:rPr>
          <w:sz w:val="20"/>
          <w:szCs w:val="20"/>
          <w:color w:val="auto"/>
        </w:rPr>
      </w:pPr>
    </w:p>
    <w:p>
      <w:pPr>
        <w:spacing w:after="0" w:line="221" w:lineRule="exact"/>
        <w:rPr>
          <w:sz w:val="20"/>
          <w:szCs w:val="20"/>
          <w:color w:val="auto"/>
        </w:rPr>
      </w:pPr>
    </w:p>
    <w:p>
      <w:pPr>
        <w:ind w:right="2900"/>
        <w:spacing w:after="0" w:line="277"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spacing w:after="0" w:line="275"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Fair Value using Significant Unobservable Inputs (Level</w:t>
      </w:r>
    </w:p>
    <w:p>
      <w:pPr>
        <w:spacing w:after="0" w:line="27"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22860</wp:posOffset>
            </wp:positionV>
            <wp:extent cx="276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8"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22860</wp:posOffset>
            </wp:positionV>
            <wp:extent cx="1346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8" w:lineRule="exact"/>
        <w:rPr>
          <w:sz w:val="20"/>
          <w:szCs w:val="20"/>
          <w:color w:val="auto"/>
        </w:rPr>
      </w:pPr>
    </w:p>
    <w:p>
      <w:pPr>
        <w:ind w:left="6180"/>
        <w:spacing w:after="0"/>
        <w:tabs>
          <w:tab w:leader="none" w:pos="72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1346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 w:lineRule="exact"/>
        <w:rPr>
          <w:sz w:val="20"/>
          <w:szCs w:val="20"/>
          <w:color w:val="auto"/>
        </w:rPr>
      </w:pPr>
    </w:p>
    <w:p>
      <w:pPr>
        <w:ind w:left="1240"/>
        <w:spacing w:after="0"/>
        <w:rPr>
          <w:sz w:val="20"/>
          <w:szCs w:val="20"/>
          <w:color w:val="auto"/>
        </w:rPr>
      </w:pPr>
      <w:r>
        <w:rPr>
          <w:sz w:val="1"/>
          <w:szCs w:val="1"/>
          <w:color w:val="auto"/>
        </w:rPr>
        <w:drawing>
          <wp:inline distT="0" distB="0" distL="0" distR="0">
            <wp:extent cx="2924175" cy="180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Private Equity Investment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1346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8" w:lineRule="exact"/>
        <w:rPr>
          <w:sz w:val="20"/>
          <w:szCs w:val="20"/>
          <w:color w:val="auto"/>
        </w:rPr>
      </w:pPr>
    </w:p>
    <w:p>
      <w:pPr>
        <w:ind w:left="280"/>
        <w:spacing w:after="0"/>
        <w:tabs>
          <w:tab w:leader="none" w:pos="1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34290</wp:posOffset>
            </wp:positionV>
            <wp:extent cx="1346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Equity Investment</w:t>
      </w:r>
    </w:p>
    <w:p>
      <w:pPr>
        <w:spacing w:after="0" w:line="78" w:lineRule="exact"/>
        <w:rPr>
          <w:sz w:val="20"/>
          <w:szCs w:val="20"/>
          <w:color w:val="auto"/>
        </w:rPr>
      </w:pPr>
    </w:p>
    <w:p>
      <w:pPr>
        <w:sectPr>
          <w:pgSz w:w="11900" w:h="16838" w:orient="portrait"/>
          <w:cols w:equalWidth="0" w:num="2">
            <w:col w:w="7940" w:space="180"/>
            <w:col w:w="3300"/>
          </w:cols>
          <w:pgMar w:left="240" w:top="121" w:right="239" w:bottom="1440" w:gutter="0" w:footer="0" w:header="0"/>
          <w:type w:val="continuous"/>
        </w:sectPr>
      </w:pPr>
    </w:p>
    <w:tbl>
      <w:tblPr>
        <w:tblLayout w:type="fixed"/>
        <w:tblInd w:w="1240" w:type="dxa"/>
        <w:tblCellMar>
          <w:top w:w="0" w:type="dxa"/>
          <w:left w:w="0" w:type="dxa"/>
          <w:bottom w:w="0" w:type="dxa"/>
          <w:right w:w="0" w:type="dxa"/>
        </w:tblCellMar>
      </w:tblPr>
      <w:tr>
        <w:trPr>
          <w:trHeight w:val="259"/>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r>
      <w:tr>
        <w:trPr>
          <w:trHeight w:val="255"/>
        </w:trPr>
        <w:tc>
          <w:tcPr>
            <w:tcW w:w="46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Purchases</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740"/>
              <w:spacing w:after="0"/>
              <w:rPr>
                <w:sz w:val="20"/>
                <w:szCs w:val="20"/>
                <w:color w:val="auto"/>
              </w:rPr>
            </w:pPr>
            <w:r>
              <w:rPr>
                <w:rFonts w:ascii="Arial" w:cs="Arial" w:eastAsia="Arial" w:hAnsi="Arial"/>
                <w:sz w:val="18"/>
                <w:szCs w:val="18"/>
                <w:color w:val="auto"/>
              </w:rPr>
              <w:t>Transfers into (out of) level 3</w:t>
            </w:r>
          </w:p>
        </w:tc>
        <w:tc>
          <w:tcPr>
            <w:tcW w:w="3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Realized gains (losses)</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700"/>
              <w:spacing w:after="0"/>
              <w:rPr>
                <w:sz w:val="20"/>
                <w:szCs w:val="20"/>
                <w:color w:val="auto"/>
              </w:rPr>
            </w:pPr>
            <w:r>
              <w:rPr>
                <w:rFonts w:ascii="Arial" w:cs="Arial" w:eastAsia="Arial" w:hAnsi="Arial"/>
                <w:sz w:val="18"/>
                <w:szCs w:val="18"/>
                <w:color w:val="auto"/>
              </w:rPr>
              <w:t>Unrealized gains (losses)</w:t>
            </w:r>
          </w:p>
        </w:tc>
        <w:tc>
          <w:tcPr>
            <w:tcW w:w="3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2019 and determined that no impairment loss was required. No impairments on goodwill were recorded during the three or nine months ended September 30, 2019 or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or nine months ended September 30, 2019 or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47"/>
        </w:trPr>
        <w:tc>
          <w:tcPr>
            <w:tcW w:w="76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(4,883)</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(3,799)</w:t>
            </w: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(4,883)</w:t>
            </w:r>
          </w:p>
        </w:tc>
      </w:tr>
      <w:tr>
        <w:trPr>
          <w:trHeight w:val="27"/>
        </w:trPr>
        <w:tc>
          <w:tcPr>
            <w:tcW w:w="7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July 20, 2012, our Board of Directors authorized the repurchase of up to $10.0 million of our outstanding common stock on the open market or in privately negotiated transactions. The share repurchase program has no expiration date and may be discontinued at any time by the Board of Directors. In July 2016, Westwood's Board of Directors authorized an additional $5.0 million of repurchases under the share repurchase program. As of September 30, 2019, approximately $4.1 million remained available under the share repurchase program.</w:t>
      </w:r>
    </w:p>
    <w:p>
      <w:pPr>
        <w:spacing w:after="0" w:line="7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Between January 1, 2019 and September 30, 2019, under our share repurchase plan, the Company repurchased 43,388 shares of our common stock at an average price of $28.99, including commissions, at an aggregate purchase price of $1.3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ind w:right="120" w:firstLine="486"/>
        <w:spacing w:after="0" w:line="284" w:lineRule="auto"/>
        <w:rPr>
          <w:sz w:val="20"/>
          <w:szCs w:val="20"/>
          <w:color w:val="auto"/>
        </w:rPr>
      </w:pPr>
      <w:r>
        <w:rPr>
          <w:rFonts w:ascii="Arial" w:cs="Arial" w:eastAsia="Arial" w:hAnsi="Arial"/>
          <w:sz w:val="16"/>
          <w:szCs w:val="16"/>
          <w:color w:val="auto"/>
        </w:rPr>
        <w:t xml:space="preserve">We have evaluated (i) our advisory relationships with the UCITS Fund and the Westwood Funds®, (ii) our relationship as sponsor of the Common Trust Funds (“CTFs”) and managing member of the private investment funds Westwood Hospitality Fund I, LLC and Westwood Technology Opportunities Fund I, LP (collectively, the “Private Funds”) and (iii) our investments in the Private Company and Charis discussed in Note 4 </w:t>
      </w:r>
      <w:r>
        <w:rPr>
          <w:rFonts w:ascii="Arial" w:cs="Arial" w:eastAsia="Arial" w:hAnsi="Arial"/>
          <w:sz w:val="16"/>
          <w:szCs w:val="16"/>
          <w:color w:val="222222"/>
        </w:rPr>
        <w:t>“Investments”</w:t>
      </w:r>
      <w:r>
        <w:rPr>
          <w:rFonts w:ascii="Arial" w:cs="Arial" w:eastAsia="Arial" w:hAnsi="Arial"/>
          <w:sz w:val="16"/>
          <w:szCs w:val="16"/>
          <w:color w:val="auto"/>
        </w:rPr>
        <w:t xml:space="preserve"> (collectively, “Private Equity”) to determine whether each of these entities is a variable interest entity (“VIE”) or voting ownership entity (“VOE”). Based on our analysis, we determined that the CTFs and Private Funds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Based on our analysis, we determined the UCITS Fund, Westwood Funds® and Private Equity</w:t>
      </w:r>
    </w:p>
    <w:p>
      <w:pPr>
        <w:spacing w:after="0" w:line="3" w:lineRule="exact"/>
        <w:rPr>
          <w:sz w:val="20"/>
          <w:szCs w:val="20"/>
          <w:color w:val="auto"/>
        </w:rPr>
      </w:pPr>
    </w:p>
    <w:p>
      <w:pPr>
        <w:ind w:right="240"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sufficient equity at risk to finance the entity's activities independently, (ii) have the obligation to absorb losses, the right to receive residual returns and the right to direct the activities of the entity that most significantly impact the entity’s economic performance and (iii) are not structured with disproportionate voting rights, and therefore the UCITS Funds, Westwood Funds® and Private Equity are not VIEs and should be analyzed under the VOE consolidation method. Based on our analysis of our investments in these entities for the periods ending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23"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September 30, 2019 and December 31, 2018, we have not consolidated the CTFs, Private Funds or LLCs under the VIE method or the UCITS Fund, Westwood Funds® or Private Equity under the VOE method, and therefore the financial results of these entities are not included in the Company’s consolidated financial results.</w:t>
      </w:r>
    </w:p>
    <w:p>
      <w:pPr>
        <w:spacing w:after="0" w:line="73" w:lineRule="exact"/>
        <w:rPr>
          <w:sz w:val="20"/>
          <w:szCs w:val="20"/>
          <w:color w:val="auto"/>
        </w:rPr>
      </w:pPr>
    </w:p>
    <w:p>
      <w:pPr>
        <w:jc w:val="both"/>
        <w:ind w:right="420" w:firstLine="500"/>
        <w:spacing w:after="0" w:line="264" w:lineRule="auto"/>
        <w:rPr>
          <w:sz w:val="20"/>
          <w:szCs w:val="20"/>
          <w:color w:val="auto"/>
        </w:rPr>
      </w:pPr>
      <w:r>
        <w:rPr>
          <w:rFonts w:ascii="Arial" w:cs="Arial" w:eastAsia="Arial" w:hAnsi="Arial"/>
          <w:sz w:val="18"/>
          <w:szCs w:val="18"/>
          <w:color w:val="auto"/>
        </w:rPr>
        <w:t>As of September 30, 2019 and December 31, 2018, our seed investments in the Westwood Funds aggregated approximately $6.5 million and $6.1 million, respectively. The seed investments were provided for the sole purpose of showing the economic substance needed to establish the funds and are included in “Investments, at fair value” on our Condensed Consolidated Balance Sheets.</w:t>
      </w:r>
    </w:p>
    <w:p>
      <w:pPr>
        <w:spacing w:after="0" w:line="73"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UCITS Fund and the CTFs are accounted for as investments consistent with our other investments described in Note 4 “Investments.” We recognized fee revenue from the Westwood VIEs and Westwood VOEs of approximately $7.2 million and $11.7 million for the three months ended September 30, 2019 and 2018, respectively. We recognized fee revenue from the Westwood VIEs and Westwood VOEs of approximately $24.3 million and $36.3 million for the nine months ended September 30, 2019 and 2018, respectively.</w:t>
      </w:r>
    </w:p>
    <w:p>
      <w:pPr>
        <w:spacing w:after="0" w:line="139"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table displays the assets under management, the amounts of our seed investments included in “Investments” on our consolidated balance sheets, and the risk of loss in each vehicle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0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90"/>
              </w:rPr>
              <w:t>As of September 30, 2019</w:t>
            </w:r>
          </w:p>
        </w:tc>
        <w:tc>
          <w:tcPr>
            <w:tcW w:w="13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Under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Arial" w:cs="Arial" w:eastAsia="Arial" w:hAnsi="Arial"/>
                <w:sz w:val="16"/>
                <w:szCs w:val="16"/>
                <w:b w:val="1"/>
                <w:bCs w:val="1"/>
                <w:color w:val="auto"/>
                <w:w w:val="94"/>
              </w:rPr>
              <w:t>Management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Amount at Risk</w:t>
            </w:r>
          </w:p>
        </w:tc>
      </w:tr>
      <w:tr>
        <w:trPr>
          <w:trHeight w:val="33"/>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Westwood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2,338</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Trust Funds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UCITS Fund</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Private Equity</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Wealth Management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Institutional</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current calendar quarter. Once clients receive our investment advisory services we have an enforceable right to payment.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7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11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Institutional investors include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1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7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susceptible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contain no deferred trust fee revenue.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50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8,664</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14,426</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28,475</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46,815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23,030</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Wealth Management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Trust Fees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22,265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w:t>
            </w:r>
          </w:p>
        </w:tc>
      </w:tr>
      <w:tr>
        <w:trPr>
          <w:trHeight w:val="257"/>
        </w:trPr>
        <w:tc>
          <w:tcPr>
            <w:tcW w:w="65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29,854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96,181</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serve clients in various locations around the world. The following table presents our revenue disaggregated by our clients' geographical locations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26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Advisory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652</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17,840</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13,164</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19,892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1,223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2,262</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58,248</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44,265</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25,080</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22,023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7,191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29,854</w:t>
            </w:r>
          </w:p>
        </w:tc>
      </w:tr>
      <w:tr>
        <w:trPr>
          <w:trHeight w:val="311"/>
        </w:trPr>
        <w:tc>
          <w:tcPr>
            <w:tcW w:w="4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2,923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3,839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80,598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69,979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96,181</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have issued restricted shares to our employees and non-employee directors. The Sixth Amended and Restated Westwood Holdings Group, Inc. Stock Incentive Plan (the “Plan”) reserves shares of Westwood common stock for issuance to eligible employees, directors and consultants of Westwood or its subsidiaries in the form of restricted stock. The total number of shares issuable under the Plan (including predecessor plans to the Plan) may not exceed 5,048,100 shares. At September 30, 2019, approximately 511,000 shares remain available for issuance under the Plan.</w:t>
      </w:r>
    </w:p>
    <w:p>
      <w:pPr>
        <w:spacing w:after="0" w:line="171"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480" w:type="dxa"/>
            <w:vAlign w:val="bottom"/>
            <w:gridSpan w:val="7"/>
          </w:tcPr>
          <w:p>
            <w:pPr>
              <w:ind w:left="60"/>
              <w:spacing w:after="0"/>
              <w:rPr>
                <w:sz w:val="20"/>
                <w:szCs w:val="20"/>
                <w:color w:val="auto"/>
              </w:rPr>
            </w:pPr>
            <w:r>
              <w:rPr>
                <w:rFonts w:ascii="Arial" w:cs="Arial" w:eastAsia="Arial" w:hAnsi="Arial"/>
                <w:sz w:val="16"/>
                <w:szCs w:val="16"/>
                <w:b w:val="1"/>
                <w:bCs w:val="1"/>
                <w:color w:val="auto"/>
                <w:w w:val="97"/>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condition stock-based compensation expense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7,759</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Performance condition stock-based compensation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3,471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under the Plan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Canadian Plan stock-based compensation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As of September 30, 2019, there was approximately $15.9 million of unrecognized compensation cost for restricted stock grants under the Plan, which we expect to recognize over a weighted-average period of 2.4 years. Our two types of restricted stock grants under the Plan are discussed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7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only to a service condition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380" w:type="dxa"/>
            <w:vAlign w:val="bottom"/>
            <w:vMerge w:val="restart"/>
          </w:tcPr>
          <w:p>
            <w:pPr>
              <w:jc w:val="right"/>
              <w:ind w:right="37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2019</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440,073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56.40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198,295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38.64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(162,287)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57.14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(73,036)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51.11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September 30, 2019</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403,045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March 2019, the Compensation Committee established fiscal 2019 goals based on various departmental and company-wide performance goals. During the first nine months of 2019, we recorded expense related to the applicable percentage of the performance-based restricted shares expected to meet or exceed the performance goals needed to earn the shares.</w:t>
      </w:r>
    </w:p>
    <w:p>
      <w:pPr>
        <w:spacing w:after="0" w:line="12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nine months ended September 30,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4020" w:type="dxa"/>
            <w:vAlign w:val="bottom"/>
            <w:tcBorders>
              <w:bottom w:val="single" w:sz="8" w:color="CCEEFF"/>
            </w:tcBorders>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2019</w:t>
            </w:r>
          </w:p>
        </w:tc>
        <w:tc>
          <w:tcPr>
            <w:tcW w:w="56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156,293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ind w:right="59"/>
              <w:spacing w:after="0"/>
              <w:rPr>
                <w:sz w:val="20"/>
                <w:szCs w:val="20"/>
                <w:color w:val="auto"/>
              </w:rPr>
            </w:pPr>
            <w:r>
              <w:rPr>
                <w:rFonts w:ascii="Arial" w:cs="Arial" w:eastAsia="Arial" w:hAnsi="Arial"/>
                <w:sz w:val="17"/>
                <w:szCs w:val="17"/>
                <w:color w:val="auto"/>
              </w:rPr>
              <w:t>21,186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37.97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(80,493)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56.09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600" w:type="dxa"/>
            <w:vAlign w:val="bottom"/>
            <w:gridSpan w:val="2"/>
          </w:tcPr>
          <w:p>
            <w:pPr>
              <w:jc w:val="right"/>
              <w:spacing w:after="0"/>
              <w:rPr>
                <w:sz w:val="20"/>
                <w:szCs w:val="20"/>
                <w:color w:val="auto"/>
              </w:rPr>
            </w:pPr>
            <w:r>
              <w:rPr>
                <w:rFonts w:ascii="Arial" w:cs="Arial" w:eastAsia="Arial" w:hAnsi="Arial"/>
                <w:sz w:val="17"/>
                <w:szCs w:val="17"/>
                <w:color w:val="auto"/>
              </w:rPr>
              <w:t>(19,495)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55.18</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September 30, 2019</w:t>
            </w:r>
          </w:p>
        </w:tc>
        <w:tc>
          <w:tcPr>
            <w:tcW w:w="56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77,491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50.29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354"/>
              <w:spacing w:after="0"/>
              <w:rPr>
                <w:sz w:val="20"/>
                <w:szCs w:val="20"/>
                <w:color w:val="auto"/>
              </w:rPr>
            </w:pPr>
            <w:r>
              <w:rPr>
                <w:rFonts w:ascii="Arial" w:cs="Arial" w:eastAsia="Arial" w:hAnsi="Arial"/>
                <w:sz w:val="18"/>
                <w:szCs w:val="18"/>
                <w:color w:val="auto"/>
              </w:rPr>
              <w:t>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7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($7.6 million in U.S. Dollars using the exchange rate on September 30, 2019) may be funded to the plan trustee for purchases of common stock with respect to awards granted under the Canadian Plan. At September 30, 2019, approximately $2.3 million CDN ($1.7 million in U.S. Dollars using the exchange rate on September 30, 2019) remains available for issuance under the Canadian Plan, or approximately 62,000 shares based on the closing share price of our stock of $27.67 as of September 30, 2019. During the first nine months of 2019, the trust formed pursuant to the Canadian Plan purchased 25,047 Westwood common shares in the open market for approximately $980,000. As of September 30, 2019, the trust holds 61,078 shares of Westwood common stock. As of September 30, 2019, unrecognized compensation cost related to restricted stock grants under the Canadian Plan totaled $907,000, which we expect to recognize over a weighted-average period of 1.8 years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 xml:space="preserve">We may grant mutual fund incentive awards, which are bonus awards based on our mutual funds achieving specific performance goals, annually to certain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w:t>
      </w:r>
      <w:r>
        <w:rPr>
          <w:rFonts w:ascii="Arial" w:cs="Arial" w:eastAsia="Arial" w:hAnsi="Arial"/>
          <w:sz w:val="18"/>
          <w:szCs w:val="18"/>
          <w:color w:val="222222"/>
        </w:rPr>
        <w:t>The investment may increase or decrease based on changes in the value of the mutual fund shares awarded, including</w:t>
      </w:r>
      <w:r>
        <w:rPr>
          <w:rFonts w:ascii="Arial" w:cs="Arial" w:eastAsia="Arial" w:hAnsi="Arial"/>
          <w:sz w:val="18"/>
          <w:szCs w:val="18"/>
          <w:color w:val="auto"/>
        </w:rPr>
        <w:t xml:space="preserve"> </w:t>
      </w:r>
      <w:r>
        <w:rPr>
          <w:rFonts w:ascii="Arial" w:cs="Arial" w:eastAsia="Arial" w:hAnsi="Arial"/>
          <w:sz w:val="18"/>
          <w:szCs w:val="18"/>
          <w:color w:val="222222"/>
        </w:rPr>
        <w:t xml:space="preserve">reinvested income from the mutual funds during the vesting period. </w:t>
      </w:r>
      <w:r>
        <w:rPr>
          <w:rFonts w:ascii="Arial" w:cs="Arial" w:eastAsia="Arial" w:hAnsi="Arial"/>
          <w:sz w:val="18"/>
          <w:szCs w:val="18"/>
          <w:color w:val="000000"/>
        </w:rPr>
        <w:t>Unvested mutual fund awards are included under</w:t>
      </w:r>
      <w:r>
        <w:rPr>
          <w:rFonts w:ascii="Arial" w:cs="Arial" w:eastAsia="Arial" w:hAnsi="Arial"/>
          <w:sz w:val="18"/>
          <w:szCs w:val="18"/>
          <w:color w:val="222222"/>
        </w:rPr>
        <w:t xml:space="preserve"> “Investments, at fair value” on our Condensed Consolidated Balance Sheets.</w:t>
      </w:r>
    </w:p>
    <w:p>
      <w:pPr>
        <w:spacing w:after="0" w:line="85" w:lineRule="exact"/>
        <w:rPr>
          <w:sz w:val="20"/>
          <w:szCs w:val="20"/>
          <w:color w:val="auto"/>
        </w:rPr>
      </w:pPr>
    </w:p>
    <w:p>
      <w:pPr>
        <w:ind w:right="20" w:firstLine="500"/>
        <w:spacing w:after="0" w:line="287" w:lineRule="auto"/>
        <w:rPr>
          <w:sz w:val="20"/>
          <w:szCs w:val="20"/>
          <w:color w:val="auto"/>
        </w:rPr>
      </w:pPr>
      <w:r>
        <w:rPr>
          <w:rFonts w:ascii="Arial" w:cs="Arial" w:eastAsia="Arial" w:hAnsi="Arial"/>
          <w:sz w:val="16"/>
          <w:szCs w:val="16"/>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3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September 30, 2019 and 2018, we recorded expense of approximately $12,000 and $89,000, respectively, related to mutual fund share incentive awards. For the nine months ended September 30, 2019, we recorded a net $100,000 credit to mutual fund expense, primarily related to the forfeiture of a mutual fund award during the first quarter. For the nine months ended September 30, 2018, we recorded expense of approximately $274,000 related to mutual fund share incentive awards. As of September 30, 2019 and December 31, 2018, we had an accrued liability of approximately $67,000 and $635,000, respectively, related to mutual fund share incentive awards.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INCOME TAXES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effective income tax rate was 28.4% for the third quarter of 2019, compared with 24.9% for the third quarter of 2018. Our effective income tax rate was 41.0% for the first nine months of 2019, compared with 25.3% for the first nine months of 2018. The current year-to-date rate was negatively impacted by a $638,000 discrete tax expense related to a permanent difference between book and tax restricted stock expense based on a decrease in our stock price between the grant and vesting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121"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Company is subject to taxation in the United States and various state and foreign jurisdictions. The audit of our 2015, 2016 and 2017 tax returns in a state jurisdiction in which we operate has been closed with no findings and had no impact on our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9" w:name="page20"/>
    <w:bookmarkEnd w:id="19"/>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75" w:lineRule="exact"/>
        <w:rPr>
          <w:sz w:val="20"/>
          <w:szCs w:val="20"/>
          <w:color w:val="auto"/>
        </w:rPr>
      </w:pPr>
    </w:p>
    <w:p>
      <w:pPr>
        <w:ind w:right="340" w:firstLine="500"/>
        <w:spacing w:after="0" w:line="279" w:lineRule="auto"/>
        <w:rPr>
          <w:sz w:val="20"/>
          <w:szCs w:val="20"/>
          <w:color w:val="auto"/>
        </w:rPr>
      </w:pPr>
      <w:r>
        <w:rPr>
          <w:rFonts w:ascii="Arial" w:cs="Arial" w:eastAsia="Arial" w:hAnsi="Arial"/>
          <w:sz w:val="17"/>
          <w:szCs w:val="17"/>
          <w:color w:val="auto"/>
        </w:rPr>
        <w:t>Some of our directors, executive officers and their affiliates invest personal funds directly in trust accounts that we manage. For the three months ended September 30, 2019 and 2018, we recorded trust fees from these accounts of $90,000 and $89,000, respectively. For the nine months ended September 30, 2019 and 2018, we recorded trust fees from these accounts of $252,000 and $276,000, respectively. There was approximately $90,000 and $84,000 due from these accounts as of September 30, 2019 and December 31, 2018, respectively.</w:t>
      </w:r>
    </w:p>
    <w:p>
      <w:pPr>
        <w:spacing w:after="0" w:line="63" w:lineRule="exact"/>
        <w:rPr>
          <w:sz w:val="20"/>
          <w:szCs w:val="20"/>
          <w:color w:val="auto"/>
        </w:rPr>
      </w:pPr>
    </w:p>
    <w:p>
      <w:pPr>
        <w:ind w:right="120" w:firstLine="500"/>
        <w:spacing w:after="0" w:line="270" w:lineRule="auto"/>
        <w:rPr>
          <w:sz w:val="20"/>
          <w:szCs w:val="20"/>
          <w:color w:val="auto"/>
        </w:rPr>
      </w:pPr>
      <w:r>
        <w:rPr>
          <w:rFonts w:ascii="Arial" w:cs="Arial" w:eastAsia="Arial" w:hAnsi="Arial"/>
          <w:sz w:val="17"/>
          <w:szCs w:val="17"/>
          <w:color w:val="222222"/>
        </w:rPr>
        <w:t xml:space="preserve">The Company engages in transactions with its affiliates in the ordinary course of business. Westwood International and </w:t>
      </w:r>
      <w:r>
        <w:rPr>
          <w:rFonts w:ascii="Arial" w:cs="Arial" w:eastAsia="Arial" w:hAnsi="Arial"/>
          <w:sz w:val="17"/>
          <w:szCs w:val="17"/>
          <w:color w:val="000000"/>
        </w:rPr>
        <w:t>Westwood Management</w:t>
      </w:r>
      <w:r>
        <w:rPr>
          <w:rFonts w:ascii="Arial" w:cs="Arial" w:eastAsia="Arial" w:hAnsi="Arial"/>
          <w:sz w:val="17"/>
          <w:szCs w:val="17"/>
          <w:color w:val="222222"/>
        </w:rPr>
        <w:t xml:space="preserve"> provide investment advisory services to the Westwood Funds®, and Westwood International provides investment advisory services to the UCITS Fund. Certain members of our management serve on the board of directors of the UCITS Fund, and we have capital invested in three of the Westwood Funds®. Under the terms of the investment advisory agreements, the Company earns quarterly fees paid by clients of the fund or by the funds directly. The fees are based on negotiated fee schedules applied to assets under management. For the three months ended September 30, 2019 and 2018, the Company earned approximately $708,000 and $1.0 million, respectively, in fees from the affiliated funds. For the nine months ended September 30, 2019 and 2018, the Company earned approximately $2.3 million and $3.3 million, respectively, in fees from the affiliated funds. These fees do not include fees paid directly to Westwood International by certain clients invested in the UCITS Fund that have an investment management agreement with Westwood International. As of September 30, 2019 and December 31, 2018, $240,000 and $295,000, respectively, of these fees were outstanding and included in “Accounts receivable” on our Condensed Consolidated Balance Sheets.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222222"/>
        </w:rPr>
        <w:t xml:space="preserve">As discussed in Note 4 “Investments,” the Company made a strategic investment in </w:t>
      </w:r>
      <w:r>
        <w:rPr>
          <w:rFonts w:ascii="Arial" w:cs="Arial" w:eastAsia="Arial" w:hAnsi="Arial"/>
          <w:sz w:val="16"/>
          <w:szCs w:val="16"/>
          <w:color w:val="000000"/>
        </w:rPr>
        <w:t>the Private Company during 2018</w:t>
      </w:r>
      <w:r>
        <w:rPr>
          <w:rFonts w:ascii="Arial" w:cs="Arial" w:eastAsia="Arial" w:hAnsi="Arial"/>
          <w:sz w:val="16"/>
          <w:szCs w:val="16"/>
          <w:color w:val="222222"/>
        </w:rPr>
        <w:t>. We previously entered into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22222"/>
        </w:rPr>
        <w:t>separate agreement with this company to implement portfolio management and digital solutions products. For the three months ended September 30,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22222"/>
        </w:rPr>
        <w:t>and 2018, we incurred approximately $216,000 and $162,000, respectively, in expenses payable to this company.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222222"/>
        </w:rPr>
        <w:t>September 30, 2019 and 2018, we incurred approximately $796,000 and $767,000, respectively, in expenses payable to this company. These expenses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22222"/>
        </w:rPr>
        <w:t>included in “Information technology expenses” on our Condensed Consolidated Statements of Comprehensive Income.</w:t>
      </w:r>
    </w:p>
    <w:p>
      <w:pPr>
        <w:spacing w:after="0" w:line="103"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222222"/>
        </w:rPr>
        <w:t>Additionally discussed in Note 4 “Investments,” the Company made an investment in Charis in September 2019. We previously entered into an agreement to sublease a portion of our corporate headquarters to a subsidiary of Charis. For the three and nine months ended September 30, 2019, we recorded other income of approximately $33,000 and $110,000, respectively, related to the sublease agreement. This income is included in “Other Income” on our Condensed Consolidated Statements of Comprehensive Income. We did not record any income from Charis for the three or nine months ended 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operating leases for corporate offices and for certain office equipment. The lease terms for our corporate offices vary and have remaining lease terms ranging from one to seven years. The corporate office lease payments are fixed and are based upon contractual monthly rates. The majority of our corporate office leases do not include options to extend or terminate the leases, and each lease is re-negotiated before its leasing period ends. We lease office equipment for a period of two years. In June 2019, we entered into a sublease agreement for a portion of newly built-out space in our corporate office. The sublease agreement has a term of seven years, and the sublease income is included in “Other income” on our Condensed Consolidated Statements of Comprehensive Income.</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following table presents the components of lease costs, as well as supplemental cash flow information, related to our leases (in thousands):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920" w:type="dxa"/>
            <w:vAlign w:val="bottom"/>
            <w:gridSpan w:val="3"/>
          </w:tcPr>
          <w:p>
            <w:pPr>
              <w:jc w:val="right"/>
              <w:ind w:right="29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20" w:type="dxa"/>
            <w:vAlign w:val="bottom"/>
            <w:gridSpan w:val="3"/>
          </w:tcPr>
          <w:p>
            <w:pPr>
              <w:jc w:val="right"/>
              <w:ind w:right="49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r>
      <w:tr>
        <w:trPr>
          <w:trHeight w:val="33"/>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1,010</w:t>
            </w: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Operating lease cost is included in “General and administrative” expense on our Condensed Consolidated Statements of Comprehensive Income.</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regarding our operating leases (in thousands, except years and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September 30, 2019</w:t>
            </w:r>
          </w:p>
        </w:tc>
        <w:tc>
          <w:tcPr>
            <w:tcW w:w="16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8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8,698</w:t>
            </w:r>
          </w:p>
        </w:tc>
        <w:tc>
          <w:tcPr>
            <w:tcW w:w="240" w:type="dxa"/>
            <w:vAlign w:val="bottom"/>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1,432</w:t>
            </w:r>
          </w:p>
        </w:tc>
        <w:tc>
          <w:tcPr>
            <w:tcW w:w="240" w:type="dxa"/>
            <w:vAlign w:val="bottom"/>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4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9,331</w:t>
            </w:r>
          </w:p>
        </w:tc>
        <w:tc>
          <w:tcPr>
            <w:tcW w:w="24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10,763</w:t>
            </w:r>
          </w:p>
        </w:tc>
        <w:tc>
          <w:tcPr>
            <w:tcW w:w="240" w:type="dxa"/>
            <w:vAlign w:val="bottom"/>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r>
      <w:tr>
        <w:trPr>
          <w:trHeight w:val="675"/>
        </w:trPr>
        <w:tc>
          <w:tcPr>
            <w:tcW w:w="8240" w:type="dxa"/>
            <w:vAlign w:val="bottom"/>
          </w:tcPr>
          <w:p>
            <w:pPr>
              <w:ind w:left="500"/>
              <w:spacing w:after="0"/>
              <w:rPr>
                <w:sz w:val="20"/>
                <w:szCs w:val="20"/>
                <w:color w:val="auto"/>
              </w:rPr>
            </w:pPr>
            <w:r>
              <w:rPr>
                <w:rFonts w:ascii="Arial" w:cs="Arial" w:eastAsia="Arial" w:hAnsi="Arial"/>
                <w:sz w:val="18"/>
                <w:szCs w:val="18"/>
                <w:color w:val="auto"/>
              </w:rPr>
              <w:t>The maturities of lease liabilities are as follows (in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8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Total undiscounted lease payments</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discount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(1,848)</w:t>
            </w:r>
          </w:p>
        </w:tc>
      </w:tr>
      <w:tr>
        <w:trPr>
          <w:trHeight w:val="257"/>
        </w:trPr>
        <w:tc>
          <w:tcPr>
            <w:tcW w:w="824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9,712</w:t>
            </w:r>
          </w:p>
        </w:tc>
      </w:tr>
      <w:tr>
        <w:trPr>
          <w:trHeight w:val="20"/>
        </w:trPr>
        <w:tc>
          <w:tcPr>
            <w:tcW w:w="8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remaining lease terms ranging from one year to seven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75"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accounting policies are the same as those described in the summary of significant accounting policies. Intersegment balances that eliminate in consolidation have been applied to the appropriate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160" w:firstLine="500"/>
        <w:spacing w:after="0" w:line="257" w:lineRule="auto"/>
        <w:rPr>
          <w:sz w:val="20"/>
          <w:szCs w:val="20"/>
          <w:color w:val="auto"/>
        </w:rPr>
      </w:pPr>
      <w:r>
        <w:rPr>
          <w:rFonts w:ascii="Arial" w:cs="Arial" w:eastAsia="Arial" w:hAnsi="Arial"/>
          <w:sz w:val="18"/>
          <w:szCs w:val="18"/>
          <w:color w:val="auto"/>
        </w:rPr>
        <w:t>Our Advisory segment provides investment advisory services to (i) corporate pension and profit sharing plans, public employee retirement funds,Taft Hartley plans, endowments, foundations and individuals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(ii) subadvisory relationships where Westwood provides investment management services to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funds offered by other financial institutions and funds offered by our Trust segment and (iii) pooled investment vehicles, including the UCITS Fund and collective investment trusts. Westwood Management and Westwood International, which provide investment advisory services to similar clients, are included in our Advisory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Trust provides trust and custodial services and participation in common trust funds that it sponsors to institutions and high net worth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13,318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6,281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19,599</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14,291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19,892</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3,871</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177,313</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September 30, 2018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29,214</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10,553</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5,368</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220,138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60,658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(105,008)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192,627</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8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44,719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19,264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63,983</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846</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w:t>
            </w: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48,598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19,680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65,463</w:t>
            </w: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12,761</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7,932</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72,963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22,265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95,228</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79,397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22,594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96,181</w:t>
            </w: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37,463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34,428</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11,658</w:t>
            </w: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0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Three Months Ended September</w:t>
            </w:r>
          </w:p>
        </w:tc>
        <w:tc>
          <w:tcPr>
            <w:tcW w:w="120" w:type="dxa"/>
            <w:vAlign w:val="bottom"/>
          </w:tcPr>
          <w:p>
            <w:pPr>
              <w:spacing w:after="0"/>
              <w:rPr>
                <w:sz w:val="17"/>
                <w:szCs w:val="17"/>
                <w:color w:val="auto"/>
              </w:rPr>
            </w:pPr>
          </w:p>
        </w:tc>
        <w:tc>
          <w:tcPr>
            <w:tcW w:w="2260" w:type="dxa"/>
            <w:vAlign w:val="bottom"/>
            <w:gridSpan w:val="5"/>
          </w:tcPr>
          <w:p>
            <w:pPr>
              <w:jc w:val="right"/>
              <w:spacing w:after="0"/>
              <w:rPr>
                <w:sz w:val="20"/>
                <w:szCs w:val="20"/>
                <w:color w:val="auto"/>
              </w:rPr>
            </w:pPr>
            <w:r>
              <w:rPr>
                <w:rFonts w:ascii="Arial" w:cs="Arial" w:eastAsia="Arial" w:hAnsi="Arial"/>
                <w:sz w:val="16"/>
                <w:szCs w:val="16"/>
                <w:b w:val="1"/>
                <w:bCs w:val="1"/>
                <w:color w:val="auto"/>
                <w:w w:val="91"/>
              </w:rPr>
              <w:t>Nine Months Ended September</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36"/>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21,338</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11,658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1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12,761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34,428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jc w:val="center"/>
        <w:ind w:left="780" w:right="16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Declared</w:t>
      </w:r>
    </w:p>
    <w:p>
      <w:pPr>
        <w:spacing w:after="0" w:line="17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In October 2019, Westwood’s Board of Directors declared a quarterly cash dividend of $0.72 per common share, payable on January 2, 2020, to stockholders of record on December 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October 2019, we repurchased 42,171shares of our common stock for an aggregate purchase price of approximately $1.2 million.</w:t>
      </w:r>
    </w:p>
    <w:p>
      <w:pPr>
        <w:spacing w:after="0" w:line="26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240" w:top="121" w:right="779" w:bottom="1440" w:gutter="0" w:footer="0" w:header="0"/>
        </w:sectPr>
      </w:pPr>
    </w:p>
    <w:bookmarkStart w:id="24" w:name="page25"/>
    <w:bookmarkEnd w:id="24"/>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2018, filed with the SEC, and those risks set forth below:</w:t>
      </w:r>
    </w:p>
    <w:p>
      <w:pPr>
        <w:spacing w:after="0" w:line="70" w:lineRule="exact"/>
        <w:rPr>
          <w:sz w:val="20"/>
          <w:szCs w:val="20"/>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assets under management includes investments in foreign companies;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6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ind w:right="40" w:firstLine="500"/>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Irish investment company authorized pursuant to the European Communities (Undertakings for Collective Investment in Transferable Securities) Regulation 2011 (as amended) (the “UCITS Fund”), individuals and clients of Westwood Trust. Westwood International provides investment advisory services to institutional clients, the Westwood Funds®, other mutual funds, the UCITS Fund and clients of Westwood Trust. Westwood Trust provides trust and custodial services and participation in common trust funds to institutions and high net worth individuals. Our revenues are generally derived from fees based on a percentage of assets under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71"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Wealth Management business. The sale closed on January 12, 2018. We received proceeds of $10.0 million, net of working capital requirements, and recorded a gain on the sale of $524,000, which is included as “Gain on sale of operations” on our Consolidated Statement of Comprehensive Income. The component is reported within both our Advisory and Trust segments. The sale did not represent a major strategic shift in our business and did not qualify for discontinued operations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9" w:lineRule="exact"/>
        <w:rPr>
          <w:sz w:val="20"/>
          <w:szCs w:val="20"/>
          <w:color w:val="auto"/>
        </w:rPr>
      </w:pPr>
    </w:p>
    <w:p>
      <w:pPr>
        <w:ind w:right="100" w:firstLine="500"/>
        <w:spacing w:after="0" w:line="273"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are primarily either calculated quarterly in arrears based on a daily average of assets under management for the quarter. Since billing periods for most of Westwood Trust’s clients coincide with the calendar quarter or monthly based on the month-end assets under management.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70"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compensation and benefits expenses generally consist of salaries, incentive compensation, equity-based compensation and benefits.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relate to our marketing efforts, including travel and entertainment, direct marketing and 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8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0"/>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our office space, amortization, depreciation, insurance, custody expense, Directors' fees, investor relations, licenses and fees, office supplies and other miscellaneous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operations includes the gain on the sale of our Omaha-based component of our Wealth Management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consists of income from the sublease of a portion of our corporate office.</w:t>
      </w:r>
    </w:p>
    <w:p>
      <w:pPr>
        <w:spacing w:after="0" w:line="200" w:lineRule="exact"/>
        <w:rPr>
          <w:sz w:val="20"/>
          <w:szCs w:val="20"/>
          <w:color w:val="auto"/>
        </w:rPr>
      </w:pPr>
    </w:p>
    <w:p>
      <w:pPr>
        <w:spacing w:after="0" w:line="37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584" w:right="6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Assets under management (“AUM”) decreased $5.8 billion to $15.0 billion at September 30, 2019 compared with $20.8 billion at September 30, 2018. The average of beginning and ending assets under management for the third quarter of 2019 was $15.2 billion compared to $21.2 billion for the third quarter of 2018. These decreases are due to net outflows, including $274 million of outflows related to the sale of the Omaha-based component of our Wealth Management business, partially offset by market appreciation, over the last twelve months.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assets under management as of September 30, 2019 and 2018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As of September 30,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Institutional</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11,979</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96"/>
              </w:rPr>
              <w:t>(30)%</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Wealth Management</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4,790</w:t>
            </w: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4,031</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14,986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20,800</w:t>
            </w: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w w:val="96"/>
              </w:rPr>
              <w:t>(28)%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Institutional </w:t>
      </w:r>
      <w:r>
        <w:rPr>
          <w:rFonts w:ascii="Arial" w:cs="Arial" w:eastAsia="Arial" w:hAnsi="Arial"/>
          <w:sz w:val="16"/>
          <w:szCs w:val="16"/>
          <w:color w:val="auto"/>
        </w:rPr>
        <w:t>includes (i) separate accounts of corporate pension and profit sharing plans, public employee retirement funds, Taft-Hartley plans, endowments, foundations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25" w:lineRule="exact"/>
        <w:rPr>
          <w:rFonts w:ascii="Arial" w:cs="Arial" w:eastAsia="Arial" w:hAnsi="Arial"/>
          <w:sz w:val="16"/>
          <w:szCs w:val="16"/>
          <w:color w:val="auto"/>
        </w:rPr>
      </w:pPr>
    </w:p>
    <w:p>
      <w:pPr>
        <w:jc w:val="both"/>
        <w:ind w:left="340" w:hanging="332"/>
        <w:spacing w:after="0" w:line="272"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Wealth Management </w:t>
      </w:r>
      <w:r>
        <w:rPr>
          <w:rFonts w:ascii="Arial" w:cs="Arial" w:eastAsia="Arial" w:hAnsi="Arial"/>
          <w:sz w:val="15"/>
          <w:szCs w:val="15"/>
          <w:color w:val="auto"/>
        </w:rPr>
        <w:t>includes assets for which Westwood Trust provides trust and custodial services and participation in common trust funds that it sponsors to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high net worth individuals pursuant to trust or agency agreements and assets for which Westwood Advisors, L.L.C. provided advisory services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15" w:lineRule="exact"/>
        <w:rPr>
          <w:rFonts w:ascii="Arial" w:cs="Arial" w:eastAsia="Arial" w:hAnsi="Arial"/>
          <w:sz w:val="15"/>
          <w:szCs w:val="15"/>
          <w:color w:val="auto"/>
        </w:rPr>
      </w:pPr>
    </w:p>
    <w:p>
      <w:pPr>
        <w:ind w:left="340" w:right="20" w:hanging="332"/>
        <w:spacing w:after="0" w:line="27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Mutual Funds </w:t>
      </w:r>
      <w:r>
        <w:rPr>
          <w:rFonts w:ascii="Arial" w:cs="Arial" w:eastAsia="Arial" w:hAnsi="Arial"/>
          <w:sz w:val="16"/>
          <w:szCs w:val="16"/>
          <w:color w:val="auto"/>
        </w:rPr>
        <w:t>include the Westwood Funds</w:t>
      </w:r>
      <w:r>
        <w:rPr>
          <w:rFonts w:ascii="Arial" w:cs="Arial" w:eastAsia="Arial" w:hAnsi="Arial"/>
          <w:sz w:val="16"/>
          <w:szCs w:val="16"/>
          <w:b w:val="1"/>
          <w:bCs w:val="1"/>
          <w:i w:val="1"/>
          <w:iCs w:val="1"/>
          <w:color w:val="auto"/>
        </w:rPr>
        <w:t>®</w:t>
      </w:r>
      <w:r>
        <w:rPr>
          <w:rFonts w:ascii="Arial" w:cs="Arial" w:eastAsia="Arial" w:hAnsi="Arial"/>
          <w:sz w:val="16"/>
          <w:szCs w:val="16"/>
          <w:color w:val="auto"/>
        </w:rPr>
        <w:t>, a family of mutual funds for which Westwood Management serves as advisor. These funds are available to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as well as offered as part of our investment strategies for institutional and wealth management accounts.</w:t>
      </w:r>
    </w:p>
    <w:p>
      <w:pPr>
        <w:spacing w:after="0" w:line="6"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AUM excludes $266 million and $268 million of assets under advisement (</w:t>
      </w:r>
      <w:r>
        <w:rPr>
          <w:rFonts w:ascii="Arial" w:cs="Arial" w:eastAsia="Arial" w:hAnsi="Arial"/>
          <w:sz w:val="18"/>
          <w:szCs w:val="18"/>
          <w:color w:val="auto"/>
        </w:rPr>
        <w:t>“</w:t>
      </w:r>
      <w:r>
        <w:rPr>
          <w:rFonts w:ascii="Arial" w:cs="Arial" w:eastAsia="Arial" w:hAnsi="Arial"/>
          <w:sz w:val="16"/>
          <w:szCs w:val="16"/>
          <w:color w:val="auto"/>
        </w:rPr>
        <w:t>AUA</w:t>
      </w:r>
      <w:r>
        <w:rPr>
          <w:rFonts w:ascii="Arial" w:cs="Arial" w:eastAsia="Arial" w:hAnsi="Arial"/>
          <w:sz w:val="18"/>
          <w:szCs w:val="18"/>
          <w:color w:val="auto"/>
        </w:rPr>
        <w:t>”</w:t>
      </w:r>
      <w:r>
        <w:rPr>
          <w:rFonts w:ascii="Arial" w:cs="Arial" w:eastAsia="Arial" w:hAnsi="Arial"/>
          <w:sz w:val="16"/>
          <w:szCs w:val="16"/>
          <w:color w:val="auto"/>
        </w:rPr>
        <w:t>) as of September 30, 2019 and 2018,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460" w:type="dxa"/>
            <w:vAlign w:val="bottom"/>
            <w:gridSpan w:val="7"/>
          </w:tcPr>
          <w:p>
            <w:pPr>
              <w:ind w:left="60"/>
              <w:spacing w:after="0"/>
              <w:rPr>
                <w:sz w:val="20"/>
                <w:szCs w:val="20"/>
                <w:color w:val="auto"/>
              </w:rPr>
            </w:pPr>
            <w:r>
              <w:rPr>
                <w:rFonts w:ascii="Arial" w:cs="Arial" w:eastAsia="Arial" w:hAnsi="Arial"/>
                <w:sz w:val="16"/>
                <w:szCs w:val="16"/>
                <w:b w:val="1"/>
                <w:bCs w:val="1"/>
                <w:color w:val="auto"/>
                <w:w w:val="96"/>
              </w:rPr>
              <w:t>Three Months Ended September</w:t>
            </w:r>
          </w:p>
        </w:tc>
        <w:tc>
          <w:tcPr>
            <w:tcW w:w="234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Nine Months Ended September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00" w:type="dxa"/>
            <w:vAlign w:val="bottom"/>
            <w:gridSpan w:val="5"/>
            <w:vMerge w:val="continue"/>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Institutional</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7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8,377</w:t>
            </w:r>
          </w:p>
        </w:tc>
        <w:tc>
          <w:tcPr>
            <w:tcW w:w="40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12,457</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9,327</w:t>
            </w:r>
          </w:p>
        </w:tc>
        <w:tc>
          <w:tcPr>
            <w:tcW w:w="40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14,421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Inflows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Outflows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(2,790)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(3,858)</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Net client flows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Market appreciation (depreciation)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64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End of period assets</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8,347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11,979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8,347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11,979</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Wealth Management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4,399</w:t>
            </w:r>
          </w:p>
        </w:tc>
        <w:tc>
          <w:tcPr>
            <w:tcW w:w="40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4,043</w:t>
            </w:r>
          </w:p>
        </w:tc>
        <w:tc>
          <w:tcPr>
            <w:tcW w:w="40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Inflows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0" w:type="dxa"/>
            <w:vAlign w:val="bottom"/>
            <w:gridSpan w:val="5"/>
            <w:shd w:val="clear" w:color="auto" w:fill="CCEEFF"/>
          </w:tcPr>
          <w:p>
            <w:pPr>
              <w:ind w:left="360"/>
              <w:spacing w:after="0" w:line="270" w:lineRule="exact"/>
              <w:rPr>
                <w:sz w:val="20"/>
                <w:szCs w:val="20"/>
                <w:color w:val="auto"/>
              </w:rPr>
            </w:pPr>
            <w:r>
              <w:rPr>
                <w:rFonts w:ascii="Arial" w:cs="Arial" w:eastAsia="Arial" w:hAnsi="Arial"/>
                <w:sz w:val="17"/>
                <w:szCs w:val="17"/>
                <w:color w:val="auto"/>
              </w:rPr>
              <w:t>Outflows</w:t>
            </w:r>
            <w:r>
              <w:rPr>
                <w:rFonts w:ascii="Arial" w:cs="Arial" w:eastAsia="Arial" w:hAnsi="Arial"/>
                <w:sz w:val="28"/>
                <w:szCs w:val="28"/>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Net client flows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Market appreciation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400" w:type="dxa"/>
            <w:vAlign w:val="bottom"/>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4,790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400" w:type="dxa"/>
            <w:vAlign w:val="bottom"/>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Mutual Funds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2,612</w:t>
            </w:r>
          </w:p>
        </w:tc>
        <w:tc>
          <w:tcPr>
            <w:tcW w:w="40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4,199</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3,236</w:t>
            </w:r>
          </w:p>
        </w:tc>
        <w:tc>
          <w:tcPr>
            <w:tcW w:w="40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4,242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Inflows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Outflows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Net client flows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Market appreciation (depreciation)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64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End of period assets</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4,031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Total AUM</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15,388</w:t>
            </w:r>
          </w:p>
        </w:tc>
        <w:tc>
          <w:tcPr>
            <w:tcW w:w="40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16,606</w:t>
            </w:r>
          </w:p>
        </w:tc>
        <w:tc>
          <w:tcPr>
            <w:tcW w:w="40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Inflows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2,196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Outflows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Net client flows</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(3,841)</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(3,938)</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Market appreciation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(1,620)</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(3,429)</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20,800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-98425</wp:posOffset>
            </wp:positionV>
            <wp:extent cx="305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 w:lineRule="exact"/>
        <w:rPr>
          <w:sz w:val="20"/>
          <w:szCs w:val="20"/>
          <w:color w:val="auto"/>
        </w:rPr>
      </w:pPr>
    </w:p>
    <w:p>
      <w:pPr>
        <w:ind w:left="660" w:right="460" w:hanging="652"/>
        <w:spacing w:after="0" w:line="26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Wealth Management outflows include approximately $271 million and $802 million of assets related to the sale of the Omaha-based component of our Wealth Management business for the three and nine months ended September 30, 2018,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and 2018</w:t>
      </w:r>
    </w:p>
    <w:p>
      <w:pPr>
        <w:spacing w:after="0" w:line="117" w:lineRule="exact"/>
        <w:rPr>
          <w:sz w:val="20"/>
          <w:szCs w:val="20"/>
          <w:color w:val="auto"/>
        </w:rPr>
      </w:pPr>
    </w:p>
    <w:p>
      <w:pPr>
        <w:ind w:firstLine="500"/>
        <w:spacing w:after="0" w:line="342" w:lineRule="auto"/>
        <w:rPr>
          <w:sz w:val="20"/>
          <w:szCs w:val="20"/>
          <w:color w:val="auto"/>
        </w:rPr>
      </w:pPr>
      <w:r>
        <w:rPr>
          <w:rFonts w:ascii="Arial" w:cs="Arial" w:eastAsia="Arial" w:hAnsi="Arial"/>
          <w:sz w:val="16"/>
          <w:szCs w:val="16"/>
          <w:color w:val="auto"/>
        </w:rPr>
        <w:t>The $402 million decrease in assets under management for the three months ended September 30, 2019 was due to net outflows of $591 million, offset by market appreciation of $189 million. Net outflows were primarily related to our Income Opportunity, LargeCap Value and SMidCap strategies.</w:t>
      </w:r>
    </w:p>
    <w:p>
      <w:pPr>
        <w:spacing w:after="0" w:line="70"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The $791 million decrease in assets under management for the three months ended September 30, 2018 was due to net outflows of $1.5 billion, partially offset by market appreciation of $690 million. Net outflows were primarily related to our Emerging Markets, SMidCap and Income Opportunity strategies, as well as outflows from the divestiture of our Omaha operations.</w:t>
      </w:r>
    </w:p>
    <w:p>
      <w:pPr>
        <w:sectPr>
          <w:pgSz w:w="11900" w:h="16838" w:orient="portrait"/>
          <w:cols w:equalWidth="0" w:num="1">
            <w:col w:w="11380"/>
          </w:cols>
          <w:pgMar w:left="240" w:top="688" w:right="27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80"/>
          </w:cols>
          <w:pgMar w:left="240" w:top="688" w:right="2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Nine months ended September 30, 2019 and 2018</w:t>
      </w:r>
    </w:p>
    <w:p>
      <w:pPr>
        <w:spacing w:after="0" w:line="117"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The $1.6 billion decrease in assets under management for the nine months ended September 30, 2019 was due to net outflows of $3.8 billion, offset by market appreciation of $2.2 billion. Net outflows were primarily related to our Income Opportunity, Emerging Markets, LargeCap Value and SMidCap strategies, partially offset by net inflows to our SmallCap Value strategy.</w:t>
      </w:r>
    </w:p>
    <w:p>
      <w:pPr>
        <w:spacing w:after="0" w:line="18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$3.4 billion decrease in assets under management for the nine months ended September 30, 2018 was due to net outflows of $3.9 billion, partially offset by market appreciation of $509 million. Net outflows were primarily related to our Emerging Markets, SMidCap, Income Opportunity and LargeCap Value strategies, as well as outflows from the divestiture of our Omaha operations, partially offset by net inflows to our SmallCap Value strategy.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2"/>
              </w:rPr>
              <w:t>Three Months Ended</w:t>
            </w:r>
          </w:p>
        </w:tc>
        <w:tc>
          <w:tcPr>
            <w:tcW w:w="240" w:type="dxa"/>
            <w:vAlign w:val="bottom"/>
          </w:tcPr>
          <w:p>
            <w:pPr>
              <w:spacing w:after="0"/>
              <w:rPr>
                <w:sz w:val="19"/>
                <w:szCs w:val="19"/>
                <w:color w:val="auto"/>
              </w:rPr>
            </w:pPr>
          </w:p>
        </w:tc>
        <w:tc>
          <w:tcPr>
            <w:tcW w:w="190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9"/>
                <w:szCs w:val="19"/>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5"/>
                <w:szCs w:val="15"/>
                <w:b w:val="1"/>
                <w:bCs w:val="1"/>
                <w:color w:val="auto"/>
                <w:w w:val="96"/>
              </w:rPr>
              <w:t>% Change</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5"/>
            <w:vMerge w:val="restart"/>
          </w:tcPr>
          <w:p>
            <w:pPr>
              <w:jc w:val="center"/>
              <w:ind w:right="340"/>
              <w:spacing w:after="0"/>
              <w:rPr>
                <w:sz w:val="20"/>
                <w:szCs w:val="20"/>
                <w:color w:val="auto"/>
              </w:rPr>
            </w:pPr>
            <w:r>
              <w:rPr>
                <w:rFonts w:ascii="Arial" w:cs="Arial" w:eastAsia="Arial" w:hAnsi="Arial"/>
                <w:sz w:val="15"/>
                <w:szCs w:val="15"/>
                <w:b w:val="1"/>
                <w:bCs w:val="1"/>
                <w:color w:val="auto"/>
                <w:w w:val="91"/>
              </w:rPr>
              <w:t>September 30,</w:t>
            </w:r>
          </w:p>
        </w:tc>
        <w:tc>
          <w:tcPr>
            <w:tcW w:w="240" w:type="dxa"/>
            <w:vAlign w:val="bottom"/>
          </w:tcPr>
          <w:p>
            <w:pPr>
              <w:spacing w:after="0"/>
              <w:rPr>
                <w:sz w:val="17"/>
                <w:szCs w:val="17"/>
                <w:color w:val="auto"/>
              </w:rPr>
            </w:pPr>
          </w:p>
        </w:tc>
        <w:tc>
          <w:tcPr>
            <w:tcW w:w="1900" w:type="dxa"/>
            <w:vAlign w:val="bottom"/>
            <w:gridSpan w:val="4"/>
            <w:vMerge w:val="restart"/>
          </w:tcPr>
          <w:p>
            <w:pPr>
              <w:jc w:val="right"/>
              <w:ind w:right="499"/>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7"/>
                <w:szCs w:val="17"/>
                <w:color w:val="auto"/>
              </w:rPr>
            </w:pPr>
          </w:p>
        </w:tc>
        <w:tc>
          <w:tcPr>
            <w:tcW w:w="1700" w:type="dxa"/>
            <w:vAlign w:val="bottom"/>
            <w:gridSpan w:val="3"/>
          </w:tcPr>
          <w:p>
            <w:pPr>
              <w:ind w:left="460"/>
              <w:spacing w:after="0"/>
              <w:rPr>
                <w:sz w:val="20"/>
                <w:szCs w:val="20"/>
                <w:color w:val="auto"/>
              </w:rPr>
            </w:pPr>
            <w:r>
              <w:rPr>
                <w:rFonts w:ascii="Arial" w:cs="Arial" w:eastAsia="Arial" w:hAnsi="Arial"/>
                <w:sz w:val="15"/>
                <w:szCs w:val="15"/>
                <w:color w:val="auto"/>
              </w:rPr>
              <w:t>Three</w:t>
            </w:r>
          </w:p>
        </w:tc>
        <w:tc>
          <w:tcPr>
            <w:tcW w:w="900" w:type="dxa"/>
            <w:vAlign w:val="bottom"/>
          </w:tcPr>
          <w:p>
            <w:pPr>
              <w:jc w:val="right"/>
              <w:ind w:right="383"/>
              <w:spacing w:after="0"/>
              <w:rPr>
                <w:sz w:val="20"/>
                <w:szCs w:val="20"/>
                <w:color w:val="auto"/>
              </w:rPr>
            </w:pPr>
            <w:r>
              <w:rPr>
                <w:rFonts w:ascii="Arial" w:cs="Arial" w:eastAsia="Arial" w:hAnsi="Arial"/>
                <w:sz w:val="15"/>
                <w:szCs w:val="15"/>
                <w:color w:val="auto"/>
              </w:rPr>
              <w:t>Nine</w:t>
            </w:r>
          </w:p>
        </w:tc>
        <w:tc>
          <w:tcPr>
            <w:tcW w:w="0" w:type="dxa"/>
            <w:vAlign w:val="bottom"/>
          </w:tcPr>
          <w:p>
            <w:pPr>
              <w:spacing w:after="0"/>
              <w:rPr>
                <w:sz w:val="1"/>
                <w:szCs w:val="1"/>
                <w:color w:val="auto"/>
              </w:rPr>
            </w:pPr>
          </w:p>
        </w:tc>
      </w:tr>
      <w:tr>
        <w:trPr>
          <w:trHeight w:val="56"/>
        </w:trPr>
        <w:tc>
          <w:tcPr>
            <w:tcW w:w="4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3"/>
                <w:szCs w:val="23"/>
                <w:color w:val="auto"/>
              </w:rPr>
            </w:pPr>
          </w:p>
        </w:tc>
        <w:tc>
          <w:tcPr>
            <w:tcW w:w="1700" w:type="dxa"/>
            <w:vAlign w:val="bottom"/>
            <w:gridSpan w:val="3"/>
          </w:tcPr>
          <w:p>
            <w:pPr>
              <w:ind w:left="400"/>
              <w:spacing w:after="0"/>
              <w:rPr>
                <w:sz w:val="20"/>
                <w:szCs w:val="20"/>
                <w:color w:val="auto"/>
              </w:rPr>
            </w:pPr>
            <w:r>
              <w:rPr>
                <w:rFonts w:ascii="Arial" w:cs="Arial" w:eastAsia="Arial" w:hAnsi="Arial"/>
                <w:sz w:val="15"/>
                <w:szCs w:val="15"/>
                <w:color w:val="auto"/>
              </w:rPr>
              <w:t>Months</w:t>
            </w:r>
          </w:p>
        </w:tc>
        <w:tc>
          <w:tcPr>
            <w:tcW w:w="900" w:type="dxa"/>
            <w:vAlign w:val="bottom"/>
          </w:tcPr>
          <w:p>
            <w:pPr>
              <w:jc w:val="right"/>
              <w:ind w:right="303"/>
              <w:spacing w:after="0"/>
              <w:rPr>
                <w:sz w:val="20"/>
                <w:szCs w:val="20"/>
                <w:color w:val="auto"/>
              </w:rPr>
            </w:pPr>
            <w:r>
              <w:rPr>
                <w:rFonts w:ascii="Arial" w:cs="Arial" w:eastAsia="Arial" w:hAnsi="Arial"/>
                <w:sz w:val="15"/>
                <w:szCs w:val="15"/>
                <w:color w:val="auto"/>
              </w:rPr>
              <w:t>Months</w:t>
            </w:r>
          </w:p>
        </w:tc>
        <w:tc>
          <w:tcPr>
            <w:tcW w:w="0" w:type="dxa"/>
            <w:vAlign w:val="bottom"/>
          </w:tcPr>
          <w:p>
            <w:pPr>
              <w:spacing w:after="0"/>
              <w:rPr>
                <w:sz w:val="1"/>
                <w:szCs w:val="1"/>
                <w:color w:val="auto"/>
              </w:rPr>
            </w:pPr>
          </w:p>
        </w:tc>
      </w:tr>
      <w:tr>
        <w:trPr>
          <w:trHeight w:val="208"/>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Advisory fees: asset-based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13,164</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22,023</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44,265</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69,979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Advisory fees: performance-based</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CCEEFF"/>
          </w:tcPr>
          <w:p>
            <w:pPr>
              <w:spacing w:after="0"/>
              <w:rPr>
                <w:sz w:val="23"/>
                <w:szCs w:val="23"/>
                <w:color w:val="auto"/>
              </w:rPr>
            </w:pP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Trust fees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6,281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7,191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19,264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22,265</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23"/>
                <w:szCs w:val="23"/>
                <w:color w:val="auto"/>
              </w:rPr>
            </w:pP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46"/>
        </w:trPr>
        <w:tc>
          <w:tcPr>
            <w:tcW w:w="42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65,463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96,181</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12,072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14,444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38,060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46,857</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1,401</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Westwood mutual funds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2,966</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Information technology</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6,753</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3,677</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7,300</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(Gain) loss on foreign currency transactions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3"/>
          </w:tcPr>
          <w:p>
            <w:pPr>
              <w:ind w:left="780"/>
              <w:spacing w:after="0"/>
              <w:rPr>
                <w:sz w:val="20"/>
                <w:szCs w:val="20"/>
                <w:color w:val="auto"/>
              </w:rPr>
            </w:pPr>
            <w:r>
              <w:rPr>
                <w:rFonts w:ascii="Arial" w:cs="Arial" w:eastAsia="Arial" w:hAnsi="Arial"/>
                <w:sz w:val="15"/>
                <w:szCs w:val="15"/>
                <w:color w:val="auto"/>
              </w:rPr>
              <w:t>NM</w:t>
            </w:r>
          </w:p>
        </w:tc>
        <w:tc>
          <w:tcPr>
            <w:tcW w:w="9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18,366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22,703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59,862</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68,131</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operating income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7,151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28,050</w:t>
            </w:r>
          </w:p>
        </w:tc>
        <w:tc>
          <w:tcPr>
            <w:tcW w:w="134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color w:val="auto"/>
              </w:rPr>
              <w:t>(79)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5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operations</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9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gridSpan w:val="3"/>
          </w:tcPr>
          <w:p>
            <w:pPr>
              <w:ind w:left="780"/>
              <w:spacing w:after="0"/>
              <w:rPr>
                <w:sz w:val="20"/>
                <w:szCs w:val="20"/>
                <w:color w:val="auto"/>
              </w:rPr>
            </w:pPr>
            <w:r>
              <w:rPr>
                <w:rFonts w:ascii="Arial" w:cs="Arial" w:eastAsia="Arial" w:hAnsi="Arial"/>
                <w:sz w:val="15"/>
                <w:szCs w:val="15"/>
                <w:color w:val="auto"/>
              </w:rPr>
              <w:t>NM</w:t>
            </w:r>
          </w:p>
        </w:tc>
        <w:tc>
          <w:tcPr>
            <w:tcW w:w="900" w:type="dxa"/>
            <w:vAlign w:val="bottom"/>
          </w:tcPr>
          <w:p>
            <w:pPr>
              <w:jc w:val="right"/>
              <w:ind w:right="42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54"/>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28,574</w:t>
            </w:r>
          </w:p>
        </w:tc>
        <w:tc>
          <w:tcPr>
            <w:tcW w:w="1340" w:type="dxa"/>
            <w:vAlign w:val="bottom"/>
            <w:tcBorders>
              <w:top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(78)</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4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7,236</w:t>
            </w:r>
          </w:p>
        </w:tc>
        <w:tc>
          <w:tcPr>
            <w:tcW w:w="134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color w:val="auto"/>
              </w:rPr>
              <w:t>(75)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21,338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180"/>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17"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$10.0 million, or 33%, to $19.9 million for the three months ended September 30, 2019 compared with $29.9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2018. Asset-based advisory fees decreased $8.8 million, or 40%, and Trust fees decreased $0.9 million, or 13%, both primarily due to lower average assets under management. We recorded performance-based fees of $0.2 million for the three months ended September 30, 2019.</w:t>
      </w:r>
    </w:p>
    <w:p>
      <w:pPr>
        <w:spacing w:after="0" w:line="133"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i w:val="1"/>
          <w:iCs w:val="1"/>
          <w:color w:val="auto"/>
        </w:rPr>
        <w:t xml:space="preserve">Employee Compensation and Benefits. </w:t>
      </w:r>
      <w:r>
        <w:rPr>
          <w:rFonts w:ascii="Arial" w:cs="Arial" w:eastAsia="Arial" w:hAnsi="Arial"/>
          <w:sz w:val="16"/>
          <w:szCs w:val="16"/>
          <w:color w:val="auto"/>
        </w:rPr>
        <w:t>Employee compensation and benefits decreased $2.3 million, or 16%, to $12.1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2019 compared with $14.4 million for the three months ended September 30, 2018. The decrease was due to reductions in compensation relating to short- and long-term incentive compensation as a result of lower asset-based revenues as compared to the prior year quarter.</w:t>
      </w:r>
    </w:p>
    <w:p>
      <w:pPr>
        <w:spacing w:after="0" w:line="93"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decreased $0.5 million, or 31%, to $0.9 million for the three months ended September 30,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$1.4 million for the three months ended September 30, 2018. The decrease was primarily due to reductions in subadvisory costs and recruitment fees versus those incurred in the third quarter of 2018.</w:t>
      </w:r>
    </w:p>
    <w:p>
      <w:pPr>
        <w:spacing w:after="0" w:line="127"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$402,000 in foreign currency gains in the current quarter as a result of a 1.1%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Canadian dollar exchange rate.</w:t>
      </w:r>
    </w:p>
    <w:p>
      <w:pPr>
        <w:spacing w:after="0" w:line="116"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increased to 28.4% for the three months ended September 30, 2019 from 24.9%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The current quarter rate was negatively impacted by increased permanent differences between book and tax compensation expense as a result of additional compensation limitations under the Tax Cuts and Jobs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71" w:lineRule="exact"/>
        <w:rPr>
          <w:sz w:val="20"/>
          <w:szCs w:val="20"/>
          <w:color w:val="auto"/>
        </w:rPr>
      </w:pPr>
    </w:p>
    <w:p>
      <w:pPr>
        <w:ind w:right="80" w:firstLine="500"/>
        <w:spacing w:after="0" w:line="257"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$30.7 million, or 32%, to $65.5 million for the nine months ended September 30, 2019 compared with $96.2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2018. Asset-based advisory fees decreased $25.7 million, or 37%, related to lower average assets under management, and Trust fees decreased $3.0 million, or 13%, primarily due to the sale of the Omaha-based component of our Wealth Management business. Performance-based fees decreased $2.5 million to $0.5 million for the nine months ended September 30, 2019 compared with $3.0 million for the nine months ended September 30, 2018.</w:t>
      </w:r>
    </w:p>
    <w:p>
      <w:pPr>
        <w:spacing w:after="0" w:line="188" w:lineRule="exact"/>
        <w:rPr>
          <w:sz w:val="20"/>
          <w:szCs w:val="20"/>
          <w:color w:val="auto"/>
        </w:rPr>
      </w:pPr>
    </w:p>
    <w:p>
      <w:pPr>
        <w:ind w:right="580" w:firstLine="500"/>
        <w:spacing w:after="0" w:line="279" w:lineRule="auto"/>
        <w:rPr>
          <w:sz w:val="20"/>
          <w:szCs w:val="20"/>
          <w:color w:val="auto"/>
        </w:rPr>
      </w:pPr>
      <w:r>
        <w:rPr>
          <w:rFonts w:ascii="Arial" w:cs="Arial" w:eastAsia="Arial" w:hAnsi="Arial"/>
          <w:sz w:val="17"/>
          <w:szCs w:val="17"/>
          <w:i w:val="1"/>
          <w:iCs w:val="1"/>
          <w:color w:val="auto"/>
        </w:rPr>
        <w:t>Employee Compensation and Benefits</w:t>
      </w:r>
      <w:r>
        <w:rPr>
          <w:rFonts w:ascii="Arial" w:cs="Arial" w:eastAsia="Arial" w:hAnsi="Arial"/>
          <w:sz w:val="17"/>
          <w:szCs w:val="17"/>
          <w:color w:val="auto"/>
        </w:rPr>
        <w:t>. Employee compensation and benefits costs decreased $8.8 million, or 19%, to $38.1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compared with $46.9 million for the nine months ended September 30, 2018. The decrease is due to reductions in compensation relating to the sale of the Omaha-based component of our Wealth Management business and relating to short- and long-term incentive compensation as a result of lower asset-based revenues as compared to the prior year.</w:t>
      </w:r>
    </w:p>
    <w:p>
      <w:pPr>
        <w:spacing w:after="0" w:line="117"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decreased $0.6 million or 18% to $2.4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$3.0 million for the nine months ended September 30, 2018. The decrease was due to overall reductions in shareholder servicing costs on lower average mutual fund assets under management.</w:t>
      </w:r>
    </w:p>
    <w:p>
      <w:pPr>
        <w:spacing w:after="0" w:line="127"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$1.1 million in foreign currency losses for the nine months ended September 30, 2019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3.0% decrease in the Canadian dollar exchange rate.</w:t>
      </w:r>
    </w:p>
    <w:p>
      <w:pPr>
        <w:spacing w:after="0" w:line="11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i w:val="1"/>
          <w:iCs w:val="1"/>
          <w:color w:val="auto"/>
        </w:rPr>
        <w:t xml:space="preserve">Gain on Sale of Operations. </w:t>
      </w:r>
      <w:r>
        <w:rPr>
          <w:rFonts w:ascii="Arial" w:cs="Arial" w:eastAsia="Arial" w:hAnsi="Arial"/>
          <w:sz w:val="18"/>
          <w:szCs w:val="18"/>
          <w:color w:val="auto"/>
        </w:rPr>
        <w:t>The nine months ended September 30, 2018 includes a $0.5 million gain on the sale of our Omaha-based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Wealth Management business.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increased to 41.0% for the nine months ended September 30, 2019 from 25.3%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The current year rate was negatively impacted by a $638,000 discrete tax expense related to a permanent difference between book and tax restricted stock expense based on a decrease in our stock price between grant and vesting dates, as well as limitations on the deductibility of additional compensation under the Tax Cuts and Jobs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75"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our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2"/>
              </w:rPr>
              <w:t>Three Months Ended September 30,</w:t>
            </w:r>
          </w:p>
        </w:tc>
        <w:tc>
          <w:tcPr>
            <w:tcW w:w="1240" w:type="dxa"/>
            <w:vAlign w:val="bottom"/>
            <w:gridSpan w:val="2"/>
            <w:vMerge w:val="restart"/>
          </w:tcPr>
          <w:p>
            <w:pPr>
              <w:jc w:val="center"/>
              <w:ind w:lef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Stock-based compensation expense</w:t>
            </w: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3,695</w:t>
            </w:r>
          </w:p>
        </w:tc>
        <w:tc>
          <w:tcPr>
            <w:tcW w:w="1240" w:type="dxa"/>
            <w:vAlign w:val="bottom"/>
            <w:gridSpan w:val="2"/>
          </w:tcPr>
          <w:p>
            <w:pPr>
              <w:jc w:val="right"/>
              <w:ind w:right="99"/>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2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240" w:type="dxa"/>
            <w:vAlign w:val="bottom"/>
            <w:gridSpan w:val="2"/>
          </w:tcPr>
          <w:p>
            <w:pPr>
              <w:jc w:val="right"/>
              <w:ind w:right="139"/>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8,470,673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8,598,230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4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w w:val="94"/>
              </w:rPr>
              <w:t>Nine Months Ended September 30,</w:t>
            </w:r>
          </w:p>
        </w:tc>
        <w:tc>
          <w:tcPr>
            <w:tcW w:w="1240" w:type="dxa"/>
            <w:vAlign w:val="bottom"/>
            <w:gridSpan w:val="2"/>
            <w:vMerge w:val="restart"/>
          </w:tcPr>
          <w:p>
            <w:pPr>
              <w:jc w:val="center"/>
              <w:ind w:lef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Stock-based compensation expense</w:t>
            </w: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11,658</w:t>
            </w:r>
          </w:p>
        </w:tc>
        <w:tc>
          <w:tcPr>
            <w:tcW w:w="1240" w:type="dxa"/>
            <w:vAlign w:val="bottom"/>
            <w:gridSpan w:val="2"/>
          </w:tcPr>
          <w:p>
            <w:pPr>
              <w:jc w:val="right"/>
              <w:ind w:right="99"/>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w:t>
            </w:r>
          </w:p>
        </w:tc>
        <w:tc>
          <w:tcPr>
            <w:tcW w:w="12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240" w:type="dxa"/>
            <w:vAlign w:val="bottom"/>
            <w:gridSpan w:val="2"/>
          </w:tcPr>
          <w:p>
            <w:pPr>
              <w:jc w:val="right"/>
              <w:ind w:right="139"/>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34,428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8,467,823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8,561,918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460" w:type="dxa"/>
            <w:vAlign w:val="bottom"/>
          </w:tcPr>
          <w:p>
            <w:pPr>
              <w:spacing w:after="0"/>
              <w:rPr>
                <w:sz w:val="24"/>
                <w:szCs w:val="24"/>
                <w:color w:val="auto"/>
              </w:rPr>
            </w:pPr>
          </w:p>
        </w:tc>
        <w:tc>
          <w:tcPr>
            <w:tcW w:w="2880" w:type="dxa"/>
            <w:vAlign w:val="bottom"/>
          </w:tcPr>
          <w:p>
            <w:pPr>
              <w:jc w:val="right"/>
              <w:ind w:right="145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We fund our operations and cash requirements with cash generated from operating activities. We may also use cash from operations to pay dividends to our stockholders. As of September 30, 2019 and December 31, 2018, we had no debt. The changes in net cash provided by operating activities generally reflect the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80"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During the nine months ended September 30, 2019, cash flow provided by operating activities was $33.6 million, which included a $23.4 million liquidation of current investments partially offset by an $8.1 million decrease in compensation and benefits payables. Cash flow used in investing activities of $4.1 million during the nine months ended September 30, 2019 was primarily related to our investments in private equity and Westwood Hospitality Fund I, LLC, while the prior year quarter experienced positive cash flow provided by investing activities as a result of the sale of the Omaha-based component of our wealth management business. Cash flow used in financing activities of $24.6 million for the nine months ended September 30, 2019 reflected the payment of dividends, restricted stock returned for the payment of taxes and purchases of treasury shares under our share repurchase plan and for our Canadian share award plan.</w:t>
      </w:r>
    </w:p>
    <w:p>
      <w:pPr>
        <w:spacing w:after="0" w:line="81" w:lineRule="exact"/>
        <w:rPr>
          <w:sz w:val="20"/>
          <w:szCs w:val="20"/>
          <w:color w:val="auto"/>
        </w:rPr>
      </w:pPr>
    </w:p>
    <w:p>
      <w:pPr>
        <w:ind w:right="460" w:firstLine="500"/>
        <w:spacing w:after="0" w:line="291" w:lineRule="auto"/>
        <w:rPr>
          <w:sz w:val="20"/>
          <w:szCs w:val="20"/>
          <w:color w:val="auto"/>
        </w:rPr>
      </w:pPr>
      <w:r>
        <w:rPr>
          <w:rFonts w:ascii="Arial" w:cs="Arial" w:eastAsia="Arial" w:hAnsi="Arial"/>
          <w:sz w:val="16"/>
          <w:szCs w:val="16"/>
          <w:color w:val="auto"/>
        </w:rPr>
        <w:t>We had cash and short-term investments of $101.2 million as of September 30, 2019 and $118.2 million as of December 31, 2018. Cash and cash equivalents included approximately $32 million and $33 million of undistributed income from Westwood International as of September 30,</w:t>
      </w:r>
    </w:p>
    <w:p>
      <w:pPr>
        <w:ind w:right="20"/>
        <w:spacing w:after="0" w:line="254" w:lineRule="auto"/>
        <w:rPr>
          <w:sz w:val="20"/>
          <w:szCs w:val="20"/>
          <w:color w:val="auto"/>
        </w:rPr>
      </w:pPr>
      <w:r>
        <w:rPr>
          <w:rFonts w:ascii="Arial" w:cs="Arial" w:eastAsia="Arial" w:hAnsi="Arial"/>
          <w:sz w:val="18"/>
          <w:szCs w:val="18"/>
          <w:color w:val="auto"/>
        </w:rPr>
        <w:t>2019 and December 31, 2018, respectively. If these funds were needed for our U.S. operations, we would be required to accrue and pay a 5% incremental Canadian withholding taxes to repatriate all or a portion of these funds. Our current intention is to permanently reinvest the funds subject to withholding taxes outside of the U.S., and our current forecasts do not demonstrate a need to repatriate them to fund our U.S. operations. At September 30, 2019 and December 31, 2018, working capital aggregated $99.7 million and $112.6 million, respectively.</w:t>
      </w:r>
    </w:p>
    <w:p>
      <w:pPr>
        <w:spacing w:after="0" w:line="82"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September 30, 2019, Westwood Trust had approximately $22.1 million in excess of its minimum capital requirement.</w:t>
      </w:r>
    </w:p>
    <w:p>
      <w:pPr>
        <w:spacing w:after="0" w:line="73" w:lineRule="exact"/>
        <w:rPr>
          <w:sz w:val="20"/>
          <w:szCs w:val="20"/>
          <w:color w:val="auto"/>
        </w:rPr>
      </w:pPr>
    </w:p>
    <w:p>
      <w:pPr>
        <w:ind w:right="200" w:firstLine="500"/>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2018,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right="220" w:firstLine="500"/>
        <w:spacing w:after="0" w:line="312" w:lineRule="auto"/>
        <w:rPr>
          <w:sz w:val="20"/>
          <w:szCs w:val="20"/>
          <w:color w:val="auto"/>
        </w:rPr>
      </w:pPr>
      <w:r>
        <w:rPr>
          <w:rFonts w:ascii="Arial" w:cs="Arial" w:eastAsia="Arial" w:hAnsi="Arial"/>
          <w:sz w:val="16"/>
          <w:szCs w:val="16"/>
          <w:color w:val="auto"/>
        </w:rPr>
        <w:t>As of September 30, 2019, there have been no material changes outside of the ordinary course of business to our contractual obligations since December 31, 2018. For information regarding our contractual obligations, refer to “Contractual Obligations” in Part II, Item 7. “Management's Discussion and Analysis of Financial Condition and Results of Operations” in our Annual Report on Form 10-K for the fiscal year ended December 31, 2018.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9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75"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 xml:space="preserve">Effective January 1, 2019, we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Refer to Note 2 “Summary of Significant Accounting Policies” and Note 13 “Leases” in our Condensed Consolidated Financial Statements included in Part I, Item 1. “Financial Statements” of this Quarterly Report on Form 10-Q for a detailed description of the adoption of ASU 2016-02.</w:t>
      </w:r>
    </w:p>
    <w:p>
      <w:pPr>
        <w:spacing w:after="0" w:line="73"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There have been no other significant changes in our critical or significant accounting policies and estimates since December 31, 2018.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2018.</w:t>
      </w: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300" w:firstLine="500"/>
        <w:spacing w:after="0" w:line="308" w:lineRule="auto"/>
        <w:rPr>
          <w:sz w:val="20"/>
          <w:szCs w:val="20"/>
          <w:color w:val="auto"/>
        </w:rPr>
      </w:pPr>
      <w:r>
        <w:rPr>
          <w:rFonts w:ascii="Arial" w:cs="Arial" w:eastAsia="Arial" w:hAnsi="Arial"/>
          <w:sz w:val="17"/>
          <w:szCs w:val="17"/>
          <w:color w:val="auto"/>
        </w:rPr>
        <w:t>During the quarter ended September 30, 2019, there were no changes in our internal controls over financial reporting (as defined in Rule 13a-15(f) under the Exchange Act) that materially affected, or are reasonably likely to materially affect, our internal control over financial reporting.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688"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face a number of significant risks and uncertainties in our business, including those detailed under “Risk Factors” in our Annual Report on Form 10-K for the fiscal year ended December 31, 2018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September 30,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Total number of shares</w:t>
            </w: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92"/>
              </w:rPr>
              <w:t>approximate dollar value)</w:t>
            </w:r>
          </w:p>
        </w:tc>
      </w:tr>
      <w:tr>
        <w:trPr>
          <w:trHeight w:val="203"/>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2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purchased as part of</w:t>
            </w: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price paid</w:t>
            </w:r>
          </w:p>
        </w:tc>
        <w:tc>
          <w:tcPr>
            <w:tcW w:w="2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publicly announced</w:t>
            </w: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42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per share</w:t>
            </w:r>
          </w:p>
        </w:tc>
        <w:tc>
          <w:tcPr>
            <w:tcW w:w="2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plans or programs</w:t>
            </w:r>
          </w:p>
        </w:tc>
        <w:tc>
          <w:tcPr>
            <w:tcW w:w="2300" w:type="dxa"/>
            <w:vAlign w:val="bottom"/>
          </w:tcPr>
          <w:p>
            <w:pPr>
              <w:jc w:val="center"/>
              <w:ind w:right="236"/>
              <w:spacing w:after="0"/>
              <w:rPr>
                <w:sz w:val="20"/>
                <w:szCs w:val="20"/>
                <w:color w:val="auto"/>
              </w:rPr>
            </w:pPr>
            <w:r>
              <w:rPr>
                <w:rFonts w:ascii="Arial" w:cs="Arial" w:eastAsia="Arial" w:hAnsi="Arial"/>
                <w:sz w:val="16"/>
                <w:szCs w:val="16"/>
                <w:b w:val="1"/>
                <w:bCs w:val="1"/>
                <w:color w:val="auto"/>
                <w:w w:val="91"/>
              </w:rPr>
              <w:t>plans or programs (1)</w:t>
            </w:r>
          </w:p>
        </w:tc>
      </w:tr>
      <w:tr>
        <w:trPr>
          <w:trHeight w:val="33"/>
        </w:trPr>
        <w:tc>
          <w:tcPr>
            <w:tcW w:w="4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64"/>
        </w:trPr>
        <w:tc>
          <w:tcPr>
            <w:tcW w:w="4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5"/>
                <w:szCs w:val="25"/>
                <w:color w:val="auto"/>
                <w:vertAlign w:val="superscript"/>
              </w:rPr>
              <w:t>(1)</w:t>
            </w: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4,108,000</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August 1-31, 2019</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1-30, 2019</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70"/>
        </w:trPr>
        <w:tc>
          <w:tcPr>
            <w:tcW w:w="4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5"/>
                <w:szCs w:val="25"/>
                <w:color w:val="auto"/>
                <w:vertAlign w:val="superscript"/>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1400"/>
              <w:spacing w:after="0"/>
              <w:rPr>
                <w:sz w:val="20"/>
                <w:szCs w:val="20"/>
                <w:color w:val="auto"/>
              </w:rPr>
            </w:pPr>
            <w:r>
              <w:rPr>
                <w:rFonts w:ascii="Arial" w:cs="Arial" w:eastAsia="Arial" w:hAnsi="Arial"/>
                <w:sz w:val="18"/>
                <w:szCs w:val="18"/>
                <w:color w:val="auto"/>
              </w:rPr>
              <w:t>—   C$</w:t>
            </w: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2,259,000</w:t>
            </w:r>
          </w:p>
        </w:tc>
      </w:tr>
      <w:tr>
        <w:trPr>
          <w:trHeight w:val="270"/>
        </w:trPr>
        <w:tc>
          <w:tcPr>
            <w:tcW w:w="4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00" w:hanging="892"/>
        <w:spacing w:after="0" w:line="25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200" w:hanging="892"/>
        <w:spacing w:after="0" w:line="25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40" w:hanging="892"/>
        <w:spacing w:after="0" w:line="26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40" w:type="dxa"/>
            <w:vAlign w:val="bottom"/>
            <w:gridSpan w:val="6"/>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621"/>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66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 of Chief Executive Officer Pursuant to Securities Exchange Act Rule 13a-14(a)</w:t>
              </w:r>
            </w:hyperlink>
          </w:p>
        </w:tc>
        <w:tc>
          <w:tcPr>
            <w:tcW w:w="3160" w:type="dxa"/>
            <w:vAlign w:val="bottom"/>
            <w:gridSpan w:val="3"/>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66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of Chief Financial Officer Pursuant to Securities Exchange Act Rule 13a-14(a)</w:t>
              </w:r>
            </w:hyperlink>
          </w:p>
        </w:tc>
        <w:tc>
          <w:tcPr>
            <w:tcW w:w="3200" w:type="dxa"/>
            <w:vAlign w:val="bottom"/>
            <w:gridSpan w:val="4"/>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840" w:type="dxa"/>
            <w:vAlign w:val="bottom"/>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Act of 2002</w:t>
              </w:r>
            </w:hyperlink>
          </w:p>
        </w:tc>
        <w:tc>
          <w:tcPr>
            <w:tcW w:w="4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7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80" w:type="dxa"/>
            <w:vAlign w:val="bottom"/>
            <w:gridSpan w:val="2"/>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40" w:type="dxa"/>
            <w:vAlign w:val="bottom"/>
            <w:gridSpan w:val="6"/>
          </w:tcPr>
          <w:p>
            <w:pPr>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80" w:type="dxa"/>
            <w:vAlign w:val="bottom"/>
            <w:gridSpan w:val="5"/>
          </w:tcPr>
          <w:p>
            <w:pPr>
              <w:spacing w:after="0" w:line="20" w:lineRule="exact"/>
              <w:rPr>
                <w:sz w:val="1"/>
                <w:szCs w:val="1"/>
                <w:color w:val="auto"/>
              </w:rPr>
            </w:pPr>
          </w:p>
        </w:tc>
      </w:tr>
      <w:tr>
        <w:trPr>
          <w:trHeight w:val="560"/>
        </w:trPr>
        <w:tc>
          <w:tcPr>
            <w:tcW w:w="1520" w:type="dxa"/>
            <w:vAlign w:val="bottom"/>
          </w:tcPr>
          <w:p>
            <w:pPr>
              <w:ind w:left="40"/>
              <w:spacing w:after="0"/>
              <w:rPr>
                <w:sz w:val="20"/>
                <w:szCs w:val="20"/>
                <w:color w:val="auto"/>
              </w:rPr>
            </w:pPr>
            <w:r>
              <w:rPr>
                <w:rFonts w:ascii="Arial" w:cs="Arial" w:eastAsia="Arial" w:hAnsi="Arial"/>
                <w:sz w:val="18"/>
                <w:szCs w:val="18"/>
                <w:color w:val="auto"/>
              </w:rPr>
              <w:t>101*</w:t>
            </w:r>
          </w:p>
        </w:tc>
        <w:tc>
          <w:tcPr>
            <w:tcW w:w="9840" w:type="dxa"/>
            <w:vAlign w:val="bottom"/>
            <w:gridSpan w:val="6"/>
          </w:tcPr>
          <w:p>
            <w:pPr>
              <w:spacing w:after="0"/>
              <w:rPr>
                <w:sz w:val="20"/>
                <w:szCs w:val="20"/>
                <w:color w:val="auto"/>
              </w:rPr>
            </w:pPr>
            <w:r>
              <w:rPr>
                <w:rFonts w:ascii="Arial" w:cs="Arial" w:eastAsia="Arial" w:hAnsi="Arial"/>
                <w:sz w:val="18"/>
                <w:szCs w:val="18"/>
                <w:color w:val="auto"/>
                <w:w w:val="97"/>
              </w:rPr>
              <w:t>The following financial information from Westwood Holdings Group, Inc.'s Quarterly Report on Form 10-Q for the period ended</w:t>
            </w:r>
          </w:p>
        </w:tc>
      </w:tr>
      <w:tr>
        <w:trPr>
          <w:trHeight w:val="216"/>
        </w:trPr>
        <w:tc>
          <w:tcPr>
            <w:tcW w:w="1520" w:type="dxa"/>
            <w:vAlign w:val="bottom"/>
          </w:tcPr>
          <w:p>
            <w:pPr>
              <w:spacing w:after="0"/>
              <w:rPr>
                <w:sz w:val="18"/>
                <w:szCs w:val="18"/>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w w:val="90"/>
              </w:rPr>
              <w:t>September 30, 2019, formatted in Inline eXtensible Business Reporting Language (iXBRL): (i) Condensed Consolidated Balance Sheets</w:t>
            </w:r>
          </w:p>
        </w:tc>
      </w:tr>
      <w:tr>
        <w:trPr>
          <w:trHeight w:val="216"/>
        </w:trPr>
        <w:tc>
          <w:tcPr>
            <w:tcW w:w="1520" w:type="dxa"/>
            <w:vAlign w:val="bottom"/>
          </w:tcPr>
          <w:p>
            <w:pPr>
              <w:spacing w:after="0"/>
              <w:rPr>
                <w:sz w:val="18"/>
                <w:szCs w:val="18"/>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w w:val="90"/>
              </w:rPr>
              <w:t>as of September 30, 2019 and December 31, 2018; (ii) Condensed Consolidated Statements of Comprehensive Income for the three and</w:t>
            </w:r>
          </w:p>
        </w:tc>
      </w:tr>
      <w:tr>
        <w:trPr>
          <w:trHeight w:val="216"/>
        </w:trPr>
        <w:tc>
          <w:tcPr>
            <w:tcW w:w="1520" w:type="dxa"/>
            <w:vAlign w:val="bottom"/>
          </w:tcPr>
          <w:p>
            <w:pPr>
              <w:spacing w:after="0"/>
              <w:rPr>
                <w:sz w:val="18"/>
                <w:szCs w:val="18"/>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w w:val="92"/>
              </w:rPr>
              <w:t>nine months ended September 30, 2019 and 2018; (iii) Condensed Consolidated Statements of Stockholders' Equity; (iv) Condensed</w:t>
            </w:r>
          </w:p>
        </w:tc>
      </w:tr>
      <w:tr>
        <w:trPr>
          <w:trHeight w:val="216"/>
        </w:trPr>
        <w:tc>
          <w:tcPr>
            <w:tcW w:w="1520" w:type="dxa"/>
            <w:vAlign w:val="bottom"/>
          </w:tcPr>
          <w:p>
            <w:pPr>
              <w:spacing w:after="0"/>
              <w:rPr>
                <w:sz w:val="18"/>
                <w:szCs w:val="18"/>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w w:val="93"/>
              </w:rPr>
              <w:t>Consolidated Statements of Cash Flows for the nine months ended September 30, 2019 and 2018; and (v) Notes to the Condensed</w:t>
            </w:r>
          </w:p>
        </w:tc>
      </w:tr>
      <w:tr>
        <w:trPr>
          <w:trHeight w:val="230"/>
        </w:trPr>
        <w:tc>
          <w:tcPr>
            <w:tcW w:w="1520" w:type="dxa"/>
            <w:vAlign w:val="bottom"/>
          </w:tcPr>
          <w:p>
            <w:pPr>
              <w:spacing w:after="0"/>
              <w:rPr>
                <w:sz w:val="20"/>
                <w:szCs w:val="20"/>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Consolidated Financial Statements.</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104*</w:t>
            </w:r>
          </w:p>
        </w:tc>
        <w:tc>
          <w:tcPr>
            <w:tcW w:w="98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r>
    </w:tbl>
    <w:p>
      <w:pPr>
        <w:spacing w:after="0" w:line="296"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364" w:right="299" w:bottom="1440" w:gutter="0" w:footer="0" w:header="0"/>
        </w:sectPr>
      </w:pPr>
    </w:p>
    <w:bookmarkStart w:id="36" w:name="page37"/>
    <w:bookmarkEnd w:id="36"/>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120" w:type="dxa"/>
            <w:vAlign w:val="bottom"/>
          </w:tcPr>
          <w:p>
            <w:pPr>
              <w:ind w:left="180"/>
              <w:spacing w:after="0"/>
              <w:rPr>
                <w:sz w:val="20"/>
                <w:szCs w:val="20"/>
                <w:color w:val="auto"/>
              </w:rPr>
            </w:pPr>
            <w:r>
              <w:rPr>
                <w:rFonts w:ascii="Arial" w:cs="Arial" w:eastAsia="Arial" w:hAnsi="Arial"/>
                <w:sz w:val="18"/>
                <w:szCs w:val="18"/>
                <w:color w:val="auto"/>
              </w:rPr>
              <w:t>October 30, 2019</w:t>
            </w:r>
          </w:p>
        </w:tc>
        <w:tc>
          <w:tcPr>
            <w:tcW w:w="6500" w:type="dxa"/>
            <w:vAlign w:val="bottom"/>
            <w:gridSpan w:val="2"/>
          </w:tcPr>
          <w:p>
            <w:pPr>
              <w:ind w:left="1680"/>
              <w:spacing w:after="0"/>
              <w:rPr>
                <w:sz w:val="20"/>
                <w:szCs w:val="20"/>
                <w:color w:val="auto"/>
              </w:rPr>
            </w:pPr>
            <w:r>
              <w:rPr>
                <w:rFonts w:ascii="Arial" w:cs="Arial" w:eastAsia="Arial" w:hAnsi="Arial"/>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Murray Forbes III</w:t>
            </w:r>
          </w:p>
        </w:tc>
      </w:tr>
      <w:tr>
        <w:trPr>
          <w:trHeight w:val="27"/>
        </w:trPr>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70"/>
        </w:trPr>
        <w:tc>
          <w:tcPr>
            <w:tcW w:w="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8" w:right="8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260" w:right="48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260" w:right="56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5" w:lineRule="exact"/>
        <w:rPr>
          <w:rFonts w:ascii="Arial" w:cs="Arial" w:eastAsia="Arial" w:hAnsi="Arial"/>
          <w:sz w:val="18"/>
          <w:szCs w:val="18"/>
          <w:color w:val="auto"/>
        </w:rPr>
      </w:pPr>
    </w:p>
    <w:p>
      <w:pPr>
        <w:ind w:left="1260" w:right="52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160" w:firstLine="500"/>
        <w:spacing w:after="0" w:line="264" w:lineRule="auto"/>
        <w:tabs>
          <w:tab w:leader="none" w:pos="17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260" w:right="60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Murray Forbes III, certify that:</w:t>
      </w:r>
    </w:p>
    <w:p>
      <w:pPr>
        <w:spacing w:after="0" w:line="252" w:lineRule="exact"/>
        <w:rPr>
          <w:sz w:val="20"/>
          <w:szCs w:val="20"/>
          <w:color w:val="auto"/>
        </w:rPr>
      </w:pPr>
    </w:p>
    <w:p>
      <w:pPr>
        <w:ind w:left="1300" w:hanging="126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300" w:right="120" w:hanging="126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420" w:hanging="1265"/>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1300" w:right="280" w:hanging="1265"/>
        <w:spacing w:after="0" w:line="29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9" w:lineRule="exact"/>
        <w:rPr>
          <w:rFonts w:ascii="Arial" w:cs="Arial" w:eastAsia="Arial" w:hAnsi="Arial"/>
          <w:sz w:val="16"/>
          <w:szCs w:val="16"/>
          <w:color w:val="auto"/>
        </w:rPr>
      </w:pPr>
    </w:p>
    <w:p>
      <w:pPr>
        <w:ind w:left="980" w:right="160" w:firstLine="500"/>
        <w:spacing w:after="0" w:line="264" w:lineRule="auto"/>
        <w:tabs>
          <w:tab w:leader="none" w:pos="17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300" w:right="340" w:hanging="126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2019</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31750</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September 30, 2019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31750</wp:posOffset>
            </wp:positionV>
            <wp:extent cx="2487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September 30, 2019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(15U.S.C. 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 and Treasurer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2"/>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2019-12-28T04:15:34Z</dcterms:created>
  <dcterms:modified xsi:type="dcterms:W3CDTF">2019-12-28T04:15:34Z</dcterms:modified>
</cp:coreProperties>
</file>