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929754.xml.htm"/>
      <w:bookmarkStart w:id="1" w:name="kswkform4_17779297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BYRNE SUSAN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 Emerita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7"/>
        <w:gridCol w:w="915"/>
        <w:gridCol w:w="784"/>
        <w:gridCol w:w="608"/>
        <w:gridCol w:w="349"/>
        <w:gridCol w:w="798"/>
        <w:gridCol w:w="448"/>
        <w:gridCol w:w="982"/>
        <w:gridCol w:w="1158"/>
        <w:gridCol w:w="996"/>
        <w:gridCol w:w="9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16.2842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291,122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16.2199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290,644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290,405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reflects the weighted average sale price for shares sold in multiple transactions at prices ranging from $16.13 to $16.54.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price reflects the weighted average sale price for shares sold in multiple transactions at prices ranging from $16.00 to $16.40.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price reflects the weighted average sale price for shares sold in multiple transactions at prices ranging from $16.00 to $16.02.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transactions were effected pursuant to a Rule 10b5-1 trading plan adopted by the reporting person on 4/1/2026.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71441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3887</Characters>
  <CharactersWithSpaces>4513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