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8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ind w:left="128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39" w:lineRule="exact"/>
        <w:rPr>
          <w:sz w:val="24"/>
          <w:szCs w:val="24"/>
          <w:color w:val="auto"/>
        </w:rPr>
      </w:pPr>
    </w:p>
    <w:p>
      <w:pPr>
        <w:ind w:left="128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w:t>
      </w:r>
    </w:p>
    <w:p>
      <w:pPr>
        <w:spacing w:after="0" w:line="24" w:lineRule="exact"/>
        <w:rPr>
          <w:sz w:val="24"/>
          <w:szCs w:val="24"/>
          <w:color w:val="auto"/>
        </w:rPr>
      </w:pPr>
    </w:p>
    <w:p>
      <w:pPr>
        <w:ind w:left="480" w:hanging="339"/>
        <w:spacing w:after="0"/>
        <w:tabs>
          <w:tab w:leader="none" w:pos="4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September 30, 2021</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44" w:lineRule="exact"/>
        <w:rPr>
          <w:sz w:val="24"/>
          <w:szCs w:val="24"/>
          <w:color w:val="auto"/>
        </w:rPr>
      </w:pPr>
    </w:p>
    <w:p>
      <w:pPr>
        <w:ind w:left="480" w:hanging="325"/>
        <w:spacing w:after="0"/>
        <w:tabs>
          <w:tab w:leader="none" w:pos="480" w:val="left"/>
        </w:tabs>
        <w:numPr>
          <w:ilvl w:val="0"/>
          <w:numId w:val="2"/>
        </w:numPr>
        <w:rPr>
          <w:rFonts w:ascii="MS PGothic" w:cs="MS PGothic" w:eastAsia="MS PGothic" w:hAnsi="MS PGothic"/>
          <w:sz w:val="17"/>
          <w:szCs w:val="17"/>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98" w:lineRule="exact"/>
        <w:rPr>
          <w:sz w:val="24"/>
          <w:szCs w:val="24"/>
          <w:color w:val="auto"/>
        </w:rPr>
      </w:pPr>
    </w:p>
    <w:p>
      <w:pPr>
        <w:ind w:left="3820"/>
        <w:spacing w:after="0"/>
        <w:tabs>
          <w:tab w:leader="none" w:pos="6660" w:val="left"/>
          <w:tab w:leader="none" w:pos="736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7"/>
          <w:szCs w:val="17"/>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3879850</wp:posOffset>
            </wp:positionH>
            <wp:positionV relativeFrom="paragraph">
              <wp:posOffset>-3810</wp:posOffset>
            </wp:positionV>
            <wp:extent cx="8102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10260" cy="8255"/>
                    </a:xfrm>
                    <a:prstGeom prst="rect">
                      <a:avLst/>
                    </a:prstGeom>
                    <a:noFill/>
                  </pic:spPr>
                </pic:pic>
              </a:graphicData>
            </a:graphic>
          </wp:anchor>
        </w:drawing>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1-31234</w:t>
      </w:r>
    </w:p>
    <w:p>
      <w:pPr>
        <w:spacing w:after="0" w:line="32" w:lineRule="exact"/>
        <w:rPr>
          <w:sz w:val="24"/>
          <w:szCs w:val="24"/>
          <w:color w:val="auto"/>
        </w:rPr>
      </w:pPr>
    </w:p>
    <w:p>
      <w:pPr>
        <w:ind w:left="128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w:t>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WESTWOOD HOLDINGS GROUP,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2" w:lineRule="exact"/>
        <w:rPr>
          <w:sz w:val="24"/>
          <w:szCs w:val="24"/>
          <w:color w:val="auto"/>
        </w:rPr>
      </w:pPr>
    </w:p>
    <w:p>
      <w:pPr>
        <w:ind w:left="128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w:t>
      </w:r>
    </w:p>
    <w:p>
      <w:pPr>
        <w:spacing w:after="0" w:line="34" w:lineRule="exact"/>
        <w:rPr>
          <w:sz w:val="24"/>
          <w:szCs w:val="24"/>
          <w:color w:val="auto"/>
        </w:rPr>
      </w:pPr>
    </w:p>
    <w:tbl>
      <w:tblPr>
        <w:tblLayout w:type="fixed"/>
        <w:tblInd w:w="500" w:type="dxa"/>
        <w:tblCellMar>
          <w:top w:w="0" w:type="dxa"/>
          <w:left w:w="0" w:type="dxa"/>
          <w:bottom w:w="0" w:type="dxa"/>
          <w:right w:w="0" w:type="dxa"/>
        </w:tblCellMar>
      </w:tblPr>
      <w:tr>
        <w:trPr>
          <w:trHeight w:val="222"/>
        </w:trPr>
        <w:tc>
          <w:tcPr>
            <w:tcW w:w="3480" w:type="dxa"/>
            <w:vAlign w:val="bottom"/>
          </w:tcPr>
          <w:p>
            <w:pPr>
              <w:jc w:val="center"/>
              <w:ind w:right="100"/>
              <w:spacing w:after="0"/>
              <w:rPr>
                <w:sz w:val="20"/>
                <w:szCs w:val="20"/>
                <w:color w:val="auto"/>
              </w:rPr>
            </w:pPr>
            <w:r>
              <w:rPr>
                <w:rFonts w:ascii="Arial" w:cs="Arial" w:eastAsia="Arial" w:hAnsi="Arial"/>
                <w:sz w:val="17"/>
                <w:szCs w:val="17"/>
                <w:b w:val="1"/>
                <w:bCs w:val="1"/>
                <w:color w:val="auto"/>
                <w:w w:val="93"/>
              </w:rPr>
              <w:t>Delaware</w:t>
            </w:r>
          </w:p>
        </w:tc>
        <w:tc>
          <w:tcPr>
            <w:tcW w:w="6060" w:type="dxa"/>
            <w:vAlign w:val="bottom"/>
          </w:tcPr>
          <w:p>
            <w:pPr>
              <w:jc w:val="right"/>
              <w:ind w:right="442"/>
              <w:spacing w:after="0"/>
              <w:rPr>
                <w:sz w:val="20"/>
                <w:szCs w:val="20"/>
                <w:color w:val="auto"/>
              </w:rPr>
            </w:pPr>
            <w:r>
              <w:rPr>
                <w:rFonts w:ascii="Arial" w:cs="Arial" w:eastAsia="Arial" w:hAnsi="Arial"/>
                <w:sz w:val="17"/>
                <w:szCs w:val="17"/>
                <w:b w:val="1"/>
                <w:bCs w:val="1"/>
                <w:color w:val="auto"/>
              </w:rPr>
              <w:t>75-2969997</w:t>
            </w:r>
          </w:p>
        </w:tc>
      </w:tr>
      <w:tr>
        <w:trPr>
          <w:trHeight w:val="178"/>
        </w:trPr>
        <w:tc>
          <w:tcPr>
            <w:tcW w:w="3480" w:type="dxa"/>
            <w:vAlign w:val="bottom"/>
          </w:tcPr>
          <w:p>
            <w:pPr>
              <w:jc w:val="center"/>
              <w:ind w:right="80"/>
              <w:spacing w:after="0"/>
              <w:rPr>
                <w:sz w:val="20"/>
                <w:szCs w:val="20"/>
                <w:color w:val="auto"/>
              </w:rPr>
            </w:pPr>
            <w:r>
              <w:rPr>
                <w:rFonts w:ascii="Arial" w:cs="Arial" w:eastAsia="Arial" w:hAnsi="Arial"/>
                <w:sz w:val="14"/>
                <w:szCs w:val="14"/>
                <w:color w:val="auto"/>
                <w:w w:val="91"/>
              </w:rPr>
              <w:t>(State or other jurisdiction of incorporation or organization)</w:t>
            </w:r>
          </w:p>
        </w:tc>
        <w:tc>
          <w:tcPr>
            <w:tcW w:w="6060" w:type="dxa"/>
            <w:vAlign w:val="bottom"/>
          </w:tcPr>
          <w:p>
            <w:pPr>
              <w:jc w:val="center"/>
              <w:ind w:left="4082"/>
              <w:spacing w:after="0"/>
              <w:rPr>
                <w:sz w:val="20"/>
                <w:szCs w:val="20"/>
                <w:color w:val="auto"/>
              </w:rPr>
            </w:pPr>
            <w:r>
              <w:rPr>
                <w:rFonts w:ascii="Arial" w:cs="Arial" w:eastAsia="Arial" w:hAnsi="Arial"/>
                <w:sz w:val="14"/>
                <w:szCs w:val="14"/>
                <w:color w:val="auto"/>
                <w:w w:val="93"/>
              </w:rPr>
              <w:t>(IRS Employer Identification No.)</w:t>
            </w:r>
          </w:p>
        </w:tc>
      </w:tr>
      <w:tr>
        <w:trPr>
          <w:trHeight w:val="423"/>
        </w:trPr>
        <w:tc>
          <w:tcPr>
            <w:tcW w:w="3480" w:type="dxa"/>
            <w:vAlign w:val="bottom"/>
          </w:tcPr>
          <w:p>
            <w:pPr>
              <w:jc w:val="center"/>
              <w:ind w:right="100"/>
              <w:spacing w:after="0"/>
              <w:rPr>
                <w:sz w:val="20"/>
                <w:szCs w:val="20"/>
                <w:color w:val="auto"/>
              </w:rPr>
            </w:pPr>
            <w:r>
              <w:rPr>
                <w:rFonts w:ascii="Arial" w:cs="Arial" w:eastAsia="Arial" w:hAnsi="Arial"/>
                <w:sz w:val="17"/>
                <w:szCs w:val="17"/>
                <w:b w:val="1"/>
                <w:bCs w:val="1"/>
                <w:color w:val="auto"/>
                <w:w w:val="98"/>
              </w:rPr>
              <w:t>200 CRESCENT COURT, SUITE 1200</w:t>
            </w:r>
          </w:p>
        </w:tc>
        <w:tc>
          <w:tcPr>
            <w:tcW w:w="6060" w:type="dxa"/>
            <w:vAlign w:val="bottom"/>
          </w:tcPr>
          <w:p>
            <w:pPr>
              <w:spacing w:after="0"/>
              <w:rPr>
                <w:sz w:val="24"/>
                <w:szCs w:val="24"/>
                <w:color w:val="auto"/>
              </w:rPr>
            </w:pPr>
          </w:p>
        </w:tc>
      </w:tr>
      <w:tr>
        <w:trPr>
          <w:trHeight w:val="222"/>
        </w:trPr>
        <w:tc>
          <w:tcPr>
            <w:tcW w:w="3480" w:type="dxa"/>
            <w:vAlign w:val="bottom"/>
          </w:tcPr>
          <w:p>
            <w:pPr>
              <w:ind w:left="880"/>
              <w:spacing w:after="0"/>
              <w:rPr>
                <w:sz w:val="20"/>
                <w:szCs w:val="20"/>
                <w:color w:val="auto"/>
              </w:rPr>
            </w:pPr>
            <w:r>
              <w:rPr>
                <w:rFonts w:ascii="Arial" w:cs="Arial" w:eastAsia="Arial" w:hAnsi="Arial"/>
                <w:sz w:val="17"/>
                <w:szCs w:val="17"/>
                <w:b w:val="1"/>
                <w:bCs w:val="1"/>
                <w:color w:val="auto"/>
              </w:rPr>
              <w:t>DALLAS, Texas</w:t>
            </w:r>
          </w:p>
        </w:tc>
        <w:tc>
          <w:tcPr>
            <w:tcW w:w="6060" w:type="dxa"/>
            <w:vAlign w:val="bottom"/>
          </w:tcPr>
          <w:p>
            <w:pPr>
              <w:jc w:val="right"/>
              <w:ind w:right="662"/>
              <w:spacing w:after="0"/>
              <w:rPr>
                <w:sz w:val="20"/>
                <w:szCs w:val="20"/>
                <w:color w:val="auto"/>
              </w:rPr>
            </w:pPr>
            <w:r>
              <w:rPr>
                <w:rFonts w:ascii="Arial" w:cs="Arial" w:eastAsia="Arial" w:hAnsi="Arial"/>
                <w:sz w:val="17"/>
                <w:szCs w:val="17"/>
                <w:b w:val="1"/>
                <w:bCs w:val="1"/>
                <w:color w:val="auto"/>
              </w:rPr>
              <w:t>75201</w:t>
            </w:r>
          </w:p>
        </w:tc>
      </w:tr>
      <w:tr>
        <w:trPr>
          <w:trHeight w:val="178"/>
        </w:trPr>
        <w:tc>
          <w:tcPr>
            <w:tcW w:w="3480" w:type="dxa"/>
            <w:vAlign w:val="bottom"/>
          </w:tcPr>
          <w:p>
            <w:pPr>
              <w:jc w:val="center"/>
              <w:ind w:right="100"/>
              <w:spacing w:after="0"/>
              <w:rPr>
                <w:sz w:val="20"/>
                <w:szCs w:val="20"/>
                <w:color w:val="auto"/>
              </w:rPr>
            </w:pPr>
            <w:r>
              <w:rPr>
                <w:rFonts w:ascii="Arial" w:cs="Arial" w:eastAsia="Arial" w:hAnsi="Arial"/>
                <w:sz w:val="14"/>
                <w:szCs w:val="14"/>
                <w:color w:val="auto"/>
                <w:w w:val="91"/>
              </w:rPr>
              <w:t>(Address of principal executive office)</w:t>
            </w:r>
          </w:p>
        </w:tc>
        <w:tc>
          <w:tcPr>
            <w:tcW w:w="6060" w:type="dxa"/>
            <w:vAlign w:val="bottom"/>
          </w:tcPr>
          <w:p>
            <w:pPr>
              <w:jc w:val="center"/>
              <w:ind w:left="4082"/>
              <w:spacing w:after="0"/>
              <w:rPr>
                <w:sz w:val="20"/>
                <w:szCs w:val="20"/>
                <w:color w:val="auto"/>
              </w:rPr>
            </w:pPr>
            <w:r>
              <w:rPr>
                <w:rFonts w:ascii="Arial" w:cs="Arial" w:eastAsia="Arial" w:hAnsi="Arial"/>
                <w:sz w:val="14"/>
                <w:szCs w:val="14"/>
                <w:color w:val="auto"/>
                <w:w w:val="93"/>
              </w:rPr>
              <w:t>(Zip Code)</w:t>
            </w:r>
          </w:p>
        </w:tc>
      </w:tr>
      <w:tr>
        <w:trPr>
          <w:trHeight w:val="344"/>
        </w:trPr>
        <w:tc>
          <w:tcPr>
            <w:tcW w:w="3480" w:type="dxa"/>
            <w:vAlign w:val="bottom"/>
          </w:tcPr>
          <w:p>
            <w:pPr>
              <w:spacing w:after="0"/>
              <w:rPr>
                <w:sz w:val="24"/>
                <w:szCs w:val="24"/>
                <w:color w:val="auto"/>
              </w:rPr>
            </w:pPr>
          </w:p>
        </w:tc>
        <w:tc>
          <w:tcPr>
            <w:tcW w:w="6060" w:type="dxa"/>
            <w:vAlign w:val="bottom"/>
          </w:tcPr>
          <w:p>
            <w:pPr>
              <w:jc w:val="right"/>
              <w:ind w:right="3802"/>
              <w:spacing w:after="0"/>
              <w:rPr>
                <w:sz w:val="20"/>
                <w:szCs w:val="20"/>
                <w:color w:val="auto"/>
              </w:rPr>
            </w:pPr>
            <w:r>
              <w:rPr>
                <w:rFonts w:ascii="Arial" w:cs="Arial" w:eastAsia="Arial" w:hAnsi="Arial"/>
                <w:sz w:val="17"/>
                <w:szCs w:val="17"/>
                <w:b w:val="1"/>
                <w:bCs w:val="1"/>
                <w:color w:val="auto"/>
              </w:rPr>
              <w:t>(214) 756-6900</w:t>
            </w:r>
          </w:p>
        </w:tc>
      </w:tr>
      <w:tr>
        <w:trPr>
          <w:trHeight w:val="177"/>
        </w:trPr>
        <w:tc>
          <w:tcPr>
            <w:tcW w:w="3480" w:type="dxa"/>
            <w:vAlign w:val="bottom"/>
          </w:tcPr>
          <w:p>
            <w:pPr>
              <w:spacing w:after="0"/>
              <w:rPr>
                <w:sz w:val="15"/>
                <w:szCs w:val="15"/>
                <w:color w:val="auto"/>
              </w:rPr>
            </w:pPr>
          </w:p>
        </w:tc>
        <w:tc>
          <w:tcPr>
            <w:tcW w:w="6060" w:type="dxa"/>
            <w:vAlign w:val="bottom"/>
          </w:tcPr>
          <w:p>
            <w:pPr>
              <w:jc w:val="center"/>
              <w:ind w:right="2682"/>
              <w:spacing w:after="0"/>
              <w:rPr>
                <w:sz w:val="20"/>
                <w:szCs w:val="20"/>
                <w:color w:val="auto"/>
              </w:rPr>
            </w:pPr>
            <w:r>
              <w:rPr>
                <w:rFonts w:ascii="Arial" w:cs="Arial" w:eastAsia="Arial" w:hAnsi="Arial"/>
                <w:sz w:val="14"/>
                <w:szCs w:val="14"/>
                <w:color w:val="auto"/>
                <w:w w:val="89"/>
              </w:rPr>
              <w:t>(Registrant’s telephone number, including area code)</w:t>
            </w:r>
          </w:p>
        </w:tc>
      </w:tr>
    </w:tbl>
    <w:p>
      <w:pPr>
        <w:ind w:left="128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52" w:lineRule="exact"/>
        <w:rPr>
          <w:sz w:val="24"/>
          <w:szCs w:val="24"/>
          <w:color w:val="auto"/>
        </w:rPr>
      </w:pPr>
    </w:p>
    <w:tbl>
      <w:tblPr>
        <w:tblLayout w:type="fixed"/>
        <w:tblInd w:w="920" w:type="dxa"/>
        <w:tblCellMar>
          <w:top w:w="0" w:type="dxa"/>
          <w:left w:w="0" w:type="dxa"/>
          <w:bottom w:w="0" w:type="dxa"/>
          <w:right w:w="0" w:type="dxa"/>
        </w:tblCellMar>
      </w:tblPr>
      <w:tr>
        <w:trPr>
          <w:trHeight w:val="178"/>
        </w:trPr>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60" w:type="dxa"/>
            <w:vAlign w:val="bottom"/>
            <w:gridSpan w:val="3"/>
          </w:tcPr>
          <w:p>
            <w:pPr>
              <w:jc w:val="center"/>
              <w:ind w:right="260"/>
              <w:spacing w:after="0"/>
              <w:rPr>
                <w:sz w:val="20"/>
                <w:szCs w:val="20"/>
                <w:color w:val="auto"/>
              </w:rPr>
            </w:pPr>
            <w:r>
              <w:rPr>
                <w:rFonts w:ascii="Arial" w:cs="Arial" w:eastAsia="Arial" w:hAnsi="Arial"/>
                <w:sz w:val="14"/>
                <w:szCs w:val="14"/>
                <w:color w:val="auto"/>
                <w:w w:val="89"/>
              </w:rPr>
              <w:t>Securities registered pursuant to Section 12(b) of the Act:</w:t>
            </w:r>
          </w:p>
        </w:tc>
        <w:tc>
          <w:tcPr>
            <w:tcW w:w="2580" w:type="dxa"/>
            <w:vAlign w:val="bottom"/>
          </w:tcPr>
          <w:p>
            <w:pPr>
              <w:spacing w:after="0"/>
              <w:rPr>
                <w:sz w:val="15"/>
                <w:szCs w:val="15"/>
                <w:color w:val="auto"/>
              </w:rPr>
            </w:pPr>
          </w:p>
        </w:tc>
      </w:tr>
      <w:tr>
        <w:trPr>
          <w:trHeight w:val="167"/>
        </w:trPr>
        <w:tc>
          <w:tcPr>
            <w:tcW w:w="620" w:type="dxa"/>
            <w:vAlign w:val="bottom"/>
          </w:tcPr>
          <w:p>
            <w:pPr>
              <w:spacing w:after="0"/>
              <w:rPr>
                <w:sz w:val="14"/>
                <w:szCs w:val="14"/>
                <w:color w:val="auto"/>
              </w:rPr>
            </w:pPr>
          </w:p>
        </w:tc>
        <w:tc>
          <w:tcPr>
            <w:tcW w:w="2080" w:type="dxa"/>
            <w:vAlign w:val="bottom"/>
            <w:gridSpan w:val="2"/>
          </w:tcPr>
          <w:p>
            <w:pPr>
              <w:jc w:val="center"/>
              <w:ind w:right="1020"/>
              <w:spacing w:after="0"/>
              <w:rPr>
                <w:sz w:val="20"/>
                <w:szCs w:val="20"/>
                <w:color w:val="auto"/>
              </w:rPr>
            </w:pPr>
            <w:r>
              <w:rPr>
                <w:rFonts w:ascii="Arial" w:cs="Arial" w:eastAsia="Arial" w:hAnsi="Arial"/>
                <w:sz w:val="14"/>
                <w:szCs w:val="14"/>
                <w:color w:val="auto"/>
                <w:w w:val="90"/>
              </w:rPr>
              <w:t>Title of Each Class</w:t>
            </w:r>
          </w:p>
        </w:tc>
        <w:tc>
          <w:tcPr>
            <w:tcW w:w="4260" w:type="dxa"/>
            <w:vAlign w:val="bottom"/>
            <w:gridSpan w:val="3"/>
          </w:tcPr>
          <w:p>
            <w:pPr>
              <w:jc w:val="center"/>
              <w:ind w:right="280"/>
              <w:spacing w:after="0"/>
              <w:rPr>
                <w:sz w:val="20"/>
                <w:szCs w:val="20"/>
                <w:color w:val="auto"/>
              </w:rPr>
            </w:pPr>
            <w:r>
              <w:rPr>
                <w:rFonts w:ascii="Arial" w:cs="Arial" w:eastAsia="Arial" w:hAnsi="Arial"/>
                <w:sz w:val="14"/>
                <w:szCs w:val="14"/>
                <w:color w:val="auto"/>
                <w:w w:val="91"/>
              </w:rPr>
              <w:t>Trading Symbol</w:t>
            </w:r>
          </w:p>
        </w:tc>
        <w:tc>
          <w:tcPr>
            <w:tcW w:w="2580" w:type="dxa"/>
            <w:vAlign w:val="bottom"/>
          </w:tcPr>
          <w:p>
            <w:pPr>
              <w:jc w:val="center"/>
              <w:spacing w:after="0"/>
              <w:rPr>
                <w:sz w:val="20"/>
                <w:szCs w:val="20"/>
                <w:color w:val="auto"/>
              </w:rPr>
            </w:pPr>
            <w:r>
              <w:rPr>
                <w:rFonts w:ascii="Arial" w:cs="Arial" w:eastAsia="Arial" w:hAnsi="Arial"/>
                <w:sz w:val="14"/>
                <w:szCs w:val="14"/>
                <w:color w:val="auto"/>
                <w:w w:val="89"/>
              </w:rPr>
              <w:t>Name of Each Exchange on Which Registered</w:t>
            </w:r>
          </w:p>
        </w:tc>
      </w:tr>
      <w:tr>
        <w:trPr>
          <w:trHeight w:val="20"/>
        </w:trPr>
        <w:tc>
          <w:tcPr>
            <w:tcW w:w="6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r>
      <w:tr>
        <w:trPr>
          <w:trHeight w:val="192"/>
        </w:trPr>
        <w:tc>
          <w:tcPr>
            <w:tcW w:w="2700" w:type="dxa"/>
            <w:vAlign w:val="bottom"/>
            <w:gridSpan w:val="3"/>
          </w:tcPr>
          <w:p>
            <w:pPr>
              <w:jc w:val="center"/>
              <w:ind w:right="380"/>
              <w:spacing w:after="0"/>
              <w:rPr>
                <w:sz w:val="20"/>
                <w:szCs w:val="20"/>
                <w:color w:val="auto"/>
              </w:rPr>
            </w:pPr>
            <w:r>
              <w:rPr>
                <w:rFonts w:ascii="Arial" w:cs="Arial" w:eastAsia="Arial" w:hAnsi="Arial"/>
                <w:sz w:val="14"/>
                <w:szCs w:val="14"/>
                <w:color w:val="auto"/>
                <w:w w:val="88"/>
              </w:rPr>
              <w:t>Common stock, par value $0.01 per share</w:t>
            </w:r>
          </w:p>
        </w:tc>
        <w:tc>
          <w:tcPr>
            <w:tcW w:w="1540" w:type="dxa"/>
            <w:vAlign w:val="bottom"/>
          </w:tcPr>
          <w:p>
            <w:pPr>
              <w:spacing w:after="0"/>
              <w:rPr>
                <w:sz w:val="16"/>
                <w:szCs w:val="16"/>
                <w:color w:val="auto"/>
              </w:rPr>
            </w:pPr>
          </w:p>
        </w:tc>
        <w:tc>
          <w:tcPr>
            <w:tcW w:w="2720" w:type="dxa"/>
            <w:vAlign w:val="bottom"/>
            <w:gridSpan w:val="2"/>
          </w:tcPr>
          <w:p>
            <w:pPr>
              <w:jc w:val="center"/>
              <w:ind w:right="1800"/>
              <w:spacing w:after="0"/>
              <w:rPr>
                <w:sz w:val="20"/>
                <w:szCs w:val="20"/>
                <w:color w:val="auto"/>
              </w:rPr>
            </w:pPr>
            <w:r>
              <w:rPr>
                <w:rFonts w:ascii="Arial" w:cs="Arial" w:eastAsia="Arial" w:hAnsi="Arial"/>
                <w:sz w:val="14"/>
                <w:szCs w:val="14"/>
                <w:color w:val="auto"/>
                <w:w w:val="93"/>
              </w:rPr>
              <w:t>WHG</w:t>
            </w:r>
          </w:p>
        </w:tc>
        <w:tc>
          <w:tcPr>
            <w:tcW w:w="2580" w:type="dxa"/>
            <w:vAlign w:val="bottom"/>
          </w:tcPr>
          <w:p>
            <w:pPr>
              <w:jc w:val="center"/>
              <w:spacing w:after="0"/>
              <w:rPr>
                <w:sz w:val="20"/>
                <w:szCs w:val="20"/>
                <w:color w:val="auto"/>
              </w:rPr>
            </w:pPr>
            <w:r>
              <w:rPr>
                <w:rFonts w:ascii="Arial" w:cs="Arial" w:eastAsia="Arial" w:hAnsi="Arial"/>
                <w:sz w:val="14"/>
                <w:szCs w:val="14"/>
                <w:color w:val="auto"/>
                <w:w w:val="90"/>
              </w:rPr>
              <w:t>New York Stock Exchange</w:t>
            </w:r>
          </w:p>
        </w:tc>
      </w:tr>
    </w:tbl>
    <w:p>
      <w:pPr>
        <w:spacing w:after="0" w:line="122" w:lineRule="exact"/>
        <w:rPr>
          <w:sz w:val="24"/>
          <w:szCs w:val="24"/>
          <w:color w:val="auto"/>
        </w:rPr>
      </w:pPr>
    </w:p>
    <w:p>
      <w:pPr>
        <w:ind w:right="300"/>
        <w:spacing w:after="0" w:line="18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60"/>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7"/>
        </w:trPr>
        <w:tc>
          <w:tcPr>
            <w:tcW w:w="18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660"/>
              <w:spacing w:after="0"/>
              <w:rPr>
                <w:sz w:val="20"/>
                <w:szCs w:val="20"/>
                <w:color w:val="auto"/>
              </w:rPr>
            </w:pPr>
            <w:r>
              <w:rPr>
                <w:rFonts w:ascii="Arial" w:cs="Arial" w:eastAsia="Arial" w:hAnsi="Arial"/>
                <w:sz w:val="14"/>
                <w:szCs w:val="14"/>
                <w:color w:val="auto"/>
              </w:rPr>
              <w:t>Accelerated filer</w:t>
            </w:r>
          </w:p>
        </w:tc>
        <w:tc>
          <w:tcPr>
            <w:tcW w:w="900" w:type="dxa"/>
            <w:vAlign w:val="bottom"/>
          </w:tcPr>
          <w:p>
            <w:pPr>
              <w:ind w:left="7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5"/>
        </w:trPr>
        <w:tc>
          <w:tcPr>
            <w:tcW w:w="1840" w:type="dxa"/>
            <w:vAlign w:val="bottom"/>
          </w:tcPr>
          <w:p>
            <w:pPr>
              <w:spacing w:after="0"/>
              <w:rPr>
                <w:sz w:val="20"/>
                <w:szCs w:val="20"/>
                <w:color w:val="auto"/>
              </w:rPr>
            </w:pPr>
            <w:r>
              <w:rPr>
                <w:rFonts w:ascii="Arial" w:cs="Arial" w:eastAsia="Arial" w:hAnsi="Arial"/>
                <w:sz w:val="14"/>
                <w:szCs w:val="14"/>
                <w:color w:val="auto"/>
              </w:rPr>
              <w:t>Non-accelerated filer</w:t>
            </w:r>
          </w:p>
        </w:tc>
        <w:tc>
          <w:tcPr>
            <w:tcW w:w="33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660"/>
              <w:spacing w:after="0"/>
              <w:rPr>
                <w:sz w:val="20"/>
                <w:szCs w:val="20"/>
                <w:color w:val="auto"/>
              </w:rPr>
            </w:pPr>
            <w:r>
              <w:rPr>
                <w:rFonts w:ascii="Arial" w:cs="Arial" w:eastAsia="Arial" w:hAnsi="Arial"/>
                <w:sz w:val="14"/>
                <w:szCs w:val="14"/>
                <w:color w:val="auto"/>
              </w:rPr>
              <w:t>Smaller reporting company</w:t>
            </w:r>
          </w:p>
        </w:tc>
        <w:tc>
          <w:tcPr>
            <w:tcW w:w="900" w:type="dxa"/>
            <w:vAlign w:val="bottom"/>
          </w:tcPr>
          <w:p>
            <w:pPr>
              <w:ind w:left="7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5"/>
        </w:trPr>
        <w:tc>
          <w:tcPr>
            <w:tcW w:w="18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940" w:type="dxa"/>
            <w:vAlign w:val="bottom"/>
          </w:tcPr>
          <w:p>
            <w:pPr>
              <w:ind w:left="2660"/>
              <w:spacing w:after="0"/>
              <w:rPr>
                <w:sz w:val="20"/>
                <w:szCs w:val="20"/>
                <w:color w:val="auto"/>
              </w:rPr>
            </w:pPr>
            <w:r>
              <w:rPr>
                <w:rFonts w:ascii="Arial" w:cs="Arial" w:eastAsia="Arial" w:hAnsi="Arial"/>
                <w:sz w:val="14"/>
                <w:szCs w:val="14"/>
                <w:color w:val="auto"/>
              </w:rPr>
              <w:t>Emerging growth company</w:t>
            </w:r>
          </w:p>
        </w:tc>
        <w:tc>
          <w:tcPr>
            <w:tcW w:w="900" w:type="dxa"/>
            <w:vAlign w:val="bottom"/>
          </w:tcPr>
          <w:p>
            <w:pPr>
              <w:ind w:left="7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8" w:lineRule="exact"/>
        <w:rPr>
          <w:sz w:val="24"/>
          <w:szCs w:val="24"/>
          <w:color w:val="auto"/>
        </w:rPr>
      </w:pPr>
    </w:p>
    <w:p>
      <w:pPr>
        <w:ind w:right="360"/>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3980"/>
        <w:spacing w:after="0" w:line="20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Shares of common stock, par value $0.01 per share, outstanding as of October 20, 2021: 8,305,035.</w:t>
      </w:r>
    </w:p>
    <w:p>
      <w:pPr>
        <w:ind w:left="170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763905</wp:posOffset>
            </wp:positionV>
            <wp:extent cx="716216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WESTWOOD HOLDINGS GROUP, INC.</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INDEX</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2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PART I</w:t>
            </w:r>
          </w:p>
        </w:tc>
        <w:tc>
          <w:tcPr>
            <w:tcW w:w="8960" w:type="dxa"/>
            <w:vAlign w:val="bottom"/>
            <w:gridSpan w:val="14"/>
          </w:tcPr>
          <w:p>
            <w:pPr>
              <w:spacing w:after="0"/>
              <w:rPr>
                <w:sz w:val="20"/>
                <w:szCs w:val="20"/>
                <w:color w:val="auto"/>
              </w:rPr>
            </w:pPr>
            <w:r>
              <w:rPr>
                <w:rFonts w:ascii="Arial" w:cs="Arial" w:eastAsia="Arial" w:hAnsi="Arial"/>
                <w:sz w:val="16"/>
                <w:szCs w:val="16"/>
                <w:color w:val="auto"/>
              </w:rPr>
              <w:t>FINANCIAL INFORMATION</w:t>
            </w:r>
          </w:p>
        </w:tc>
        <w:tc>
          <w:tcPr>
            <w:tcW w:w="1140" w:type="dxa"/>
            <w:vAlign w:val="bottom"/>
          </w:tcPr>
          <w:p>
            <w:pPr>
              <w:jc w:val="right"/>
              <w:ind w:right="482"/>
              <w:spacing w:after="0"/>
              <w:rPr>
                <w:sz w:val="20"/>
                <w:szCs w:val="20"/>
                <w:color w:val="auto"/>
              </w:rPr>
            </w:pPr>
            <w:r>
              <w:rPr>
                <w:rFonts w:ascii="Arial" w:cs="Arial" w:eastAsia="Arial" w:hAnsi="Arial"/>
                <w:sz w:val="16"/>
                <w:szCs w:val="16"/>
                <w:color w:val="auto"/>
              </w:rPr>
              <w:t>PAGE</w:t>
            </w:r>
          </w:p>
        </w:tc>
      </w:tr>
      <w:tr>
        <w:trPr>
          <w:trHeight w:val="313"/>
        </w:trPr>
        <w:tc>
          <w:tcPr>
            <w:tcW w:w="1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Item 1.</w:t>
            </w:r>
          </w:p>
        </w:tc>
        <w:tc>
          <w:tcPr>
            <w:tcW w:w="8960" w:type="dxa"/>
            <w:vAlign w:val="bottom"/>
            <w:gridSpan w:val="14"/>
          </w:tcPr>
          <w:p>
            <w:pPr>
              <w:spacing w:after="0"/>
              <w:rPr>
                <w:sz w:val="20"/>
                <w:szCs w:val="20"/>
                <w:color w:val="auto"/>
              </w:rPr>
            </w:pPr>
            <w:r>
              <w:rPr>
                <w:rFonts w:ascii="Arial" w:cs="Arial" w:eastAsia="Arial" w:hAnsi="Arial"/>
                <w:sz w:val="16"/>
                <w:szCs w:val="16"/>
                <w:color w:val="auto"/>
              </w:rPr>
              <w:t>Financial Statements</w:t>
            </w:r>
          </w:p>
        </w:tc>
        <w:tc>
          <w:tcPr>
            <w:tcW w:w="1140" w:type="dxa"/>
            <w:vAlign w:val="bottom"/>
          </w:tcPr>
          <w:p>
            <w:pPr>
              <w:spacing w:after="0"/>
              <w:rPr>
                <w:sz w:val="24"/>
                <w:szCs w:val="24"/>
                <w:color w:val="auto"/>
              </w:rPr>
            </w:pPr>
          </w:p>
        </w:tc>
      </w:tr>
      <w:tr>
        <w:trPr>
          <w:trHeight w:val="280"/>
        </w:trPr>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60" w:type="dxa"/>
            <w:vAlign w:val="bottom"/>
            <w:gridSpan w:val="14"/>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Condensed Consolidated Balance Sheets as of September 30, 2021 and December 31, 2020</w:t>
              </w:r>
            </w:hyperlink>
          </w:p>
        </w:tc>
        <w:tc>
          <w:tcPr>
            <w:tcW w:w="1140" w:type="dxa"/>
            <w:vAlign w:val="bottom"/>
          </w:tcPr>
          <w:p>
            <w:pPr>
              <w:jc w:val="right"/>
              <w:ind w:right="322"/>
              <w:spacing w:after="0"/>
              <w:rPr>
                <w:rFonts w:ascii="Arial" w:cs="Arial" w:eastAsia="Arial" w:hAnsi="Arial"/>
                <w:sz w:val="16"/>
                <w:szCs w:val="16"/>
                <w:color w:val="0000FF"/>
              </w:rPr>
            </w:pPr>
            <w:hyperlink w:anchor="page3">
              <w:r>
                <w:rPr>
                  <w:rFonts w:ascii="Arial" w:cs="Arial" w:eastAsia="Arial" w:hAnsi="Arial"/>
                  <w:sz w:val="16"/>
                  <w:szCs w:val="16"/>
                  <w:color w:val="0000FF"/>
                </w:rPr>
                <w:t>1</w:t>
              </w:r>
            </w:hyperlink>
          </w:p>
        </w:tc>
      </w:tr>
      <w:tr>
        <w:trPr>
          <w:trHeight w:val="20"/>
        </w:trPr>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1"/>
        </w:trPr>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960" w:type="dxa"/>
            <w:vAlign w:val="bottom"/>
            <w:gridSpan w:val="14"/>
          </w:tcPr>
          <w:p>
            <w:pPr>
              <w:spacing w:after="0"/>
              <w:rPr>
                <w:rFonts w:ascii="Arial" w:cs="Arial" w:eastAsia="Arial" w:hAnsi="Arial"/>
                <w:sz w:val="16"/>
                <w:szCs w:val="16"/>
                <w:color w:val="0000FF"/>
                <w:w w:val="89"/>
              </w:rPr>
            </w:pPr>
            <w:hyperlink w:anchor="page3">
              <w:r>
                <w:rPr>
                  <w:rFonts w:ascii="Arial" w:cs="Arial" w:eastAsia="Arial" w:hAnsi="Arial"/>
                  <w:sz w:val="16"/>
                  <w:szCs w:val="16"/>
                  <w:color w:val="0000FF"/>
                  <w:w w:val="89"/>
                </w:rPr>
                <w:t>Condensed Consolidated Statements of Comprehensive Income (Loss) for the Three and Nine Months Ended September 30, 2021 and 2020</w:t>
              </w:r>
            </w:hyperlink>
          </w:p>
        </w:tc>
        <w:tc>
          <w:tcPr>
            <w:tcW w:w="1140" w:type="dxa"/>
            <w:vAlign w:val="bottom"/>
          </w:tcPr>
          <w:p>
            <w:pPr>
              <w:jc w:val="right"/>
              <w:ind w:right="322"/>
              <w:spacing w:after="0"/>
              <w:rPr>
                <w:rFonts w:ascii="Arial" w:cs="Arial" w:eastAsia="Arial" w:hAnsi="Arial"/>
                <w:sz w:val="16"/>
                <w:szCs w:val="16"/>
                <w:color w:val="0000FF"/>
              </w:rPr>
            </w:pPr>
            <w:hyperlink w:anchor="page3">
              <w:r>
                <w:rPr>
                  <w:rFonts w:ascii="Arial" w:cs="Arial" w:eastAsia="Arial" w:hAnsi="Arial"/>
                  <w:sz w:val="16"/>
                  <w:szCs w:val="16"/>
                  <w:color w:val="0000FF"/>
                </w:rPr>
                <w:t>2</w:t>
              </w:r>
            </w:hyperlink>
          </w:p>
        </w:tc>
      </w:tr>
      <w:tr>
        <w:trPr>
          <w:trHeight w:val="241"/>
        </w:trPr>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760" w:type="dxa"/>
            <w:vAlign w:val="bottom"/>
            <w:tcBorders>
              <w:top w:val="single" w:sz="8" w:color="0000FF"/>
            </w:tcBorders>
            <w:gridSpan w:val="13"/>
          </w:tcPr>
          <w:p>
            <w:pPr>
              <w:spacing w:after="0"/>
              <w:rPr>
                <w:rFonts w:ascii="Arial" w:cs="Arial" w:eastAsia="Arial" w:hAnsi="Arial"/>
                <w:sz w:val="16"/>
                <w:szCs w:val="16"/>
                <w:color w:val="0000FF"/>
                <w:w w:val="95"/>
              </w:rPr>
            </w:pPr>
            <w:hyperlink w:anchor="page4">
              <w:r>
                <w:rPr>
                  <w:rFonts w:ascii="Arial" w:cs="Arial" w:eastAsia="Arial" w:hAnsi="Arial"/>
                  <w:sz w:val="16"/>
                  <w:szCs w:val="16"/>
                  <w:color w:val="0000FF"/>
                  <w:w w:val="95"/>
                </w:rPr>
                <w:t>Condensed Consolidated Statement of Stockholders’ Equity for the Three and Nine Months Ended September 30, 2021 and 2020</w:t>
              </w:r>
            </w:hyperlink>
          </w:p>
        </w:tc>
        <w:tc>
          <w:tcPr>
            <w:tcW w:w="200" w:type="dxa"/>
            <w:vAlign w:val="bottom"/>
          </w:tcPr>
          <w:p>
            <w:pPr>
              <w:spacing w:after="0"/>
              <w:rPr>
                <w:sz w:val="20"/>
                <w:szCs w:val="20"/>
                <w:color w:val="auto"/>
              </w:rPr>
            </w:pPr>
          </w:p>
        </w:tc>
        <w:tc>
          <w:tcPr>
            <w:tcW w:w="1140" w:type="dxa"/>
            <w:vAlign w:val="bottom"/>
          </w:tcPr>
          <w:p>
            <w:pPr>
              <w:jc w:val="right"/>
              <w:ind w:right="322"/>
              <w:spacing w:after="0"/>
              <w:rPr>
                <w:rFonts w:ascii="Arial" w:cs="Arial" w:eastAsia="Arial" w:hAnsi="Arial"/>
                <w:sz w:val="16"/>
                <w:szCs w:val="16"/>
                <w:color w:val="0000FF"/>
              </w:rPr>
            </w:pPr>
            <w:hyperlink w:anchor="page4">
              <w:r>
                <w:rPr>
                  <w:rFonts w:ascii="Arial" w:cs="Arial" w:eastAsia="Arial" w:hAnsi="Arial"/>
                  <w:sz w:val="16"/>
                  <w:szCs w:val="16"/>
                  <w:color w:val="0000FF"/>
                </w:rPr>
                <w:t>3</w:t>
              </w:r>
            </w:hyperlink>
          </w:p>
        </w:tc>
      </w:tr>
      <w:tr>
        <w:trPr>
          <w:trHeight w:val="241"/>
        </w:trPr>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100" w:type="dxa"/>
            <w:vAlign w:val="bottom"/>
            <w:tcBorders>
              <w:top w:val="single" w:sz="8" w:color="0000FF"/>
            </w:tcBorders>
            <w:gridSpan w:val="12"/>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Condensed Consolidated Statements of Cash Flows for the Nine Months Ended September 30, 2021 and 2020</w:t>
              </w:r>
            </w:hyperlink>
          </w:p>
        </w:tc>
        <w:tc>
          <w:tcPr>
            <w:tcW w:w="860" w:type="dxa"/>
            <w:vAlign w:val="bottom"/>
            <w:gridSpan w:val="2"/>
          </w:tcPr>
          <w:p>
            <w:pPr>
              <w:spacing w:after="0"/>
              <w:rPr>
                <w:sz w:val="20"/>
                <w:szCs w:val="20"/>
                <w:color w:val="auto"/>
              </w:rPr>
            </w:pPr>
          </w:p>
        </w:tc>
        <w:tc>
          <w:tcPr>
            <w:tcW w:w="1140" w:type="dxa"/>
            <w:vAlign w:val="bottom"/>
          </w:tcPr>
          <w:p>
            <w:pPr>
              <w:jc w:val="right"/>
              <w:ind w:right="322"/>
              <w:spacing w:after="0"/>
              <w:rPr>
                <w:rFonts w:ascii="Arial" w:cs="Arial" w:eastAsia="Arial" w:hAnsi="Arial"/>
                <w:sz w:val="16"/>
                <w:szCs w:val="16"/>
                <w:color w:val="0000FF"/>
              </w:rPr>
            </w:pPr>
            <w:hyperlink w:anchor="page6">
              <w:r>
                <w:rPr>
                  <w:rFonts w:ascii="Arial" w:cs="Arial" w:eastAsia="Arial" w:hAnsi="Arial"/>
                  <w:sz w:val="16"/>
                  <w:szCs w:val="16"/>
                  <w:color w:val="0000FF"/>
                </w:rPr>
                <w:t>5</w:t>
              </w:r>
            </w:hyperlink>
          </w:p>
        </w:tc>
      </w:tr>
      <w:tr>
        <w:trPr>
          <w:trHeight w:val="241"/>
        </w:trPr>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900" w:type="dxa"/>
            <w:vAlign w:val="bottom"/>
            <w:tcBorders>
              <w:top w:val="single" w:sz="8" w:color="0000FF"/>
            </w:tcBorders>
            <w:gridSpan w:val="11"/>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Notes to Condensed Consolidated Financial Statements</w:t>
              </w:r>
            </w:hyperlink>
          </w:p>
        </w:tc>
        <w:tc>
          <w:tcPr>
            <w:tcW w:w="2060" w:type="dxa"/>
            <w:vAlign w:val="bottom"/>
            <w:gridSpan w:val="3"/>
          </w:tcPr>
          <w:p>
            <w:pPr>
              <w:spacing w:after="0"/>
              <w:rPr>
                <w:sz w:val="20"/>
                <w:szCs w:val="20"/>
                <w:color w:val="auto"/>
              </w:rPr>
            </w:pPr>
          </w:p>
        </w:tc>
        <w:tc>
          <w:tcPr>
            <w:tcW w:w="1140" w:type="dxa"/>
            <w:vAlign w:val="bottom"/>
          </w:tcPr>
          <w:p>
            <w:pPr>
              <w:jc w:val="right"/>
              <w:ind w:right="322"/>
              <w:spacing w:after="0"/>
              <w:rPr>
                <w:rFonts w:ascii="Arial" w:cs="Arial" w:eastAsia="Arial" w:hAnsi="Arial"/>
                <w:sz w:val="16"/>
                <w:szCs w:val="16"/>
                <w:color w:val="0000FF"/>
              </w:rPr>
            </w:pPr>
            <w:hyperlink w:anchor="page7">
              <w:r>
                <w:rPr>
                  <w:rFonts w:ascii="Arial" w:cs="Arial" w:eastAsia="Arial" w:hAnsi="Arial"/>
                  <w:sz w:val="16"/>
                  <w:szCs w:val="16"/>
                  <w:color w:val="0000FF"/>
                </w:rPr>
                <w:t>6</w:t>
              </w:r>
            </w:hyperlink>
          </w:p>
        </w:tc>
      </w:tr>
      <w:tr>
        <w:trPr>
          <w:trHeight w:val="20"/>
        </w:trPr>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1"/>
        </w:trPr>
        <w:tc>
          <w:tcPr>
            <w:tcW w:w="12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Item 2.</w:t>
            </w:r>
          </w:p>
        </w:tc>
        <w:tc>
          <w:tcPr>
            <w:tcW w:w="8960" w:type="dxa"/>
            <w:vAlign w:val="bottom"/>
            <w:gridSpan w:val="14"/>
          </w:tcPr>
          <w:p>
            <w:pPr>
              <w:spacing w:after="0"/>
              <w:rPr>
                <w:rFonts w:ascii="Arial" w:cs="Arial" w:eastAsia="Arial" w:hAnsi="Arial"/>
                <w:sz w:val="16"/>
                <w:szCs w:val="16"/>
                <w:color w:val="0000FF"/>
              </w:rPr>
            </w:pPr>
            <w:hyperlink w:anchor="page17">
              <w:r>
                <w:rPr>
                  <w:rFonts w:ascii="Arial" w:cs="Arial" w:eastAsia="Arial" w:hAnsi="Arial"/>
                  <w:sz w:val="16"/>
                  <w:szCs w:val="16"/>
                  <w:color w:val="0000FF"/>
                </w:rPr>
                <w:t>Management’s Discussion and Analysis of Financial Condition and Results of Operations</w:t>
              </w:r>
            </w:hyperlink>
          </w:p>
        </w:tc>
        <w:tc>
          <w:tcPr>
            <w:tcW w:w="1140" w:type="dxa"/>
            <w:vAlign w:val="bottom"/>
          </w:tcPr>
          <w:p>
            <w:pPr>
              <w:jc w:val="right"/>
              <w:ind w:right="322"/>
              <w:spacing w:after="0"/>
              <w:rPr>
                <w:rFonts w:ascii="Arial" w:cs="Arial" w:eastAsia="Arial" w:hAnsi="Arial"/>
                <w:sz w:val="16"/>
                <w:szCs w:val="16"/>
                <w:color w:val="0000FF"/>
              </w:rPr>
            </w:pPr>
            <w:hyperlink w:anchor="page17">
              <w:r>
                <w:rPr>
                  <w:rFonts w:ascii="Arial" w:cs="Arial" w:eastAsia="Arial" w:hAnsi="Arial"/>
                  <w:sz w:val="16"/>
                  <w:szCs w:val="16"/>
                  <w:color w:val="0000FF"/>
                </w:rPr>
                <w:t>16</w:t>
              </w:r>
            </w:hyperlink>
          </w:p>
        </w:tc>
      </w:tr>
      <w:tr>
        <w:trPr>
          <w:trHeight w:val="241"/>
        </w:trPr>
        <w:tc>
          <w:tcPr>
            <w:tcW w:w="12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Item 3.</w:t>
            </w:r>
          </w:p>
        </w:tc>
        <w:tc>
          <w:tcPr>
            <w:tcW w:w="3800" w:type="dxa"/>
            <w:vAlign w:val="bottom"/>
            <w:tcBorders>
              <w:top w:val="single" w:sz="8" w:color="0000FF"/>
              <w:bottom w:val="single" w:sz="8" w:color="0000FF"/>
            </w:tcBorders>
            <w:gridSpan w:val="8"/>
          </w:tcPr>
          <w:p>
            <w:pPr>
              <w:spacing w:after="0"/>
              <w:rPr>
                <w:rFonts w:ascii="Arial" w:cs="Arial" w:eastAsia="Arial" w:hAnsi="Arial"/>
                <w:sz w:val="16"/>
                <w:szCs w:val="16"/>
                <w:color w:val="0000FF"/>
                <w:w w:val="90"/>
              </w:rPr>
            </w:pPr>
            <w:hyperlink w:anchor="page28">
              <w:r>
                <w:rPr>
                  <w:rFonts w:ascii="Arial" w:cs="Arial" w:eastAsia="Arial" w:hAnsi="Arial"/>
                  <w:sz w:val="16"/>
                  <w:szCs w:val="16"/>
                  <w:color w:val="0000FF"/>
                  <w:w w:val="90"/>
                </w:rPr>
                <w:t>Quantitative and Qualitative Disclosures About Market Risk</w:t>
              </w:r>
            </w:hyperlink>
          </w:p>
        </w:tc>
        <w:tc>
          <w:tcPr>
            <w:tcW w:w="1820" w:type="dxa"/>
            <w:vAlign w:val="bottom"/>
            <w:tcBorders>
              <w:top w:val="single" w:sz="8" w:color="0000FF"/>
            </w:tcBorders>
          </w:tcPr>
          <w:p>
            <w:pPr>
              <w:spacing w:after="0"/>
              <w:rPr>
                <w:sz w:val="20"/>
                <w:szCs w:val="20"/>
                <w:color w:val="auto"/>
              </w:rPr>
            </w:pPr>
          </w:p>
        </w:tc>
        <w:tc>
          <w:tcPr>
            <w:tcW w:w="3340" w:type="dxa"/>
            <w:vAlign w:val="bottom"/>
            <w:gridSpan w:val="5"/>
          </w:tcPr>
          <w:p>
            <w:pPr>
              <w:spacing w:after="0"/>
              <w:rPr>
                <w:sz w:val="20"/>
                <w:szCs w:val="20"/>
                <w:color w:val="auto"/>
              </w:rPr>
            </w:pPr>
          </w:p>
        </w:tc>
        <w:tc>
          <w:tcPr>
            <w:tcW w:w="1140" w:type="dxa"/>
            <w:vAlign w:val="bottom"/>
          </w:tcPr>
          <w:p>
            <w:pPr>
              <w:jc w:val="right"/>
              <w:ind w:right="322"/>
              <w:spacing w:after="0"/>
              <w:rPr>
                <w:rFonts w:ascii="Arial" w:cs="Arial" w:eastAsia="Arial" w:hAnsi="Arial"/>
                <w:sz w:val="16"/>
                <w:szCs w:val="16"/>
                <w:color w:val="0000FF"/>
              </w:rPr>
            </w:pPr>
            <w:hyperlink w:anchor="page28">
              <w:r>
                <w:rPr>
                  <w:rFonts w:ascii="Arial" w:cs="Arial" w:eastAsia="Arial" w:hAnsi="Arial"/>
                  <w:sz w:val="16"/>
                  <w:szCs w:val="16"/>
                  <w:color w:val="0000FF"/>
                </w:rPr>
                <w:t>25</w:t>
              </w:r>
            </w:hyperlink>
          </w:p>
        </w:tc>
      </w:tr>
      <w:tr>
        <w:trPr>
          <w:trHeight w:val="241"/>
        </w:trPr>
        <w:tc>
          <w:tcPr>
            <w:tcW w:w="12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Item 4.</w:t>
            </w:r>
          </w:p>
        </w:tc>
        <w:tc>
          <w:tcPr>
            <w:tcW w:w="8960" w:type="dxa"/>
            <w:vAlign w:val="bottom"/>
            <w:gridSpan w:val="14"/>
          </w:tcPr>
          <w:p>
            <w:pPr>
              <w:spacing w:after="0"/>
              <w:rPr>
                <w:rFonts w:ascii="Arial" w:cs="Arial" w:eastAsia="Arial" w:hAnsi="Arial"/>
                <w:sz w:val="16"/>
                <w:szCs w:val="16"/>
                <w:color w:val="0000FF"/>
              </w:rPr>
            </w:pPr>
            <w:hyperlink w:anchor="page28">
              <w:r>
                <w:rPr>
                  <w:rFonts w:ascii="Arial" w:cs="Arial" w:eastAsia="Arial" w:hAnsi="Arial"/>
                  <w:sz w:val="16"/>
                  <w:szCs w:val="16"/>
                  <w:color w:val="0000FF"/>
                </w:rPr>
                <w:t>Controls and Procedures</w:t>
              </w:r>
            </w:hyperlink>
          </w:p>
        </w:tc>
        <w:tc>
          <w:tcPr>
            <w:tcW w:w="1140" w:type="dxa"/>
            <w:vAlign w:val="bottom"/>
          </w:tcPr>
          <w:p>
            <w:pPr>
              <w:jc w:val="right"/>
              <w:ind w:right="322"/>
              <w:spacing w:after="0"/>
              <w:rPr>
                <w:rFonts w:ascii="Arial" w:cs="Arial" w:eastAsia="Arial" w:hAnsi="Arial"/>
                <w:sz w:val="16"/>
                <w:szCs w:val="16"/>
                <w:color w:val="0000FF"/>
              </w:rPr>
            </w:pPr>
            <w:hyperlink w:anchor="page28">
              <w:r>
                <w:rPr>
                  <w:rFonts w:ascii="Arial" w:cs="Arial" w:eastAsia="Arial" w:hAnsi="Arial"/>
                  <w:sz w:val="16"/>
                  <w:szCs w:val="16"/>
                  <w:color w:val="0000FF"/>
                </w:rPr>
                <w:t>25</w:t>
              </w:r>
            </w:hyperlink>
          </w:p>
        </w:tc>
      </w:tr>
      <w:tr>
        <w:trPr>
          <w:trHeight w:val="20"/>
        </w:trPr>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80" w:type="dxa"/>
            <w:vAlign w:val="bottom"/>
            <w:gridSpan w:val="7"/>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1"/>
        </w:trPr>
        <w:tc>
          <w:tcPr>
            <w:tcW w:w="12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PART II</w:t>
            </w:r>
          </w:p>
        </w:tc>
        <w:tc>
          <w:tcPr>
            <w:tcW w:w="8960" w:type="dxa"/>
            <w:vAlign w:val="bottom"/>
            <w:gridSpan w:val="14"/>
          </w:tcPr>
          <w:p>
            <w:pPr>
              <w:spacing w:after="0"/>
              <w:rPr>
                <w:rFonts w:ascii="Arial" w:cs="Arial" w:eastAsia="Arial" w:hAnsi="Arial"/>
                <w:sz w:val="16"/>
                <w:szCs w:val="16"/>
                <w:color w:val="0000FF"/>
              </w:rPr>
            </w:pPr>
            <w:hyperlink w:anchor="page28">
              <w:r>
                <w:rPr>
                  <w:rFonts w:ascii="Arial" w:cs="Arial" w:eastAsia="Arial" w:hAnsi="Arial"/>
                  <w:sz w:val="16"/>
                  <w:szCs w:val="16"/>
                  <w:color w:val="0000FF"/>
                </w:rPr>
                <w:t>OTHER INFORMATION</w:t>
              </w:r>
            </w:hyperlink>
          </w:p>
        </w:tc>
        <w:tc>
          <w:tcPr>
            <w:tcW w:w="1140" w:type="dxa"/>
            <w:vAlign w:val="bottom"/>
          </w:tcPr>
          <w:p>
            <w:pPr>
              <w:jc w:val="right"/>
              <w:ind w:right="322"/>
              <w:spacing w:after="0"/>
              <w:rPr>
                <w:rFonts w:ascii="Arial" w:cs="Arial" w:eastAsia="Arial" w:hAnsi="Arial"/>
                <w:sz w:val="16"/>
                <w:szCs w:val="16"/>
                <w:color w:val="0000FF"/>
              </w:rPr>
            </w:pPr>
            <w:hyperlink w:anchor="page28">
              <w:r>
                <w:rPr>
                  <w:rFonts w:ascii="Arial" w:cs="Arial" w:eastAsia="Arial" w:hAnsi="Arial"/>
                  <w:sz w:val="16"/>
                  <w:szCs w:val="16"/>
                  <w:color w:val="0000FF"/>
                </w:rPr>
                <w:t>26</w:t>
              </w:r>
            </w:hyperlink>
          </w:p>
        </w:tc>
      </w:tr>
      <w:tr>
        <w:trPr>
          <w:trHeight w:val="241"/>
        </w:trPr>
        <w:tc>
          <w:tcPr>
            <w:tcW w:w="12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Item 1.</w:t>
            </w:r>
          </w:p>
        </w:tc>
        <w:tc>
          <w:tcPr>
            <w:tcW w:w="1640" w:type="dxa"/>
            <w:vAlign w:val="bottom"/>
            <w:tcBorders>
              <w:top w:val="single" w:sz="8" w:color="0000FF"/>
            </w:tcBorders>
            <w:gridSpan w:val="5"/>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Legal Proceedings</w:t>
              </w:r>
            </w:hyperlink>
          </w:p>
        </w:tc>
        <w:tc>
          <w:tcPr>
            <w:tcW w:w="7320" w:type="dxa"/>
            <w:vAlign w:val="bottom"/>
            <w:gridSpan w:val="9"/>
          </w:tcPr>
          <w:p>
            <w:pPr>
              <w:spacing w:after="0"/>
              <w:rPr>
                <w:sz w:val="20"/>
                <w:szCs w:val="20"/>
                <w:color w:val="auto"/>
              </w:rPr>
            </w:pPr>
          </w:p>
        </w:tc>
        <w:tc>
          <w:tcPr>
            <w:tcW w:w="1140" w:type="dxa"/>
            <w:vAlign w:val="bottom"/>
          </w:tcPr>
          <w:p>
            <w:pPr>
              <w:jc w:val="right"/>
              <w:ind w:right="322"/>
              <w:spacing w:after="0"/>
              <w:rPr>
                <w:rFonts w:ascii="Arial" w:cs="Arial" w:eastAsia="Arial" w:hAnsi="Arial"/>
                <w:sz w:val="16"/>
                <w:szCs w:val="16"/>
                <w:color w:val="0000FF"/>
              </w:rPr>
            </w:pPr>
            <w:hyperlink w:anchor="page29">
              <w:r>
                <w:rPr>
                  <w:rFonts w:ascii="Arial" w:cs="Arial" w:eastAsia="Arial" w:hAnsi="Arial"/>
                  <w:sz w:val="16"/>
                  <w:szCs w:val="16"/>
                  <w:color w:val="0000FF"/>
                </w:rPr>
                <w:t>26</w:t>
              </w:r>
            </w:hyperlink>
          </w:p>
        </w:tc>
      </w:tr>
      <w:tr>
        <w:trPr>
          <w:trHeight w:val="241"/>
        </w:trPr>
        <w:tc>
          <w:tcPr>
            <w:tcW w:w="12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Item 1A.</w:t>
            </w:r>
          </w:p>
        </w:tc>
        <w:tc>
          <w:tcPr>
            <w:tcW w:w="80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87"/>
              </w:rPr>
            </w:pPr>
            <w:hyperlink w:anchor="page29">
              <w:r>
                <w:rPr>
                  <w:rFonts w:ascii="Arial" w:cs="Arial" w:eastAsia="Arial" w:hAnsi="Arial"/>
                  <w:sz w:val="16"/>
                  <w:szCs w:val="16"/>
                  <w:color w:val="0000FF"/>
                  <w:w w:val="87"/>
                </w:rPr>
                <w:t>Risk Factors</w:t>
              </w:r>
            </w:hyperlink>
          </w:p>
        </w:tc>
        <w:tc>
          <w:tcPr>
            <w:tcW w:w="360" w:type="dxa"/>
            <w:vAlign w:val="bottom"/>
            <w:tcBorders>
              <w:top w:val="single" w:sz="8" w:color="0000FF"/>
            </w:tcBorders>
          </w:tcPr>
          <w:p>
            <w:pPr>
              <w:spacing w:after="0"/>
              <w:rPr>
                <w:sz w:val="20"/>
                <w:szCs w:val="20"/>
                <w:color w:val="auto"/>
              </w:rPr>
            </w:pPr>
          </w:p>
        </w:tc>
        <w:tc>
          <w:tcPr>
            <w:tcW w:w="7800" w:type="dxa"/>
            <w:vAlign w:val="bottom"/>
            <w:gridSpan w:val="11"/>
          </w:tcPr>
          <w:p>
            <w:pPr>
              <w:spacing w:after="0"/>
              <w:rPr>
                <w:sz w:val="20"/>
                <w:szCs w:val="20"/>
                <w:color w:val="auto"/>
              </w:rPr>
            </w:pPr>
          </w:p>
        </w:tc>
        <w:tc>
          <w:tcPr>
            <w:tcW w:w="1140" w:type="dxa"/>
            <w:vAlign w:val="bottom"/>
          </w:tcPr>
          <w:p>
            <w:pPr>
              <w:jc w:val="right"/>
              <w:ind w:right="322"/>
              <w:spacing w:after="0"/>
              <w:rPr>
                <w:rFonts w:ascii="Arial" w:cs="Arial" w:eastAsia="Arial" w:hAnsi="Arial"/>
                <w:sz w:val="16"/>
                <w:szCs w:val="16"/>
                <w:color w:val="0000FF"/>
              </w:rPr>
            </w:pPr>
            <w:hyperlink w:anchor="page29">
              <w:r>
                <w:rPr>
                  <w:rFonts w:ascii="Arial" w:cs="Arial" w:eastAsia="Arial" w:hAnsi="Arial"/>
                  <w:sz w:val="16"/>
                  <w:szCs w:val="16"/>
                  <w:color w:val="0000FF"/>
                </w:rPr>
                <w:t>26</w:t>
              </w:r>
            </w:hyperlink>
          </w:p>
        </w:tc>
      </w:tr>
      <w:tr>
        <w:trPr>
          <w:trHeight w:val="241"/>
        </w:trPr>
        <w:tc>
          <w:tcPr>
            <w:tcW w:w="12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Item 2.</w:t>
            </w:r>
          </w:p>
        </w:tc>
        <w:tc>
          <w:tcPr>
            <w:tcW w:w="8960" w:type="dxa"/>
            <w:vAlign w:val="bottom"/>
            <w:gridSpan w:val="14"/>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Unregistered Sales of Equity Securities and Use of Proceeds</w:t>
              </w:r>
            </w:hyperlink>
          </w:p>
        </w:tc>
        <w:tc>
          <w:tcPr>
            <w:tcW w:w="1140" w:type="dxa"/>
            <w:vAlign w:val="bottom"/>
          </w:tcPr>
          <w:p>
            <w:pPr>
              <w:jc w:val="right"/>
              <w:ind w:right="322"/>
              <w:spacing w:after="0"/>
              <w:rPr>
                <w:rFonts w:ascii="Arial" w:cs="Arial" w:eastAsia="Arial" w:hAnsi="Arial"/>
                <w:sz w:val="16"/>
                <w:szCs w:val="16"/>
                <w:color w:val="0000FF"/>
              </w:rPr>
            </w:pPr>
            <w:hyperlink w:anchor="page30">
              <w:r>
                <w:rPr>
                  <w:rFonts w:ascii="Arial" w:cs="Arial" w:eastAsia="Arial" w:hAnsi="Arial"/>
                  <w:sz w:val="16"/>
                  <w:szCs w:val="16"/>
                  <w:color w:val="0000FF"/>
                </w:rPr>
                <w:t>27</w:t>
              </w:r>
            </w:hyperlink>
          </w:p>
        </w:tc>
      </w:tr>
      <w:tr>
        <w:trPr>
          <w:trHeight w:val="241"/>
        </w:trPr>
        <w:tc>
          <w:tcPr>
            <w:tcW w:w="1140" w:type="dxa"/>
            <w:vAlign w:val="bottom"/>
            <w:gridSpan w:val="3"/>
          </w:tcPr>
          <w:p>
            <w:pPr>
              <w:ind w:left="80"/>
              <w:spacing w:after="0"/>
              <w:rPr>
                <w:sz w:val="20"/>
                <w:szCs w:val="20"/>
                <w:color w:val="auto"/>
              </w:rPr>
            </w:pPr>
            <w:r>
              <w:rPr>
                <w:rFonts w:ascii="Arial" w:cs="Arial" w:eastAsia="Arial" w:hAnsi="Arial"/>
                <w:sz w:val="16"/>
                <w:szCs w:val="16"/>
                <w:color w:val="auto"/>
              </w:rPr>
              <w:t>Item 6.</w:t>
            </w:r>
          </w:p>
        </w:tc>
        <w:tc>
          <w:tcPr>
            <w:tcW w:w="3780" w:type="dxa"/>
            <w:vAlign w:val="bottom"/>
            <w:tcBorders>
              <w:top w:val="single" w:sz="8" w:color="0000FF"/>
            </w:tcBorders>
            <w:gridSpan w:val="7"/>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Exhibits</w:t>
              </w:r>
            </w:hyperlink>
          </w:p>
        </w:tc>
        <w:tc>
          <w:tcPr>
            <w:tcW w:w="5180" w:type="dxa"/>
            <w:vAlign w:val="bottom"/>
            <w:gridSpan w:val="7"/>
          </w:tcPr>
          <w:p>
            <w:pPr>
              <w:spacing w:after="0"/>
              <w:rPr>
                <w:sz w:val="20"/>
                <w:szCs w:val="20"/>
                <w:color w:val="auto"/>
              </w:rPr>
            </w:pPr>
          </w:p>
        </w:tc>
        <w:tc>
          <w:tcPr>
            <w:tcW w:w="1140" w:type="dxa"/>
            <w:vAlign w:val="bottom"/>
          </w:tcPr>
          <w:p>
            <w:pPr>
              <w:jc w:val="right"/>
              <w:ind w:right="322"/>
              <w:spacing w:after="0"/>
              <w:rPr>
                <w:rFonts w:ascii="Arial" w:cs="Arial" w:eastAsia="Arial" w:hAnsi="Arial"/>
                <w:sz w:val="16"/>
                <w:szCs w:val="16"/>
                <w:color w:val="0000FF"/>
              </w:rPr>
            </w:pPr>
            <w:hyperlink w:anchor="page30">
              <w:r>
                <w:rPr>
                  <w:rFonts w:ascii="Arial" w:cs="Arial" w:eastAsia="Arial" w:hAnsi="Arial"/>
                  <w:sz w:val="16"/>
                  <w:szCs w:val="16"/>
                  <w:color w:val="0000FF"/>
                </w:rPr>
                <w:t>28</w:t>
              </w:r>
            </w:hyperlink>
          </w:p>
        </w:tc>
      </w:tr>
      <w:tr>
        <w:trPr>
          <w:trHeight w:val="241"/>
        </w:trPr>
        <w:tc>
          <w:tcPr>
            <w:tcW w:w="120" w:type="dxa"/>
            <w:vAlign w:val="bottom"/>
          </w:tcPr>
          <w:p>
            <w:pPr>
              <w:spacing w:after="0"/>
              <w:rPr>
                <w:sz w:val="20"/>
                <w:szCs w:val="20"/>
                <w:color w:val="auto"/>
              </w:rPr>
            </w:pPr>
          </w:p>
        </w:tc>
        <w:tc>
          <w:tcPr>
            <w:tcW w:w="1020" w:type="dxa"/>
            <w:vAlign w:val="bottom"/>
            <w:gridSpan w:val="2"/>
          </w:tcPr>
          <w:p>
            <w:pPr>
              <w:spacing w:after="0"/>
              <w:rPr>
                <w:rFonts w:ascii="Arial" w:cs="Arial" w:eastAsia="Arial" w:hAnsi="Arial"/>
                <w:sz w:val="16"/>
                <w:szCs w:val="16"/>
                <w:color w:val="0000FF"/>
              </w:rPr>
            </w:pPr>
            <w:hyperlink w:anchor="page31">
              <w:r>
                <w:rPr>
                  <w:rFonts w:ascii="Arial" w:cs="Arial" w:eastAsia="Arial" w:hAnsi="Arial"/>
                  <w:sz w:val="16"/>
                  <w:szCs w:val="16"/>
                  <w:color w:val="0000FF"/>
                </w:rPr>
                <w:t>Signatures</w:t>
              </w:r>
            </w:hyperlink>
          </w:p>
        </w:tc>
        <w:tc>
          <w:tcPr>
            <w:tcW w:w="52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322"/>
              <w:spacing w:after="0"/>
              <w:rPr>
                <w:rFonts w:ascii="Arial" w:cs="Arial" w:eastAsia="Arial" w:hAnsi="Arial"/>
                <w:sz w:val="16"/>
                <w:szCs w:val="16"/>
                <w:color w:val="0000FF"/>
              </w:rPr>
            </w:pPr>
            <w:hyperlink w:anchor="page31">
              <w:r>
                <w:rPr>
                  <w:rFonts w:ascii="Arial" w:cs="Arial" w:eastAsia="Arial" w:hAnsi="Arial"/>
                  <w:sz w:val="16"/>
                  <w:szCs w:val="16"/>
                  <w:color w:val="0000FF"/>
                </w:rPr>
                <w:t>29</w:t>
              </w:r>
            </w:hyperlink>
          </w:p>
        </w:tc>
      </w:tr>
      <w:tr>
        <w:trPr>
          <w:trHeight w:val="2701"/>
        </w:trPr>
        <w:tc>
          <w:tcPr>
            <w:tcW w:w="12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1" w:right="339" w:bottom="1440" w:gutter="0" w:footer="0" w:header="0"/>
        </w:sectPr>
      </w:pPr>
    </w:p>
    <w:bookmarkStart w:id="2" w:name="page3"/>
    <w:bookmarkEnd w:id="2"/>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WESTWOOD HOLDINGS GROUP,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par value and share amounts)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6"/>
                <w:szCs w:val="16"/>
                <w:color w:val="auto"/>
              </w:rPr>
            </w:pPr>
          </w:p>
        </w:tc>
        <w:tc>
          <w:tcPr>
            <w:tcW w:w="1320" w:type="dxa"/>
            <w:vAlign w:val="bottom"/>
          </w:tcPr>
          <w:p>
            <w:pPr>
              <w:jc w:val="right"/>
              <w:ind w:right="222"/>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06"/>
        </w:trPr>
        <w:tc>
          <w:tcPr>
            <w:tcW w:w="8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2"/>
        </w:trPr>
        <w:tc>
          <w:tcPr>
            <w:tcW w:w="8120" w:type="dxa"/>
            <w:vAlign w:val="bottom"/>
            <w:shd w:val="clear" w:color="auto" w:fill="CCEEFF"/>
          </w:tcPr>
          <w:p>
            <w:pPr>
              <w:ind w:left="376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1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1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13,016</w:t>
            </w:r>
          </w:p>
        </w:tc>
        <w:tc>
          <w:tcPr>
            <w:tcW w:w="0" w:type="dxa"/>
            <w:vAlign w:val="bottom"/>
          </w:tcPr>
          <w:p>
            <w:pPr>
              <w:spacing w:after="0"/>
              <w:rPr>
                <w:sz w:val="1"/>
                <w:szCs w:val="1"/>
                <w:color w:val="auto"/>
              </w:rPr>
            </w:pPr>
          </w:p>
        </w:tc>
      </w:tr>
      <w:tr>
        <w:trPr>
          <w:trHeight w:val="206"/>
        </w:trPr>
        <w:tc>
          <w:tcPr>
            <w:tcW w:w="8120" w:type="dxa"/>
            <w:vAlign w:val="bottom"/>
          </w:tcPr>
          <w:p>
            <w:pPr>
              <w:ind w:left="46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9,785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9,450</w:t>
            </w:r>
          </w:p>
        </w:tc>
        <w:tc>
          <w:tcPr>
            <w:tcW w:w="0" w:type="dxa"/>
            <w:vAlign w:val="bottom"/>
          </w:tcPr>
          <w:p>
            <w:pPr>
              <w:spacing w:after="0"/>
              <w:rPr>
                <w:sz w:val="1"/>
                <w:szCs w:val="1"/>
                <w:color w:val="auto"/>
              </w:rPr>
            </w:pPr>
          </w:p>
        </w:tc>
      </w:tr>
      <w:tr>
        <w:trPr>
          <w:trHeight w:val="212"/>
        </w:trPr>
        <w:tc>
          <w:tcPr>
            <w:tcW w:w="81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Investments, at fair value</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69,542</w:t>
            </w:r>
          </w:p>
        </w:tc>
        <w:tc>
          <w:tcPr>
            <w:tcW w:w="0" w:type="dxa"/>
            <w:vAlign w:val="bottom"/>
          </w:tcPr>
          <w:p>
            <w:pPr>
              <w:spacing w:after="0"/>
              <w:rPr>
                <w:sz w:val="1"/>
                <w:szCs w:val="1"/>
                <w:color w:val="auto"/>
              </w:rPr>
            </w:pPr>
          </w:p>
        </w:tc>
      </w:tr>
      <w:tr>
        <w:trPr>
          <w:trHeight w:val="206"/>
        </w:trPr>
        <w:tc>
          <w:tcPr>
            <w:tcW w:w="8120" w:type="dxa"/>
            <w:vAlign w:val="bottom"/>
          </w:tcPr>
          <w:p>
            <w:pPr>
              <w:ind w:left="460"/>
              <w:spacing w:after="0"/>
              <w:rPr>
                <w:sz w:val="20"/>
                <w:szCs w:val="20"/>
                <w:color w:val="auto"/>
              </w:rPr>
            </w:pPr>
            <w:r>
              <w:rPr>
                <w:rFonts w:ascii="Arial" w:cs="Arial" w:eastAsia="Arial" w:hAnsi="Arial"/>
                <w:sz w:val="16"/>
                <w:szCs w:val="16"/>
                <w:color w:val="auto"/>
              </w:rPr>
              <w:t>Prepaid income taxes</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1,700</w:t>
            </w:r>
          </w:p>
        </w:tc>
        <w:tc>
          <w:tcPr>
            <w:tcW w:w="0" w:type="dxa"/>
            <w:vAlign w:val="bottom"/>
          </w:tcPr>
          <w:p>
            <w:pPr>
              <w:spacing w:after="0"/>
              <w:rPr>
                <w:sz w:val="1"/>
                <w:szCs w:val="1"/>
                <w:color w:val="auto"/>
              </w:rPr>
            </w:pPr>
          </w:p>
        </w:tc>
      </w:tr>
      <w:tr>
        <w:trPr>
          <w:trHeight w:val="212"/>
        </w:trPr>
        <w:tc>
          <w:tcPr>
            <w:tcW w:w="81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2,606</w:t>
            </w:r>
          </w:p>
        </w:tc>
        <w:tc>
          <w:tcPr>
            <w:tcW w:w="0" w:type="dxa"/>
            <w:vAlign w:val="bottom"/>
          </w:tcPr>
          <w:p>
            <w:pPr>
              <w:spacing w:after="0"/>
              <w:rPr>
                <w:sz w:val="1"/>
                <w:szCs w:val="1"/>
                <w:color w:val="auto"/>
              </w:rPr>
            </w:pPr>
          </w:p>
        </w:tc>
      </w:tr>
      <w:tr>
        <w:trPr>
          <w:trHeight w:val="199"/>
        </w:trPr>
        <w:tc>
          <w:tcPr>
            <w:tcW w:w="8120" w:type="dxa"/>
            <w:vAlign w:val="bottom"/>
          </w:tcPr>
          <w:p>
            <w:pPr>
              <w:ind w:left="660"/>
              <w:spacing w:after="0" w:line="183" w:lineRule="exact"/>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88,870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96,314</w:t>
            </w:r>
          </w:p>
        </w:tc>
        <w:tc>
          <w:tcPr>
            <w:tcW w:w="0" w:type="dxa"/>
            <w:vAlign w:val="bottom"/>
          </w:tcPr>
          <w:p>
            <w:pPr>
              <w:spacing w:after="0"/>
              <w:rPr>
                <w:sz w:val="1"/>
                <w:szCs w:val="1"/>
                <w:color w:val="auto"/>
              </w:rPr>
            </w:pPr>
          </w:p>
        </w:tc>
      </w:tr>
      <w:tr>
        <w:trPr>
          <w:trHeight w:val="212"/>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8,154</w:t>
            </w:r>
          </w:p>
        </w:tc>
        <w:tc>
          <w:tcPr>
            <w:tcW w:w="0" w:type="dxa"/>
            <w:vAlign w:val="bottom"/>
          </w:tcPr>
          <w:p>
            <w:pPr>
              <w:spacing w:after="0"/>
              <w:rPr>
                <w:sz w:val="1"/>
                <w:szCs w:val="1"/>
                <w:color w:val="auto"/>
              </w:rPr>
            </w:pPr>
          </w:p>
        </w:tc>
      </w:tr>
      <w:tr>
        <w:trPr>
          <w:trHeight w:val="206"/>
        </w:trPr>
        <w:tc>
          <w:tcPr>
            <w:tcW w:w="8120" w:type="dxa"/>
            <w:vAlign w:val="bottom"/>
          </w:tcPr>
          <w:p>
            <w:pPr>
              <w:ind w:left="20"/>
              <w:spacing w:after="0"/>
              <w:rPr>
                <w:sz w:val="20"/>
                <w:szCs w:val="20"/>
                <w:color w:val="auto"/>
              </w:rPr>
            </w:pPr>
            <w:r>
              <w:rPr>
                <w:rFonts w:ascii="Arial" w:cs="Arial" w:eastAsia="Arial" w:hAnsi="Arial"/>
                <w:sz w:val="16"/>
                <w:szCs w:val="16"/>
                <w:color w:val="auto"/>
              </w:rPr>
              <w:t>Noncurrent investments at fair value</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3,527</w:t>
            </w:r>
          </w:p>
        </w:tc>
        <w:tc>
          <w:tcPr>
            <w:tcW w:w="0" w:type="dxa"/>
            <w:vAlign w:val="bottom"/>
          </w:tcPr>
          <w:p>
            <w:pPr>
              <w:spacing w:after="0"/>
              <w:rPr>
                <w:sz w:val="1"/>
                <w:szCs w:val="1"/>
                <w:color w:val="auto"/>
              </w:rPr>
            </w:pPr>
          </w:p>
        </w:tc>
      </w:tr>
      <w:tr>
        <w:trPr>
          <w:trHeight w:val="212"/>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16,401</w:t>
            </w:r>
          </w:p>
        </w:tc>
        <w:tc>
          <w:tcPr>
            <w:tcW w:w="0" w:type="dxa"/>
            <w:vAlign w:val="bottom"/>
          </w:tcPr>
          <w:p>
            <w:pPr>
              <w:spacing w:after="0"/>
              <w:rPr>
                <w:sz w:val="1"/>
                <w:szCs w:val="1"/>
                <w:color w:val="auto"/>
              </w:rPr>
            </w:pPr>
          </w:p>
        </w:tc>
      </w:tr>
      <w:tr>
        <w:trPr>
          <w:trHeight w:val="206"/>
        </w:trPr>
        <w:tc>
          <w:tcPr>
            <w:tcW w:w="81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1,468</w:t>
            </w:r>
          </w:p>
        </w:tc>
        <w:tc>
          <w:tcPr>
            <w:tcW w:w="0" w:type="dxa"/>
            <w:vAlign w:val="bottom"/>
          </w:tcPr>
          <w:p>
            <w:pPr>
              <w:spacing w:after="0"/>
              <w:rPr>
                <w:sz w:val="1"/>
                <w:szCs w:val="1"/>
                <w:color w:val="auto"/>
              </w:rPr>
            </w:pPr>
          </w:p>
        </w:tc>
      </w:tr>
      <w:tr>
        <w:trPr>
          <w:trHeight w:val="212"/>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6,103</w:t>
            </w:r>
          </w:p>
        </w:tc>
        <w:tc>
          <w:tcPr>
            <w:tcW w:w="0" w:type="dxa"/>
            <w:vAlign w:val="bottom"/>
          </w:tcPr>
          <w:p>
            <w:pPr>
              <w:spacing w:after="0"/>
              <w:rPr>
                <w:sz w:val="1"/>
                <w:szCs w:val="1"/>
                <w:color w:val="auto"/>
              </w:rPr>
            </w:pPr>
          </w:p>
        </w:tc>
      </w:tr>
      <w:tr>
        <w:trPr>
          <w:trHeight w:val="206"/>
        </w:trPr>
        <w:tc>
          <w:tcPr>
            <w:tcW w:w="812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12,317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13,535</w:t>
            </w:r>
          </w:p>
        </w:tc>
        <w:tc>
          <w:tcPr>
            <w:tcW w:w="0" w:type="dxa"/>
            <w:vAlign w:val="bottom"/>
          </w:tcPr>
          <w:p>
            <w:pPr>
              <w:spacing w:after="0"/>
              <w:rPr>
                <w:sz w:val="1"/>
                <w:szCs w:val="1"/>
                <w:color w:val="auto"/>
              </w:rPr>
            </w:pPr>
          </w:p>
        </w:tc>
      </w:tr>
      <w:tr>
        <w:trPr>
          <w:trHeight w:val="212"/>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 of $8,456 and $8,056</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3,186</w:t>
            </w:r>
          </w:p>
        </w:tc>
        <w:tc>
          <w:tcPr>
            <w:tcW w:w="0" w:type="dxa"/>
            <w:vAlign w:val="bottom"/>
          </w:tcPr>
          <w:p>
            <w:pPr>
              <w:spacing w:after="0"/>
              <w:rPr>
                <w:sz w:val="1"/>
                <w:szCs w:val="1"/>
                <w:color w:val="auto"/>
              </w:rPr>
            </w:pPr>
          </w:p>
        </w:tc>
      </w:tr>
      <w:tr>
        <w:trPr>
          <w:trHeight w:val="206"/>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assets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27"/>
        </w:trPr>
        <w:tc>
          <w:tcPr>
            <w:tcW w:w="81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135,262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149,152</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236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1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120" w:type="dxa"/>
            <w:vAlign w:val="bottom"/>
          </w:tcPr>
          <w:p>
            <w:pPr>
              <w:ind w:left="460"/>
              <w:spacing w:after="0"/>
              <w:rPr>
                <w:sz w:val="20"/>
                <w:szCs w:val="20"/>
                <w:color w:val="auto"/>
              </w:rPr>
            </w:pPr>
            <w:r>
              <w:rPr>
                <w:rFonts w:ascii="Arial" w:cs="Arial" w:eastAsia="Arial" w:hAnsi="Arial"/>
                <w:sz w:val="16"/>
                <w:szCs w:val="16"/>
                <w:color w:val="auto"/>
              </w:rPr>
              <w:t>Accounts payable and accrued liabilities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2,775</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1,627</w:t>
            </w:r>
          </w:p>
        </w:tc>
        <w:tc>
          <w:tcPr>
            <w:tcW w:w="0" w:type="dxa"/>
            <w:vAlign w:val="bottom"/>
          </w:tcPr>
          <w:p>
            <w:pPr>
              <w:spacing w:after="0"/>
              <w:rPr>
                <w:sz w:val="1"/>
                <w:szCs w:val="1"/>
                <w:color w:val="auto"/>
              </w:rPr>
            </w:pPr>
          </w:p>
        </w:tc>
      </w:tr>
      <w:tr>
        <w:trPr>
          <w:trHeight w:val="212"/>
        </w:trPr>
        <w:tc>
          <w:tcPr>
            <w:tcW w:w="81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Dividends payable</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0" w:type="dxa"/>
            <w:vAlign w:val="bottom"/>
          </w:tcPr>
          <w:p>
            <w:pPr>
              <w:spacing w:after="0"/>
              <w:rPr>
                <w:sz w:val="1"/>
                <w:szCs w:val="1"/>
                <w:color w:val="auto"/>
              </w:rPr>
            </w:pPr>
          </w:p>
        </w:tc>
      </w:tr>
      <w:tr>
        <w:trPr>
          <w:trHeight w:val="206"/>
        </w:trPr>
        <w:tc>
          <w:tcPr>
            <w:tcW w:w="8120" w:type="dxa"/>
            <w:vAlign w:val="bottom"/>
          </w:tcPr>
          <w:p>
            <w:pPr>
              <w:ind w:left="460"/>
              <w:spacing w:after="0"/>
              <w:rPr>
                <w:sz w:val="20"/>
                <w:szCs w:val="20"/>
                <w:color w:val="auto"/>
              </w:rPr>
            </w:pPr>
            <w:r>
              <w:rPr>
                <w:rFonts w:ascii="Arial" w:cs="Arial" w:eastAsia="Arial" w:hAnsi="Arial"/>
                <w:sz w:val="16"/>
                <w:szCs w:val="16"/>
                <w:color w:val="auto"/>
              </w:rPr>
              <w:t>Compensation and benefits payable</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6,991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7,448</w:t>
            </w:r>
          </w:p>
        </w:tc>
        <w:tc>
          <w:tcPr>
            <w:tcW w:w="0" w:type="dxa"/>
            <w:vAlign w:val="bottom"/>
          </w:tcPr>
          <w:p>
            <w:pPr>
              <w:spacing w:after="0"/>
              <w:rPr>
                <w:sz w:val="1"/>
                <w:szCs w:val="1"/>
                <w:color w:val="auto"/>
              </w:rPr>
            </w:pPr>
          </w:p>
        </w:tc>
      </w:tr>
      <w:tr>
        <w:trPr>
          <w:trHeight w:val="212"/>
        </w:trPr>
        <w:tc>
          <w:tcPr>
            <w:tcW w:w="81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Operating lease liabilities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w:t>
            </w:r>
          </w:p>
        </w:tc>
        <w:tc>
          <w:tcPr>
            <w:tcW w:w="0" w:type="dxa"/>
            <w:vAlign w:val="bottom"/>
          </w:tcPr>
          <w:p>
            <w:pPr>
              <w:spacing w:after="0"/>
              <w:rPr>
                <w:sz w:val="1"/>
                <w:szCs w:val="1"/>
                <w:color w:val="auto"/>
              </w:rPr>
            </w:pPr>
          </w:p>
        </w:tc>
      </w:tr>
      <w:tr>
        <w:trPr>
          <w:trHeight w:val="206"/>
        </w:trPr>
        <w:tc>
          <w:tcPr>
            <w:tcW w:w="8120" w:type="dxa"/>
            <w:vAlign w:val="bottom"/>
          </w:tcPr>
          <w:p>
            <w:pPr>
              <w:ind w:left="460"/>
              <w:spacing w:after="0"/>
              <w:rPr>
                <w:sz w:val="20"/>
                <w:szCs w:val="20"/>
                <w:color w:val="auto"/>
              </w:rPr>
            </w:pPr>
            <w:r>
              <w:rPr>
                <w:rFonts w:ascii="Arial" w:cs="Arial" w:eastAsia="Arial" w:hAnsi="Arial"/>
                <w:sz w:val="16"/>
                <w:szCs w:val="16"/>
                <w:color w:val="auto"/>
              </w:rPr>
              <w:t>Accrued stock repurchases</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1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Income taxes payable</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199"/>
        </w:trPr>
        <w:tc>
          <w:tcPr>
            <w:tcW w:w="8120" w:type="dxa"/>
            <w:vAlign w:val="bottom"/>
          </w:tcPr>
          <w:p>
            <w:pPr>
              <w:ind w:left="660"/>
              <w:spacing w:after="0" w:line="183" w:lineRule="exact"/>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13,297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11,794</w:t>
            </w:r>
          </w:p>
        </w:tc>
        <w:tc>
          <w:tcPr>
            <w:tcW w:w="0" w:type="dxa"/>
            <w:vAlign w:val="bottom"/>
          </w:tcPr>
          <w:p>
            <w:pPr>
              <w:spacing w:after="0"/>
              <w:rPr>
                <w:sz w:val="1"/>
                <w:szCs w:val="1"/>
                <w:color w:val="auto"/>
              </w:rPr>
            </w:pPr>
          </w:p>
        </w:tc>
      </w:tr>
      <w:tr>
        <w:trPr>
          <w:trHeight w:val="212"/>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dividends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06"/>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Noncurrent operating lease liabilities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6,121</w:t>
            </w:r>
          </w:p>
        </w:tc>
        <w:tc>
          <w:tcPr>
            <w:tcW w:w="0" w:type="dxa"/>
            <w:vAlign w:val="bottom"/>
          </w:tcPr>
          <w:p>
            <w:pPr>
              <w:spacing w:after="0"/>
              <w:rPr>
                <w:sz w:val="1"/>
                <w:szCs w:val="1"/>
                <w:color w:val="auto"/>
              </w:rPr>
            </w:pPr>
          </w:p>
        </w:tc>
      </w:tr>
      <w:tr>
        <w:trPr>
          <w:trHeight w:val="205"/>
        </w:trPr>
        <w:tc>
          <w:tcPr>
            <w:tcW w:w="81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long-term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6,647</w:t>
            </w:r>
          </w:p>
        </w:tc>
        <w:tc>
          <w:tcPr>
            <w:tcW w:w="0" w:type="dxa"/>
            <w:vAlign w:val="bottom"/>
          </w:tcPr>
          <w:p>
            <w:pPr>
              <w:spacing w:after="0"/>
              <w:rPr>
                <w:sz w:val="1"/>
                <w:szCs w:val="1"/>
                <w:color w:val="auto"/>
              </w:rPr>
            </w:pPr>
          </w:p>
        </w:tc>
      </w:tr>
      <w:tr>
        <w:trPr>
          <w:trHeight w:val="199"/>
        </w:trPr>
        <w:tc>
          <w:tcPr>
            <w:tcW w:w="8120" w:type="dxa"/>
            <w:vAlign w:val="bottom"/>
            <w:tcBorders>
              <w:bottom w:val="single" w:sz="8" w:color="CCEEFF"/>
            </w:tcBorders>
          </w:tcPr>
          <w:p>
            <w:pPr>
              <w:ind w:left="760"/>
              <w:spacing w:after="0" w:line="183" w:lineRule="exact"/>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19,534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18,441</w:t>
            </w:r>
          </w:p>
        </w:tc>
        <w:tc>
          <w:tcPr>
            <w:tcW w:w="0" w:type="dxa"/>
            <w:vAlign w:val="bottom"/>
          </w:tcPr>
          <w:p>
            <w:pPr>
              <w:spacing w:after="0"/>
              <w:rPr>
                <w:sz w:val="1"/>
                <w:szCs w:val="1"/>
                <w:color w:val="auto"/>
              </w:rPr>
            </w:pPr>
          </w:p>
        </w:tc>
      </w:tr>
      <w:tr>
        <w:trPr>
          <w:trHeight w:val="192"/>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10)</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1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8120" w:type="dxa"/>
            <w:vAlign w:val="bottom"/>
            <w:shd w:val="clear" w:color="auto" w:fill="CCEEFF"/>
          </w:tcPr>
          <w:p>
            <w:pPr>
              <w:ind w:left="460"/>
              <w:spacing w:after="0" w:line="163" w:lineRule="exact"/>
              <w:rPr>
                <w:sz w:val="20"/>
                <w:szCs w:val="20"/>
                <w:color w:val="auto"/>
              </w:rPr>
            </w:pPr>
            <w:r>
              <w:rPr>
                <w:rFonts w:ascii="Arial" w:cs="Arial" w:eastAsia="Arial" w:hAnsi="Arial"/>
                <w:sz w:val="16"/>
                <w:szCs w:val="16"/>
                <w:color w:val="auto"/>
                <w:w w:val="89"/>
              </w:rPr>
              <w:t>Common stock, $0.01 par value, authorized 25,000,000 shares, issued 10,658,681 and outstanding 8,296,864 shares at</w:t>
            </w:r>
          </w:p>
        </w:tc>
        <w:tc>
          <w:tcPr>
            <w:tcW w:w="1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6"/>
        </w:trPr>
        <w:tc>
          <w:tcPr>
            <w:tcW w:w="81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September 30, 2021; issued 10,500,549 and outstanding 8,326,948 shares at December 31, 2020</w:t>
            </w:r>
          </w:p>
        </w:tc>
        <w:tc>
          <w:tcPr>
            <w:tcW w:w="18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120" w:type="dxa"/>
            <w:vAlign w:val="bottom"/>
          </w:tcPr>
          <w:p>
            <w:pPr>
              <w:ind w:left="46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193,901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210,268</w:t>
            </w:r>
          </w:p>
        </w:tc>
        <w:tc>
          <w:tcPr>
            <w:tcW w:w="0" w:type="dxa"/>
            <w:vAlign w:val="bottom"/>
          </w:tcPr>
          <w:p>
            <w:pPr>
              <w:spacing w:after="0"/>
              <w:rPr>
                <w:sz w:val="1"/>
                <w:szCs w:val="1"/>
                <w:color w:val="auto"/>
              </w:rPr>
            </w:pPr>
          </w:p>
        </w:tc>
      </w:tr>
      <w:tr>
        <w:trPr>
          <w:trHeight w:val="212"/>
        </w:trPr>
        <w:tc>
          <w:tcPr>
            <w:tcW w:w="81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Treasury stock, at cost - 2,361,817 shares at September 30, 2021; 2,173,559 shares at December 31, 2020</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(77,967)</w:t>
            </w:r>
          </w:p>
        </w:tc>
        <w:tc>
          <w:tcPr>
            <w:tcW w:w="0" w:type="dxa"/>
            <w:vAlign w:val="bottom"/>
          </w:tcPr>
          <w:p>
            <w:pPr>
              <w:spacing w:after="0"/>
              <w:rPr>
                <w:sz w:val="1"/>
                <w:szCs w:val="1"/>
                <w:color w:val="auto"/>
              </w:rPr>
            </w:pPr>
          </w:p>
        </w:tc>
      </w:tr>
      <w:tr>
        <w:trPr>
          <w:trHeight w:val="206"/>
        </w:trPr>
        <w:tc>
          <w:tcPr>
            <w:tcW w:w="81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Retained earnings (accumulated deficit)</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(1,695)</w:t>
            </w:r>
          </w:p>
        </w:tc>
        <w:tc>
          <w:tcPr>
            <w:tcW w:w="0" w:type="dxa"/>
            <w:vAlign w:val="bottom"/>
          </w:tcPr>
          <w:p>
            <w:pPr>
              <w:spacing w:after="0"/>
              <w:rPr>
                <w:sz w:val="1"/>
                <w:szCs w:val="1"/>
                <w:color w:val="auto"/>
              </w:rPr>
            </w:pPr>
          </w:p>
        </w:tc>
      </w:tr>
      <w:tr>
        <w:trPr>
          <w:trHeight w:val="205"/>
        </w:trPr>
        <w:tc>
          <w:tcPr>
            <w:tcW w:w="8120" w:type="dxa"/>
            <w:vAlign w:val="bottom"/>
            <w:shd w:val="clear" w:color="auto" w:fill="CCEEFF"/>
          </w:tcPr>
          <w:p>
            <w:pPr>
              <w:ind w:left="76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115,728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130,711</w:t>
            </w:r>
          </w:p>
        </w:tc>
        <w:tc>
          <w:tcPr>
            <w:tcW w:w="0" w:type="dxa"/>
            <w:vAlign w:val="bottom"/>
          </w:tcPr>
          <w:p>
            <w:pPr>
              <w:spacing w:after="0"/>
              <w:rPr>
                <w:sz w:val="1"/>
                <w:szCs w:val="1"/>
                <w:color w:val="auto"/>
              </w:rPr>
            </w:pPr>
          </w:p>
        </w:tc>
      </w:tr>
      <w:tr>
        <w:trPr>
          <w:trHeight w:val="199"/>
        </w:trPr>
        <w:tc>
          <w:tcPr>
            <w:tcW w:w="8120" w:type="dxa"/>
            <w:vAlign w:val="bottom"/>
          </w:tcPr>
          <w:p>
            <w:pPr>
              <w:ind w:left="76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135,262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149,152</w:t>
            </w:r>
          </w:p>
        </w:tc>
        <w:tc>
          <w:tcPr>
            <w:tcW w:w="0" w:type="dxa"/>
            <w:vAlign w:val="bottom"/>
          </w:tcPr>
          <w:p>
            <w:pPr>
              <w:spacing w:after="0"/>
              <w:rPr>
                <w:sz w:val="1"/>
                <w:szCs w:val="1"/>
                <w:color w:val="auto"/>
              </w:rPr>
            </w:pPr>
          </w:p>
        </w:tc>
      </w:tr>
      <w:tr>
        <w:trPr>
          <w:trHeight w:val="22"/>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line="273" w:lineRule="auto"/>
        <w:rPr>
          <w:sz w:val="20"/>
          <w:szCs w:val="20"/>
          <w:color w:val="auto"/>
        </w:rPr>
      </w:pPr>
      <w:r>
        <w:rPr>
          <w:rFonts w:ascii="Arial" w:cs="Arial" w:eastAsia="Arial" w:hAnsi="Arial"/>
          <w:sz w:val="17"/>
          <w:szCs w:val="17"/>
          <w:b w:val="1"/>
          <w:bCs w:val="1"/>
          <w:color w:val="auto"/>
        </w:rPr>
        <w:t>WESTWOOD HOLDINGS GROUP, INC. AND SUBSIDIARIES CONDENSED CONSOLIDATED STATEMENTS OF COMPREHENSIVE INCOME (LOSS) (In thousands, except per share data and share amounts) (Unaudited)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406"/>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81"/>
        </w:trPr>
        <w:tc>
          <w:tcPr>
            <w:tcW w:w="508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REVENUES:</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080" w:type="dxa"/>
            <w:vAlign w:val="bottom"/>
          </w:tcPr>
          <w:p>
            <w:pPr>
              <w:ind w:left="340"/>
              <w:spacing w:after="0"/>
              <w:rPr>
                <w:sz w:val="20"/>
                <w:szCs w:val="20"/>
                <w:color w:val="auto"/>
              </w:rPr>
            </w:pPr>
            <w:r>
              <w:rPr>
                <w:rFonts w:ascii="Arial" w:cs="Arial" w:eastAsia="Arial" w:hAnsi="Arial"/>
                <w:sz w:val="15"/>
                <w:szCs w:val="15"/>
                <w:color w:val="auto"/>
              </w:rPr>
              <w:t>Advisory fees:</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080" w:type="dxa"/>
            <w:vAlign w:val="bottom"/>
            <w:shd w:val="clear" w:color="auto" w:fill="CCEEFF"/>
          </w:tcPr>
          <w:p>
            <w:pPr>
              <w:ind w:left="640"/>
              <w:spacing w:after="0"/>
              <w:rPr>
                <w:sz w:val="20"/>
                <w:szCs w:val="20"/>
                <w:color w:val="auto"/>
              </w:rPr>
            </w:pPr>
            <w:r>
              <w:rPr>
                <w:rFonts w:ascii="Arial" w:cs="Arial" w:eastAsia="Arial" w:hAnsi="Arial"/>
                <w:sz w:val="15"/>
                <w:szCs w:val="15"/>
                <w:color w:val="auto"/>
              </w:rPr>
              <w:t>Asset-based</w:t>
            </w: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12,011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8,847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33,846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29,277</w:t>
            </w:r>
          </w:p>
        </w:tc>
        <w:tc>
          <w:tcPr>
            <w:tcW w:w="0" w:type="dxa"/>
            <w:vAlign w:val="bottom"/>
          </w:tcPr>
          <w:p>
            <w:pPr>
              <w:spacing w:after="0"/>
              <w:rPr>
                <w:sz w:val="1"/>
                <w:szCs w:val="1"/>
                <w:color w:val="auto"/>
              </w:rPr>
            </w:pPr>
          </w:p>
        </w:tc>
      </w:tr>
      <w:tr>
        <w:trPr>
          <w:trHeight w:val="192"/>
        </w:trPr>
        <w:tc>
          <w:tcPr>
            <w:tcW w:w="5080" w:type="dxa"/>
            <w:vAlign w:val="bottom"/>
          </w:tcPr>
          <w:p>
            <w:pPr>
              <w:ind w:left="640"/>
              <w:spacing w:after="0"/>
              <w:rPr>
                <w:sz w:val="20"/>
                <w:szCs w:val="20"/>
                <w:color w:val="auto"/>
              </w:rPr>
            </w:pPr>
            <w:r>
              <w:rPr>
                <w:rFonts w:ascii="Arial" w:cs="Arial" w:eastAsia="Arial" w:hAnsi="Arial"/>
                <w:sz w:val="15"/>
                <w:szCs w:val="15"/>
                <w:color w:val="auto"/>
              </w:rPr>
              <w:t>Performance-based</w:t>
            </w:r>
          </w:p>
        </w:tc>
        <w:tc>
          <w:tcPr>
            <w:tcW w:w="2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713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1,959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1,408</w:t>
            </w:r>
          </w:p>
        </w:tc>
        <w:tc>
          <w:tcPr>
            <w:tcW w:w="0" w:type="dxa"/>
            <w:vAlign w:val="bottom"/>
          </w:tcPr>
          <w:p>
            <w:pPr>
              <w:spacing w:after="0"/>
              <w:rPr>
                <w:sz w:val="1"/>
                <w:szCs w:val="1"/>
                <w:color w:val="auto"/>
              </w:rPr>
            </w:pPr>
          </w:p>
        </w:tc>
      </w:tr>
      <w:tr>
        <w:trPr>
          <w:trHeight w:val="200"/>
        </w:trPr>
        <w:tc>
          <w:tcPr>
            <w:tcW w:w="50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Trust fees</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5,952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5,787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18,233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17,395</w:t>
            </w:r>
          </w:p>
        </w:tc>
        <w:tc>
          <w:tcPr>
            <w:tcW w:w="0" w:type="dxa"/>
            <w:vAlign w:val="bottom"/>
          </w:tcPr>
          <w:p>
            <w:pPr>
              <w:spacing w:after="0"/>
              <w:rPr>
                <w:sz w:val="1"/>
                <w:szCs w:val="1"/>
                <w:color w:val="auto"/>
              </w:rPr>
            </w:pPr>
          </w:p>
        </w:tc>
      </w:tr>
      <w:tr>
        <w:trPr>
          <w:trHeight w:val="192"/>
        </w:trPr>
        <w:tc>
          <w:tcPr>
            <w:tcW w:w="5080" w:type="dxa"/>
            <w:vAlign w:val="bottom"/>
          </w:tcPr>
          <w:p>
            <w:pPr>
              <w:ind w:left="340"/>
              <w:spacing w:after="0"/>
              <w:rPr>
                <w:sz w:val="20"/>
                <w:szCs w:val="20"/>
                <w:color w:val="auto"/>
              </w:rPr>
            </w:pPr>
            <w:r>
              <w:rPr>
                <w:rFonts w:ascii="Arial" w:cs="Arial" w:eastAsia="Arial" w:hAnsi="Arial"/>
                <w:sz w:val="15"/>
                <w:szCs w:val="15"/>
                <w:color w:val="auto"/>
              </w:rPr>
              <w:t>Trust performance-based fees</w:t>
            </w:r>
          </w:p>
        </w:tc>
        <w:tc>
          <w:tcPr>
            <w:tcW w:w="2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200"/>
        </w:trPr>
        <w:tc>
          <w:tcPr>
            <w:tcW w:w="50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net</w:t>
            </w: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70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(159)</w:t>
            </w:r>
          </w:p>
        </w:tc>
        <w:tc>
          <w:tcPr>
            <w:tcW w:w="0" w:type="dxa"/>
            <w:vAlign w:val="bottom"/>
          </w:tcPr>
          <w:p>
            <w:pPr>
              <w:spacing w:after="0"/>
              <w:rPr>
                <w:sz w:val="1"/>
                <w:szCs w:val="1"/>
                <w:color w:val="auto"/>
              </w:rPr>
            </w:pPr>
          </w:p>
        </w:tc>
      </w:tr>
      <w:tr>
        <w:trPr>
          <w:trHeight w:val="185"/>
        </w:trPr>
        <w:tc>
          <w:tcPr>
            <w:tcW w:w="5080" w:type="dxa"/>
            <w:vAlign w:val="bottom"/>
            <w:tcBorders>
              <w:bottom w:val="single" w:sz="8" w:color="CCEEFF"/>
            </w:tcBorders>
          </w:tcPr>
          <w:p>
            <w:pPr>
              <w:ind w:left="840"/>
              <w:spacing w:after="0" w:line="168" w:lineRule="exact"/>
              <w:rPr>
                <w:sz w:val="20"/>
                <w:szCs w:val="20"/>
                <w:color w:val="auto"/>
              </w:rPr>
            </w:pPr>
            <w:r>
              <w:rPr>
                <w:rFonts w:ascii="Arial" w:cs="Arial" w:eastAsia="Arial" w:hAnsi="Arial"/>
                <w:sz w:val="15"/>
                <w:szCs w:val="15"/>
                <w:color w:val="auto"/>
              </w:rPr>
              <w:t>Total revenues</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17,860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15,454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53,663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47,998</w:t>
            </w: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EXPENSES:</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080" w:type="dxa"/>
            <w:vAlign w:val="bottom"/>
          </w:tcPr>
          <w:p>
            <w:pPr>
              <w:ind w:left="340"/>
              <w:spacing w:after="0"/>
              <w:rPr>
                <w:sz w:val="20"/>
                <w:szCs w:val="20"/>
                <w:color w:val="auto"/>
              </w:rPr>
            </w:pPr>
            <w:r>
              <w:rPr>
                <w:rFonts w:ascii="Arial" w:cs="Arial" w:eastAsia="Arial" w:hAnsi="Arial"/>
                <w:sz w:val="15"/>
                <w:szCs w:val="15"/>
                <w:color w:val="auto"/>
              </w:rPr>
              <w:t>Employee compensation and benefits</w:t>
            </w: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10,268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9,515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32,053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32,970</w:t>
            </w:r>
          </w:p>
        </w:tc>
        <w:tc>
          <w:tcPr>
            <w:tcW w:w="0" w:type="dxa"/>
            <w:vAlign w:val="bottom"/>
          </w:tcPr>
          <w:p>
            <w:pPr>
              <w:spacing w:after="0"/>
              <w:rPr>
                <w:sz w:val="1"/>
                <w:szCs w:val="1"/>
                <w:color w:val="auto"/>
              </w:rPr>
            </w:pPr>
          </w:p>
        </w:tc>
      </w:tr>
      <w:tr>
        <w:trPr>
          <w:trHeight w:val="200"/>
        </w:trPr>
        <w:tc>
          <w:tcPr>
            <w:tcW w:w="50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Sales and marketing</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215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946</w:t>
            </w:r>
          </w:p>
        </w:tc>
        <w:tc>
          <w:tcPr>
            <w:tcW w:w="0" w:type="dxa"/>
            <w:vAlign w:val="bottom"/>
          </w:tcPr>
          <w:p>
            <w:pPr>
              <w:spacing w:after="0"/>
              <w:rPr>
                <w:sz w:val="1"/>
                <w:szCs w:val="1"/>
                <w:color w:val="auto"/>
              </w:rPr>
            </w:pPr>
          </w:p>
        </w:tc>
      </w:tr>
      <w:tr>
        <w:trPr>
          <w:trHeight w:val="192"/>
        </w:trPr>
        <w:tc>
          <w:tcPr>
            <w:tcW w:w="5080" w:type="dxa"/>
            <w:vAlign w:val="bottom"/>
          </w:tcPr>
          <w:p>
            <w:pPr>
              <w:ind w:left="340"/>
              <w:spacing w:after="0"/>
              <w:rPr>
                <w:sz w:val="20"/>
                <w:szCs w:val="20"/>
                <w:color w:val="auto"/>
              </w:rPr>
            </w:pPr>
            <w:r>
              <w:rPr>
                <w:rFonts w:ascii="Arial" w:cs="Arial" w:eastAsia="Arial" w:hAnsi="Arial"/>
                <w:sz w:val="15"/>
                <w:szCs w:val="15"/>
                <w:color w:val="auto"/>
              </w:rPr>
              <w:t>Westwood mutual funds</w:t>
            </w: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814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421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1,573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1,370</w:t>
            </w:r>
          </w:p>
        </w:tc>
        <w:tc>
          <w:tcPr>
            <w:tcW w:w="0" w:type="dxa"/>
            <w:vAlign w:val="bottom"/>
          </w:tcPr>
          <w:p>
            <w:pPr>
              <w:spacing w:after="0"/>
              <w:rPr>
                <w:sz w:val="1"/>
                <w:szCs w:val="1"/>
                <w:color w:val="auto"/>
              </w:rPr>
            </w:pPr>
          </w:p>
        </w:tc>
      </w:tr>
      <w:tr>
        <w:trPr>
          <w:trHeight w:val="200"/>
        </w:trPr>
        <w:tc>
          <w:tcPr>
            <w:tcW w:w="50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Information technology</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2,158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6,190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6,219</w:t>
            </w:r>
          </w:p>
        </w:tc>
        <w:tc>
          <w:tcPr>
            <w:tcW w:w="0" w:type="dxa"/>
            <w:vAlign w:val="bottom"/>
          </w:tcPr>
          <w:p>
            <w:pPr>
              <w:spacing w:after="0"/>
              <w:rPr>
                <w:sz w:val="1"/>
                <w:szCs w:val="1"/>
                <w:color w:val="auto"/>
              </w:rPr>
            </w:pPr>
          </w:p>
        </w:tc>
      </w:tr>
      <w:tr>
        <w:trPr>
          <w:trHeight w:val="192"/>
        </w:trPr>
        <w:tc>
          <w:tcPr>
            <w:tcW w:w="5080" w:type="dxa"/>
            <w:vAlign w:val="bottom"/>
          </w:tcPr>
          <w:p>
            <w:pPr>
              <w:ind w:left="340"/>
              <w:spacing w:after="0"/>
              <w:rPr>
                <w:sz w:val="20"/>
                <w:szCs w:val="20"/>
                <w:color w:val="auto"/>
              </w:rPr>
            </w:pPr>
            <w:r>
              <w:rPr>
                <w:rFonts w:ascii="Arial" w:cs="Arial" w:eastAsia="Arial" w:hAnsi="Arial"/>
                <w:sz w:val="15"/>
                <w:szCs w:val="15"/>
                <w:color w:val="auto"/>
              </w:rPr>
              <w:t>Professional services</w:t>
            </w: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1,033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3,471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3,217</w:t>
            </w:r>
          </w:p>
        </w:tc>
        <w:tc>
          <w:tcPr>
            <w:tcW w:w="0" w:type="dxa"/>
            <w:vAlign w:val="bottom"/>
          </w:tcPr>
          <w:p>
            <w:pPr>
              <w:spacing w:after="0"/>
              <w:rPr>
                <w:sz w:val="1"/>
                <w:szCs w:val="1"/>
                <w:color w:val="auto"/>
              </w:rPr>
            </w:pPr>
          </w:p>
        </w:tc>
      </w:tr>
      <w:tr>
        <w:trPr>
          <w:trHeight w:val="200"/>
        </w:trPr>
        <w:tc>
          <w:tcPr>
            <w:tcW w:w="50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General and administrative</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2,333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5,893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6,830</w:t>
            </w:r>
          </w:p>
        </w:tc>
        <w:tc>
          <w:tcPr>
            <w:tcW w:w="0" w:type="dxa"/>
            <w:vAlign w:val="bottom"/>
          </w:tcPr>
          <w:p>
            <w:pPr>
              <w:spacing w:after="0"/>
              <w:rPr>
                <w:sz w:val="1"/>
                <w:szCs w:val="1"/>
                <w:color w:val="auto"/>
              </w:rPr>
            </w:pPr>
          </w:p>
        </w:tc>
      </w:tr>
      <w:tr>
        <w:trPr>
          <w:trHeight w:val="192"/>
        </w:trPr>
        <w:tc>
          <w:tcPr>
            <w:tcW w:w="5080" w:type="dxa"/>
            <w:vAlign w:val="bottom"/>
          </w:tcPr>
          <w:p>
            <w:pPr>
              <w:ind w:left="340"/>
              <w:spacing w:after="0"/>
              <w:rPr>
                <w:sz w:val="20"/>
                <w:szCs w:val="20"/>
                <w:color w:val="auto"/>
              </w:rPr>
            </w:pPr>
            <w:r>
              <w:rPr>
                <w:rFonts w:ascii="Arial" w:cs="Arial" w:eastAsia="Arial" w:hAnsi="Arial"/>
                <w:sz w:val="15"/>
                <w:szCs w:val="15"/>
                <w:color w:val="auto"/>
              </w:rPr>
              <w:t>Impairment expense</w:t>
            </w:r>
          </w:p>
        </w:tc>
        <w:tc>
          <w:tcPr>
            <w:tcW w:w="2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3,403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3,403</w:t>
            </w:r>
          </w:p>
        </w:tc>
        <w:tc>
          <w:tcPr>
            <w:tcW w:w="0" w:type="dxa"/>
            <w:vAlign w:val="bottom"/>
          </w:tcPr>
          <w:p>
            <w:pPr>
              <w:spacing w:after="0"/>
              <w:rPr>
                <w:sz w:val="1"/>
                <w:szCs w:val="1"/>
                <w:color w:val="auto"/>
              </w:rPr>
            </w:pPr>
          </w:p>
        </w:tc>
      </w:tr>
      <w:tr>
        <w:trPr>
          <w:trHeight w:val="200"/>
        </w:trPr>
        <w:tc>
          <w:tcPr>
            <w:tcW w:w="50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(Gain) loss on foreign currency transactions</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419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(1,196)</w:t>
            </w:r>
          </w:p>
        </w:tc>
        <w:tc>
          <w:tcPr>
            <w:tcW w:w="0" w:type="dxa"/>
            <w:vAlign w:val="bottom"/>
          </w:tcPr>
          <w:p>
            <w:pPr>
              <w:spacing w:after="0"/>
              <w:rPr>
                <w:sz w:val="1"/>
                <w:szCs w:val="1"/>
                <w:color w:val="auto"/>
              </w:rPr>
            </w:pPr>
          </w:p>
        </w:tc>
      </w:tr>
      <w:tr>
        <w:trPr>
          <w:trHeight w:val="185"/>
        </w:trPr>
        <w:tc>
          <w:tcPr>
            <w:tcW w:w="5080" w:type="dxa"/>
            <w:vAlign w:val="bottom"/>
            <w:tcBorders>
              <w:bottom w:val="single" w:sz="8" w:color="CCEEFF"/>
            </w:tcBorders>
          </w:tcPr>
          <w:p>
            <w:pPr>
              <w:ind w:left="840"/>
              <w:spacing w:after="0" w:line="168" w:lineRule="exact"/>
              <w:rPr>
                <w:sz w:val="20"/>
                <w:szCs w:val="20"/>
                <w:color w:val="auto"/>
              </w:rPr>
            </w:pPr>
            <w:r>
              <w:rPr>
                <w:rFonts w:ascii="Arial" w:cs="Arial" w:eastAsia="Arial" w:hAnsi="Arial"/>
                <w:sz w:val="15"/>
                <w:szCs w:val="15"/>
                <w:color w:val="auto"/>
              </w:rPr>
              <w:t>Total expenses</w:t>
            </w:r>
          </w:p>
        </w:tc>
        <w:tc>
          <w:tcPr>
            <w:tcW w:w="2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15,816</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rPr>
              <w:t>19,497</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50,072</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53,759</w:t>
            </w:r>
          </w:p>
        </w:tc>
        <w:tc>
          <w:tcPr>
            <w:tcW w:w="0" w:type="dxa"/>
            <w:vAlign w:val="bottom"/>
          </w:tcPr>
          <w:p>
            <w:pPr>
              <w:spacing w:after="0"/>
              <w:rPr>
                <w:sz w:val="1"/>
                <w:szCs w:val="1"/>
                <w:color w:val="auto"/>
              </w:rPr>
            </w:pPr>
          </w:p>
        </w:tc>
      </w:tr>
      <w:tr>
        <w:trPr>
          <w:trHeight w:val="193"/>
        </w:trPr>
        <w:tc>
          <w:tcPr>
            <w:tcW w:w="50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operating income (loss)</w:t>
            </w:r>
          </w:p>
        </w:tc>
        <w:tc>
          <w:tcPr>
            <w:tcW w:w="2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2,044</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(4,043)</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3,591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(5,761)</w:t>
            </w:r>
          </w:p>
        </w:tc>
        <w:tc>
          <w:tcPr>
            <w:tcW w:w="0" w:type="dxa"/>
            <w:vAlign w:val="bottom"/>
          </w:tcPr>
          <w:p>
            <w:pPr>
              <w:spacing w:after="0"/>
              <w:rPr>
                <w:sz w:val="1"/>
                <w:szCs w:val="1"/>
                <w:color w:val="auto"/>
              </w:rPr>
            </w:pPr>
          </w:p>
        </w:tc>
      </w:tr>
      <w:tr>
        <w:trPr>
          <w:trHeight w:val="185"/>
        </w:trPr>
        <w:tc>
          <w:tcPr>
            <w:tcW w:w="5080" w:type="dxa"/>
            <w:vAlign w:val="bottom"/>
          </w:tcPr>
          <w:p>
            <w:pPr>
              <w:ind w:left="340"/>
              <w:spacing w:after="0" w:line="168" w:lineRule="exact"/>
              <w:rPr>
                <w:sz w:val="20"/>
                <w:szCs w:val="20"/>
                <w:color w:val="auto"/>
              </w:rPr>
            </w:pPr>
            <w:r>
              <w:rPr>
                <w:rFonts w:ascii="Arial" w:cs="Arial" w:eastAsia="Arial" w:hAnsi="Arial"/>
                <w:sz w:val="15"/>
                <w:szCs w:val="15"/>
                <w:color w:val="auto"/>
              </w:rPr>
              <w:t>Realized gains on private investments</w:t>
            </w: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8,371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5080" w:type="dxa"/>
            <w:vAlign w:val="bottom"/>
            <w:shd w:val="clear" w:color="auto" w:fill="CCEEFF"/>
          </w:tcPr>
          <w:p>
            <w:pPr>
              <w:ind w:left="340"/>
              <w:spacing w:after="0"/>
              <w:rPr>
                <w:sz w:val="20"/>
                <w:szCs w:val="20"/>
                <w:color w:val="auto"/>
              </w:rPr>
            </w:pPr>
            <w:r>
              <w:rPr>
                <w:rFonts w:ascii="Arial" w:cs="Arial" w:eastAsia="Arial" w:hAnsi="Arial"/>
                <w:sz w:val="15"/>
                <w:szCs w:val="15"/>
                <w:color w:val="auto"/>
                <w:w w:val="94"/>
              </w:rPr>
              <w:t>Net change in unrealized appreciation (depreciation) on private investments</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(909)</w:t>
            </w:r>
          </w:p>
        </w:tc>
        <w:tc>
          <w:tcPr>
            <w:tcW w:w="0" w:type="dxa"/>
            <w:vAlign w:val="bottom"/>
          </w:tcPr>
          <w:p>
            <w:pPr>
              <w:spacing w:after="0"/>
              <w:rPr>
                <w:sz w:val="1"/>
                <w:szCs w:val="1"/>
                <w:color w:val="auto"/>
              </w:rPr>
            </w:pPr>
          </w:p>
        </w:tc>
      </w:tr>
      <w:tr>
        <w:trPr>
          <w:trHeight w:val="192"/>
        </w:trPr>
        <w:tc>
          <w:tcPr>
            <w:tcW w:w="5080" w:type="dxa"/>
            <w:vAlign w:val="bottom"/>
          </w:tcPr>
          <w:p>
            <w:pPr>
              <w:ind w:left="340"/>
              <w:spacing w:after="0"/>
              <w:rPr>
                <w:sz w:val="20"/>
                <w:szCs w:val="20"/>
                <w:color w:val="auto"/>
              </w:rPr>
            </w:pPr>
            <w:r>
              <w:rPr>
                <w:rFonts w:ascii="Arial" w:cs="Arial" w:eastAsia="Arial" w:hAnsi="Arial"/>
                <w:sz w:val="15"/>
                <w:szCs w:val="15"/>
                <w:color w:val="auto"/>
              </w:rPr>
              <w:t>Investment income</w:t>
            </w: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562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625</w:t>
            </w:r>
          </w:p>
        </w:tc>
        <w:tc>
          <w:tcPr>
            <w:tcW w:w="0" w:type="dxa"/>
            <w:vAlign w:val="bottom"/>
          </w:tcPr>
          <w:p>
            <w:pPr>
              <w:spacing w:after="0"/>
              <w:rPr>
                <w:sz w:val="1"/>
                <w:szCs w:val="1"/>
                <w:color w:val="auto"/>
              </w:rPr>
            </w:pPr>
          </w:p>
        </w:tc>
      </w:tr>
      <w:tr>
        <w:trPr>
          <w:trHeight w:val="200"/>
        </w:trPr>
        <w:tc>
          <w:tcPr>
            <w:tcW w:w="50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income</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0" w:type="dxa"/>
            <w:vAlign w:val="bottom"/>
          </w:tcPr>
          <w:p>
            <w:pPr>
              <w:spacing w:after="0"/>
              <w:rPr>
                <w:sz w:val="1"/>
                <w:szCs w:val="1"/>
                <w:color w:val="auto"/>
              </w:rPr>
            </w:pPr>
          </w:p>
        </w:tc>
      </w:tr>
      <w:tr>
        <w:trPr>
          <w:trHeight w:val="144"/>
        </w:trPr>
        <w:tc>
          <w:tcPr>
            <w:tcW w:w="5080" w:type="dxa"/>
            <w:vAlign w:val="bottom"/>
          </w:tcPr>
          <w:p>
            <w:pPr>
              <w:ind w:left="340"/>
              <w:spacing w:after="0" w:line="144" w:lineRule="exact"/>
              <w:rPr>
                <w:sz w:val="20"/>
                <w:szCs w:val="20"/>
                <w:color w:val="auto"/>
              </w:rPr>
            </w:pPr>
            <w:r>
              <w:rPr>
                <w:rFonts w:ascii="Arial" w:cs="Arial" w:eastAsia="Arial" w:hAnsi="Arial"/>
                <w:sz w:val="15"/>
                <w:szCs w:val="15"/>
                <w:color w:val="auto"/>
                <w:w w:val="91"/>
              </w:rPr>
              <w:t>Foreign currency translation adjustments to net income (loss) upon liquidation</w:t>
            </w:r>
          </w:p>
        </w:tc>
        <w:tc>
          <w:tcPr>
            <w:tcW w:w="26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(4,193)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(4,193)</w:t>
            </w:r>
          </w:p>
        </w:tc>
        <w:tc>
          <w:tcPr>
            <w:tcW w:w="0" w:type="dxa"/>
            <w:vAlign w:val="bottom"/>
          </w:tcPr>
          <w:p>
            <w:pPr>
              <w:spacing w:after="0"/>
              <w:rPr>
                <w:sz w:val="1"/>
                <w:szCs w:val="1"/>
                <w:color w:val="auto"/>
              </w:rPr>
            </w:pPr>
          </w:p>
        </w:tc>
      </w:tr>
      <w:tr>
        <w:trPr>
          <w:trHeight w:val="192"/>
        </w:trPr>
        <w:tc>
          <w:tcPr>
            <w:tcW w:w="5080" w:type="dxa"/>
            <w:vAlign w:val="bottom"/>
          </w:tcPr>
          <w:p>
            <w:pPr>
              <w:ind w:left="340"/>
              <w:spacing w:after="0"/>
              <w:rPr>
                <w:sz w:val="20"/>
                <w:szCs w:val="20"/>
                <w:color w:val="auto"/>
              </w:rPr>
            </w:pPr>
            <w:r>
              <w:rPr>
                <w:rFonts w:ascii="Arial" w:cs="Arial" w:eastAsia="Arial" w:hAnsi="Arial"/>
                <w:sz w:val="15"/>
                <w:szCs w:val="15"/>
                <w:color w:val="auto"/>
              </w:rPr>
              <w:t>of a foreign subsidiary</w:t>
            </w: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Income (loss) before income taxes</w:t>
            </w: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2,360</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(8,318)</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10,790</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(10,136)</w:t>
            </w:r>
          </w:p>
        </w:tc>
        <w:tc>
          <w:tcPr>
            <w:tcW w:w="0" w:type="dxa"/>
            <w:vAlign w:val="bottom"/>
          </w:tcPr>
          <w:p>
            <w:pPr>
              <w:spacing w:after="0"/>
              <w:rPr>
                <w:sz w:val="1"/>
                <w:szCs w:val="1"/>
                <w:color w:val="auto"/>
              </w:rPr>
            </w:pPr>
          </w:p>
        </w:tc>
      </w:tr>
      <w:tr>
        <w:trPr>
          <w:trHeight w:val="185"/>
        </w:trPr>
        <w:tc>
          <w:tcPr>
            <w:tcW w:w="5080" w:type="dxa"/>
            <w:vAlign w:val="bottom"/>
            <w:tcBorders>
              <w:bottom w:val="single" w:sz="8" w:color="CCEEFF"/>
            </w:tcBorders>
          </w:tcPr>
          <w:p>
            <w:pPr>
              <w:ind w:left="340"/>
              <w:spacing w:after="0" w:line="168" w:lineRule="exact"/>
              <w:rPr>
                <w:sz w:val="20"/>
                <w:szCs w:val="20"/>
                <w:color w:val="auto"/>
              </w:rPr>
            </w:pPr>
            <w:r>
              <w:rPr>
                <w:rFonts w:ascii="Arial" w:cs="Arial" w:eastAsia="Arial" w:hAnsi="Arial"/>
                <w:sz w:val="15"/>
                <w:szCs w:val="15"/>
                <w:color w:val="auto"/>
              </w:rPr>
              <w:t>Income tax expense</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1,971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3,840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1,626</w:t>
            </w:r>
          </w:p>
        </w:tc>
        <w:tc>
          <w:tcPr>
            <w:tcW w:w="0" w:type="dxa"/>
            <w:vAlign w:val="bottom"/>
          </w:tcPr>
          <w:p>
            <w:pPr>
              <w:spacing w:after="0"/>
              <w:rPr>
                <w:sz w:val="1"/>
                <w:szCs w:val="1"/>
                <w:color w:val="auto"/>
              </w:rPr>
            </w:pPr>
          </w:p>
        </w:tc>
      </w:tr>
      <w:tr>
        <w:trPr>
          <w:trHeight w:val="214"/>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(loss)</w:t>
            </w:r>
          </w:p>
        </w:tc>
        <w:tc>
          <w:tcPr>
            <w:tcW w:w="2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1,879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(10,289)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6,950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(11,762)</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Other comprehensive income (loss):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50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Foreign currency translation adjustments</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621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(1,250)</w:t>
            </w:r>
          </w:p>
        </w:tc>
        <w:tc>
          <w:tcPr>
            <w:tcW w:w="0" w:type="dxa"/>
            <w:vAlign w:val="bottom"/>
          </w:tcPr>
          <w:p>
            <w:pPr>
              <w:spacing w:after="0"/>
              <w:rPr>
                <w:sz w:val="1"/>
                <w:szCs w:val="1"/>
                <w:color w:val="auto"/>
              </w:rPr>
            </w:pPr>
          </w:p>
        </w:tc>
      </w:tr>
      <w:tr>
        <w:trPr>
          <w:trHeight w:val="144"/>
        </w:trPr>
        <w:tc>
          <w:tcPr>
            <w:tcW w:w="5080" w:type="dxa"/>
            <w:vAlign w:val="bottom"/>
          </w:tcPr>
          <w:p>
            <w:pPr>
              <w:ind w:left="340"/>
              <w:spacing w:after="0" w:line="144" w:lineRule="exact"/>
              <w:rPr>
                <w:sz w:val="20"/>
                <w:szCs w:val="20"/>
                <w:color w:val="auto"/>
              </w:rPr>
            </w:pPr>
            <w:r>
              <w:rPr>
                <w:rFonts w:ascii="Arial" w:cs="Arial" w:eastAsia="Arial" w:hAnsi="Arial"/>
                <w:sz w:val="15"/>
                <w:szCs w:val="15"/>
                <w:color w:val="auto"/>
                <w:w w:val="92"/>
              </w:rPr>
              <w:t>Reclassification of cumulative foreign currency translation adjustments to net</w:t>
            </w:r>
          </w:p>
        </w:tc>
        <w:tc>
          <w:tcPr>
            <w:tcW w:w="26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2"/>
                <w:szCs w:val="12"/>
                <w:color w:val="auto"/>
              </w:rPr>
            </w:pPr>
          </w:p>
        </w:tc>
        <w:tc>
          <w:tcPr>
            <w:tcW w:w="1120" w:type="dxa"/>
            <w:vAlign w:val="bottom"/>
            <w:vMerge w:val="restart"/>
          </w:tcPr>
          <w:p>
            <w:pPr>
              <w:jc w:val="right"/>
              <w:ind w:right="6"/>
              <w:spacing w:after="0"/>
              <w:rPr>
                <w:sz w:val="20"/>
                <w:szCs w:val="20"/>
                <w:color w:val="auto"/>
              </w:rPr>
            </w:pPr>
            <w:r>
              <w:rPr>
                <w:rFonts w:ascii="Arial" w:cs="Arial" w:eastAsia="Arial" w:hAnsi="Arial"/>
                <w:sz w:val="15"/>
                <w:szCs w:val="15"/>
                <w:color w:val="auto"/>
              </w:rPr>
              <w:t>4,193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4,193</w:t>
            </w:r>
          </w:p>
        </w:tc>
        <w:tc>
          <w:tcPr>
            <w:tcW w:w="0" w:type="dxa"/>
            <w:vAlign w:val="bottom"/>
          </w:tcPr>
          <w:p>
            <w:pPr>
              <w:spacing w:after="0"/>
              <w:rPr>
                <w:sz w:val="1"/>
                <w:szCs w:val="1"/>
                <w:color w:val="auto"/>
              </w:rPr>
            </w:pPr>
          </w:p>
        </w:tc>
      </w:tr>
      <w:tr>
        <w:trPr>
          <w:trHeight w:val="192"/>
        </w:trPr>
        <w:tc>
          <w:tcPr>
            <w:tcW w:w="5080" w:type="dxa"/>
            <w:vAlign w:val="bottom"/>
          </w:tcPr>
          <w:p>
            <w:pPr>
              <w:ind w:left="340"/>
              <w:spacing w:after="0"/>
              <w:rPr>
                <w:sz w:val="20"/>
                <w:szCs w:val="20"/>
                <w:color w:val="auto"/>
              </w:rPr>
            </w:pPr>
            <w:r>
              <w:rPr>
                <w:rFonts w:ascii="Arial" w:cs="Arial" w:eastAsia="Arial" w:hAnsi="Arial"/>
                <w:sz w:val="15"/>
                <w:szCs w:val="15"/>
                <w:color w:val="auto"/>
              </w:rPr>
              <w:t>income (loss) upon liquidation of a foreign subsidiary</w:t>
            </w: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comprehensive income (loss)</w:t>
            </w:r>
          </w:p>
        </w:tc>
        <w:tc>
          <w:tcPr>
            <w:tcW w:w="26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(8,819)</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5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0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Earnings (loss) per share:</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080" w:type="dxa"/>
            <w:vAlign w:val="bottom"/>
          </w:tcPr>
          <w:p>
            <w:pPr>
              <w:ind w:left="340"/>
              <w:spacing w:after="0"/>
              <w:rPr>
                <w:sz w:val="20"/>
                <w:szCs w:val="20"/>
                <w:color w:val="auto"/>
              </w:rPr>
            </w:pPr>
            <w:r>
              <w:rPr>
                <w:rFonts w:ascii="Arial" w:cs="Arial" w:eastAsia="Arial" w:hAnsi="Arial"/>
                <w:sz w:val="15"/>
                <w:szCs w:val="15"/>
                <w:color w:val="auto"/>
              </w:rPr>
              <w:t>Basic</w:t>
            </w: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0.24</w:t>
            </w:r>
          </w:p>
        </w:tc>
        <w:tc>
          <w:tcPr>
            <w:tcW w:w="100" w:type="dxa"/>
            <w:vAlign w:val="bottom"/>
          </w:tcPr>
          <w:p>
            <w:pPr>
              <w:spacing w:after="0"/>
              <w:rPr>
                <w:sz w:val="16"/>
                <w:szCs w:val="16"/>
                <w:color w:val="auto"/>
              </w:rPr>
            </w:pP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(1.31)</w:t>
            </w:r>
          </w:p>
        </w:tc>
        <w:tc>
          <w:tcPr>
            <w:tcW w:w="100" w:type="dxa"/>
            <w:vAlign w:val="bottom"/>
          </w:tcPr>
          <w:p>
            <w:pPr>
              <w:spacing w:after="0"/>
              <w:rPr>
                <w:sz w:val="16"/>
                <w:szCs w:val="16"/>
                <w:color w:val="auto"/>
              </w:rPr>
            </w:pP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0.88</w:t>
            </w:r>
          </w:p>
        </w:tc>
        <w:tc>
          <w:tcPr>
            <w:tcW w:w="100" w:type="dxa"/>
            <w:vAlign w:val="bottom"/>
          </w:tcPr>
          <w:p>
            <w:pPr>
              <w:spacing w:after="0"/>
              <w:rPr>
                <w:sz w:val="16"/>
                <w:szCs w:val="16"/>
                <w:color w:val="auto"/>
              </w:rPr>
            </w:pP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(1.46)</w:t>
            </w:r>
          </w:p>
        </w:tc>
        <w:tc>
          <w:tcPr>
            <w:tcW w:w="0" w:type="dxa"/>
            <w:vAlign w:val="bottom"/>
          </w:tcPr>
          <w:p>
            <w:pPr>
              <w:spacing w:after="0"/>
              <w:rPr>
                <w:sz w:val="1"/>
                <w:szCs w:val="1"/>
                <w:color w:val="auto"/>
              </w:rPr>
            </w:pPr>
          </w:p>
        </w:tc>
      </w:tr>
      <w:tr>
        <w:trPr>
          <w:trHeight w:val="200"/>
        </w:trPr>
        <w:tc>
          <w:tcPr>
            <w:tcW w:w="50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Diluted</w:t>
            </w: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w:t>
            </w:r>
          </w:p>
        </w:tc>
        <w:tc>
          <w:tcPr>
            <w:tcW w:w="0" w:type="dxa"/>
            <w:vAlign w:val="bottom"/>
          </w:tcPr>
          <w:p>
            <w:pPr>
              <w:spacing w:after="0"/>
              <w:rPr>
                <w:sz w:val="1"/>
                <w:szCs w:val="1"/>
                <w:color w:val="auto"/>
              </w:rPr>
            </w:pPr>
          </w:p>
        </w:tc>
      </w:tr>
      <w:tr>
        <w:trPr>
          <w:trHeight w:val="194"/>
        </w:trPr>
        <w:tc>
          <w:tcPr>
            <w:tcW w:w="5080" w:type="dxa"/>
            <w:vAlign w:val="bottom"/>
          </w:tcPr>
          <w:p>
            <w:pPr>
              <w:ind w:left="20"/>
              <w:spacing w:after="0"/>
              <w:rPr>
                <w:sz w:val="20"/>
                <w:szCs w:val="20"/>
                <w:color w:val="auto"/>
              </w:rPr>
            </w:pPr>
            <w:r>
              <w:rPr>
                <w:rFonts w:ascii="Arial" w:cs="Arial" w:eastAsia="Arial" w:hAnsi="Arial"/>
                <w:sz w:val="15"/>
                <w:szCs w:val="15"/>
                <w:b w:val="1"/>
                <w:bCs w:val="1"/>
                <w:color w:val="auto"/>
              </w:rPr>
              <w:t>Weighted average shares outstanding:</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Basic</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7,887,259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7,829,478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7,886,359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8,040,417</w:t>
            </w:r>
          </w:p>
        </w:tc>
        <w:tc>
          <w:tcPr>
            <w:tcW w:w="0" w:type="dxa"/>
            <w:vAlign w:val="bottom"/>
          </w:tcPr>
          <w:p>
            <w:pPr>
              <w:spacing w:after="0"/>
              <w:rPr>
                <w:sz w:val="1"/>
                <w:szCs w:val="1"/>
                <w:color w:val="auto"/>
              </w:rPr>
            </w:pPr>
          </w:p>
        </w:tc>
      </w:tr>
      <w:tr>
        <w:trPr>
          <w:trHeight w:val="188"/>
        </w:trPr>
        <w:tc>
          <w:tcPr>
            <w:tcW w:w="5080" w:type="dxa"/>
            <w:vAlign w:val="bottom"/>
          </w:tcPr>
          <w:p>
            <w:pPr>
              <w:ind w:left="340"/>
              <w:spacing w:after="0"/>
              <w:rPr>
                <w:sz w:val="20"/>
                <w:szCs w:val="20"/>
                <w:color w:val="auto"/>
              </w:rPr>
            </w:pPr>
            <w:r>
              <w:rPr>
                <w:rFonts w:ascii="Arial" w:cs="Arial" w:eastAsia="Arial" w:hAnsi="Arial"/>
                <w:sz w:val="15"/>
                <w:szCs w:val="15"/>
                <w:color w:val="auto"/>
              </w:rPr>
              <w:t>Diluted</w:t>
            </w: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7,956,081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7,829,478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7,933,860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8,040,417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WESTWOOD HOLDINGS GROUP,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 OF STOCKHOLDERS’ EQUITY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Three Months Ended September 30, 2021 and 2020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amounts)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400" w:type="dxa"/>
            <w:vAlign w:val="bottom"/>
          </w:tcPr>
          <w:p>
            <w:pPr>
              <w:spacing w:after="0"/>
              <w:rPr>
                <w:sz w:val="17"/>
                <w:szCs w:val="17"/>
                <w:color w:val="auto"/>
              </w:rPr>
            </w:pPr>
          </w:p>
        </w:tc>
        <w:tc>
          <w:tcPr>
            <w:tcW w:w="2060" w:type="dxa"/>
            <w:vAlign w:val="bottom"/>
            <w:tcBorders>
              <w:bottom w:val="single" w:sz="8" w:color="auto"/>
            </w:tcBorders>
            <w:gridSpan w:val="4"/>
          </w:tcPr>
          <w:p>
            <w:pPr>
              <w:jc w:val="right"/>
              <w:ind w:right="322"/>
              <w:spacing w:after="0"/>
              <w:rPr>
                <w:sz w:val="20"/>
                <w:szCs w:val="20"/>
                <w:color w:val="auto"/>
              </w:rPr>
            </w:pPr>
            <w:r>
              <w:rPr>
                <w:rFonts w:ascii="Arial" w:cs="Arial" w:eastAsia="Arial" w:hAnsi="Arial"/>
                <w:sz w:val="15"/>
                <w:szCs w:val="15"/>
                <w:b w:val="1"/>
                <w:bCs w:val="1"/>
                <w:color w:val="auto"/>
              </w:rPr>
              <w:t>Common Stock, Par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2"/>
              </w:rPr>
              <w:t>Additional</w:t>
            </w:r>
          </w:p>
        </w:tc>
        <w:tc>
          <w:tcPr>
            <w:tcW w:w="14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Arial" w:cs="Arial" w:eastAsia="Arial" w:hAnsi="Arial"/>
                <w:sz w:val="15"/>
                <w:szCs w:val="15"/>
                <w:b w:val="1"/>
                <w:bCs w:val="1"/>
                <w:color w:val="auto"/>
              </w:rPr>
              <w:t>Treasury</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87"/>
        </w:trPr>
        <w:tc>
          <w:tcPr>
            <w:tcW w:w="4400" w:type="dxa"/>
            <w:vAlign w:val="bottom"/>
          </w:tcPr>
          <w:p>
            <w:pPr>
              <w:spacing w:after="0"/>
              <w:rPr>
                <w:sz w:val="16"/>
                <w:szCs w:val="16"/>
                <w:color w:val="auto"/>
              </w:rPr>
            </w:pPr>
          </w:p>
        </w:tc>
        <w:tc>
          <w:tcPr>
            <w:tcW w:w="116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5"/>
                <w:szCs w:val="15"/>
                <w:b w:val="1"/>
                <w:bCs w:val="1"/>
                <w:color w:val="auto"/>
              </w:rPr>
              <w:t>Amount</w:t>
            </w:r>
          </w:p>
        </w:tc>
        <w:tc>
          <w:tcPr>
            <w:tcW w:w="116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4"/>
              </w:rPr>
              <w:t>Paid-In Capital</w:t>
            </w:r>
          </w:p>
        </w:tc>
        <w:tc>
          <w:tcPr>
            <w:tcW w:w="14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5"/>
                <w:szCs w:val="15"/>
                <w:b w:val="1"/>
                <w:bCs w:val="1"/>
                <w:color w:val="auto"/>
              </w:rPr>
              <w:t>Stock</w:t>
            </w:r>
          </w:p>
        </w:tc>
        <w:tc>
          <w:tcPr>
            <w:tcW w:w="10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5"/>
                <w:szCs w:val="15"/>
                <w:b w:val="1"/>
                <w:bCs w:val="1"/>
                <w:color w:val="auto"/>
              </w:rPr>
              <w:t>Retained Earnings</w:t>
            </w:r>
          </w:p>
        </w:tc>
        <w:tc>
          <w:tcPr>
            <w:tcW w:w="200" w:type="dxa"/>
            <w:vAlign w:val="bottom"/>
          </w:tcPr>
          <w:p>
            <w:pPr>
              <w:spacing w:after="0"/>
              <w:rPr>
                <w:sz w:val="16"/>
                <w:szCs w:val="16"/>
                <w:color w:val="auto"/>
              </w:rPr>
            </w:pPr>
          </w:p>
        </w:tc>
        <w:tc>
          <w:tcPr>
            <w:tcW w:w="740" w:type="dxa"/>
            <w:vAlign w:val="bottom"/>
          </w:tcPr>
          <w:p>
            <w:pPr>
              <w:jc w:val="right"/>
              <w:ind w:right="242"/>
              <w:spacing w:after="0"/>
              <w:rPr>
                <w:sz w:val="20"/>
                <w:szCs w:val="20"/>
                <w:color w:val="auto"/>
              </w:rPr>
            </w:pPr>
            <w:r>
              <w:rPr>
                <w:rFonts w:ascii="Arial" w:cs="Arial" w:eastAsia="Arial" w:hAnsi="Arial"/>
                <w:sz w:val="15"/>
                <w:szCs w:val="15"/>
                <w:b w:val="1"/>
                <w:bCs w:val="1"/>
                <w:color w:val="auto"/>
              </w:rPr>
              <w:t>Total</w:t>
            </w:r>
          </w:p>
        </w:tc>
      </w:tr>
      <w:tr>
        <w:trPr>
          <w:trHeight w:val="204"/>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June 30, 2021</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8,324,702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213,362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(80,551)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1,757</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134,676</w:t>
            </w:r>
          </w:p>
        </w:tc>
      </w:tr>
      <w:tr>
        <w:trPr>
          <w:trHeight w:val="206"/>
        </w:trPr>
        <w:tc>
          <w:tcPr>
            <w:tcW w:w="44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1,879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1,879</w:t>
            </w:r>
          </w:p>
        </w:tc>
      </w:tr>
      <w:tr>
        <w:trPr>
          <w:trHeight w:val="212"/>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restricted stock, net of forfeitures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4400" w:type="dxa"/>
            <w:vAlign w:val="bottom"/>
          </w:tcPr>
          <w:p>
            <w:pPr>
              <w:ind w:left="20"/>
              <w:spacing w:after="0"/>
              <w:rPr>
                <w:sz w:val="20"/>
                <w:szCs w:val="20"/>
                <w:color w:val="auto"/>
              </w:rPr>
            </w:pPr>
            <w:r>
              <w:rPr>
                <w:rFonts w:ascii="Arial" w:cs="Arial" w:eastAsia="Arial" w:hAnsi="Arial"/>
                <w:sz w:val="16"/>
                <w:szCs w:val="16"/>
                <w:color w:val="auto"/>
              </w:rPr>
              <w:t>Return of capital ($2.50 per share)</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(20,823)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(20,823)</w:t>
            </w:r>
          </w:p>
        </w:tc>
      </w:tr>
      <w:tr>
        <w:trPr>
          <w:trHeight w:val="212"/>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($0.10 per share)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w:t>
            </w:r>
          </w:p>
        </w:tc>
      </w:tr>
      <w:tr>
        <w:trPr>
          <w:trHeight w:val="206"/>
        </w:trPr>
        <w:tc>
          <w:tcPr>
            <w:tcW w:w="44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1,362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1,362</w:t>
            </w:r>
          </w:p>
        </w:tc>
      </w:tr>
      <w:tr>
        <w:trPr>
          <w:trHeight w:val="212"/>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treasury stock</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r>
      <w:tr>
        <w:trPr>
          <w:trHeight w:val="199"/>
        </w:trPr>
        <w:tc>
          <w:tcPr>
            <w:tcW w:w="4400" w:type="dxa"/>
            <w:vAlign w:val="bottom"/>
          </w:tcPr>
          <w:p>
            <w:pPr>
              <w:ind w:left="20"/>
              <w:spacing w:after="0"/>
              <w:rPr>
                <w:sz w:val="20"/>
                <w:szCs w:val="20"/>
                <w:color w:val="auto"/>
              </w:rPr>
            </w:pPr>
            <w:r>
              <w:rPr>
                <w:rFonts w:ascii="Arial" w:cs="Arial" w:eastAsia="Arial" w:hAnsi="Arial"/>
                <w:sz w:val="16"/>
                <w:szCs w:val="16"/>
                <w:b w:val="1"/>
                <w:bCs w:val="1"/>
                <w:color w:val="auto"/>
              </w:rPr>
              <w:t>Balance, September 30, 2021</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8,296,864</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193,901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(81,050)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2,769</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115,728</w:t>
            </w:r>
          </w:p>
        </w:tc>
      </w:tr>
      <w:tr>
        <w:trPr>
          <w:trHeight w:val="22"/>
        </w:trPr>
        <w:tc>
          <w:tcPr>
            <w:tcW w:w="4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80" w:type="dxa"/>
            <w:vAlign w:val="bottom"/>
          </w:tcPr>
          <w:p>
            <w:pPr>
              <w:spacing w:after="0"/>
              <w:rPr>
                <w:sz w:val="14"/>
                <w:szCs w:val="14"/>
                <w:color w:val="auto"/>
              </w:rPr>
            </w:pPr>
          </w:p>
        </w:tc>
        <w:tc>
          <w:tcPr>
            <w:tcW w:w="2060" w:type="dxa"/>
            <w:vAlign w:val="bottom"/>
            <w:gridSpan w:val="4"/>
            <w:vMerge w:val="restart"/>
          </w:tcPr>
          <w:p>
            <w:pPr>
              <w:jc w:val="right"/>
              <w:ind w:right="302"/>
              <w:spacing w:after="0"/>
              <w:rPr>
                <w:sz w:val="20"/>
                <w:szCs w:val="20"/>
                <w:color w:val="auto"/>
              </w:rPr>
            </w:pPr>
            <w:r>
              <w:rPr>
                <w:rFonts w:ascii="Arial" w:cs="Arial" w:eastAsia="Arial" w:hAnsi="Arial"/>
                <w:sz w:val="15"/>
                <w:szCs w:val="15"/>
                <w:b w:val="1"/>
                <w:bCs w:val="1"/>
                <w:color w:val="auto"/>
              </w:rPr>
              <w:t>Common Stock, Par</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89"/>
              </w:rPr>
              <w:t>Accumulated Other</w:t>
            </w:r>
          </w:p>
        </w:tc>
        <w:tc>
          <w:tcPr>
            <w:tcW w:w="10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9"/>
              </w:rPr>
              <w:t>Retained Earnings</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80" w:type="dxa"/>
            <w:vAlign w:val="bottom"/>
          </w:tcPr>
          <w:p>
            <w:pPr>
              <w:spacing w:after="0"/>
              <w:rPr>
                <w:sz w:val="11"/>
                <w:szCs w:val="11"/>
                <w:color w:val="auto"/>
              </w:rPr>
            </w:pPr>
          </w:p>
        </w:tc>
        <w:tc>
          <w:tcPr>
            <w:tcW w:w="206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24"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1"/>
                <w:szCs w:val="11"/>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4"/>
                <w:szCs w:val="14"/>
                <w:b w:val="1"/>
                <w:bCs w:val="1"/>
                <w:color w:val="auto"/>
              </w:rPr>
              <w:t>Treasury</w:t>
            </w: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24" w:lineRule="exact"/>
              <w:rPr>
                <w:sz w:val="20"/>
                <w:szCs w:val="20"/>
                <w:color w:val="auto"/>
              </w:rPr>
            </w:pPr>
            <w:r>
              <w:rPr>
                <w:rFonts w:ascii="Arial" w:cs="Arial" w:eastAsia="Arial" w:hAnsi="Arial"/>
                <w:sz w:val="14"/>
                <w:szCs w:val="14"/>
                <w:b w:val="1"/>
                <w:bCs w:val="1"/>
                <w:color w:val="auto"/>
                <w:w w:val="95"/>
              </w:rPr>
              <w:t>Comprehensive</w:t>
            </w:r>
          </w:p>
        </w:tc>
        <w:tc>
          <w:tcPr>
            <w:tcW w:w="100" w:type="dxa"/>
            <w:vAlign w:val="bottom"/>
          </w:tcPr>
          <w:p>
            <w:pPr>
              <w:spacing w:after="0"/>
              <w:rPr>
                <w:sz w:val="11"/>
                <w:szCs w:val="11"/>
                <w:color w:val="auto"/>
              </w:rPr>
            </w:pPr>
          </w:p>
        </w:tc>
        <w:tc>
          <w:tcPr>
            <w:tcW w:w="1400" w:type="dxa"/>
            <w:vAlign w:val="bottom"/>
            <w:gridSpan w:val="2"/>
          </w:tcPr>
          <w:p>
            <w:pPr>
              <w:jc w:val="center"/>
              <w:ind w:right="200"/>
              <w:spacing w:after="0" w:line="124" w:lineRule="exact"/>
              <w:rPr>
                <w:sz w:val="20"/>
                <w:szCs w:val="20"/>
                <w:color w:val="auto"/>
              </w:rPr>
            </w:pPr>
            <w:r>
              <w:rPr>
                <w:rFonts w:ascii="Arial" w:cs="Arial" w:eastAsia="Arial" w:hAnsi="Arial"/>
                <w:sz w:val="14"/>
                <w:szCs w:val="14"/>
                <w:b w:val="1"/>
                <w:bCs w:val="1"/>
                <w:color w:val="auto"/>
                <w:w w:val="95"/>
              </w:rPr>
              <w:t>(Accumulated</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88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5"/>
                <w:szCs w:val="15"/>
                <w:b w:val="1"/>
                <w:bCs w:val="1"/>
                <w:color w:val="auto"/>
              </w:rPr>
              <w:t>Amount</w:t>
            </w:r>
          </w:p>
        </w:tc>
        <w:tc>
          <w:tcPr>
            <w:tcW w:w="116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4"/>
              </w:rPr>
              <w:t>Paid-In Capital</w:t>
            </w:r>
          </w:p>
        </w:tc>
        <w:tc>
          <w:tcPr>
            <w:tcW w:w="14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5"/>
                <w:szCs w:val="15"/>
                <w:b w:val="1"/>
                <w:bCs w:val="1"/>
                <w:color w:val="auto"/>
              </w:rPr>
              <w:t>Stock</w:t>
            </w: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6"/>
              </w:rPr>
              <w:t>Income (Loss)</w:t>
            </w:r>
          </w:p>
        </w:tc>
        <w:tc>
          <w:tcPr>
            <w:tcW w:w="10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Deficit)</w:t>
            </w:r>
          </w:p>
        </w:tc>
        <w:tc>
          <w:tcPr>
            <w:tcW w:w="200" w:type="dxa"/>
            <w:vAlign w:val="bottom"/>
          </w:tcPr>
          <w:p>
            <w:pPr>
              <w:spacing w:after="0"/>
              <w:rPr>
                <w:sz w:val="16"/>
                <w:szCs w:val="16"/>
                <w:color w:val="auto"/>
              </w:rPr>
            </w:pPr>
          </w:p>
        </w:tc>
        <w:tc>
          <w:tcPr>
            <w:tcW w:w="740" w:type="dxa"/>
            <w:vAlign w:val="bottom"/>
          </w:tcPr>
          <w:p>
            <w:pPr>
              <w:jc w:val="right"/>
              <w:ind w:right="242"/>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4"/>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June 30, 2020</w:t>
            </w:r>
          </w:p>
        </w:tc>
        <w:tc>
          <w:tcPr>
            <w:tcW w:w="10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8,382,342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208,572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w w:val="90"/>
              </w:rPr>
              <w:t>(78,050)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5,615</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131,429</w:t>
            </w:r>
          </w:p>
        </w:tc>
        <w:tc>
          <w:tcPr>
            <w:tcW w:w="0" w:type="dxa"/>
            <w:vAlign w:val="bottom"/>
          </w:tcPr>
          <w:p>
            <w:pPr>
              <w:spacing w:after="0"/>
              <w:rPr>
                <w:sz w:val="1"/>
                <w:szCs w:val="1"/>
                <w:color w:val="auto"/>
              </w:rPr>
            </w:pPr>
          </w:p>
        </w:tc>
      </w:tr>
      <w:tr>
        <w:trPr>
          <w:trHeight w:val="206"/>
        </w:trPr>
        <w:tc>
          <w:tcPr>
            <w:tcW w:w="28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(10,289)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(10,289)</w:t>
            </w:r>
          </w:p>
        </w:tc>
        <w:tc>
          <w:tcPr>
            <w:tcW w:w="0" w:type="dxa"/>
            <w:vAlign w:val="bottom"/>
          </w:tcPr>
          <w:p>
            <w:pPr>
              <w:spacing w:after="0"/>
              <w:rPr>
                <w:sz w:val="1"/>
                <w:szCs w:val="1"/>
                <w:color w:val="auto"/>
              </w:rPr>
            </w:pPr>
          </w:p>
        </w:tc>
      </w:tr>
      <w:tr>
        <w:trPr>
          <w:trHeight w:val="212"/>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160"/>
        </w:trPr>
        <w:tc>
          <w:tcPr>
            <w:tcW w:w="2880" w:type="dxa"/>
            <w:vAlign w:val="bottom"/>
          </w:tcPr>
          <w:p>
            <w:pPr>
              <w:ind w:left="20"/>
              <w:spacing w:after="0" w:line="160" w:lineRule="exact"/>
              <w:rPr>
                <w:sz w:val="20"/>
                <w:szCs w:val="20"/>
                <w:color w:val="auto"/>
              </w:rPr>
            </w:pPr>
            <w:r>
              <w:rPr>
                <w:rFonts w:ascii="Arial" w:cs="Arial" w:eastAsia="Arial" w:hAnsi="Arial"/>
                <w:sz w:val="16"/>
                <w:szCs w:val="16"/>
                <w:color w:val="auto"/>
                <w:w w:val="98"/>
              </w:rPr>
              <w:t>Foreign currency translation adjustments</w:t>
            </w: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4,193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4,193</w:t>
            </w:r>
          </w:p>
        </w:tc>
        <w:tc>
          <w:tcPr>
            <w:tcW w:w="0" w:type="dxa"/>
            <w:vAlign w:val="bottom"/>
          </w:tcPr>
          <w:p>
            <w:pPr>
              <w:spacing w:after="0"/>
              <w:rPr>
                <w:sz w:val="1"/>
                <w:szCs w:val="1"/>
                <w:color w:val="auto"/>
              </w:rPr>
            </w:pPr>
          </w:p>
        </w:tc>
      </w:tr>
      <w:tr>
        <w:trPr>
          <w:trHeight w:val="203"/>
        </w:trPr>
        <w:tc>
          <w:tcPr>
            <w:tcW w:w="2880" w:type="dxa"/>
            <w:vAlign w:val="bottom"/>
          </w:tcPr>
          <w:p>
            <w:pPr>
              <w:ind w:left="180"/>
              <w:spacing w:after="0"/>
              <w:rPr>
                <w:sz w:val="20"/>
                <w:szCs w:val="20"/>
                <w:color w:val="auto"/>
              </w:rPr>
            </w:pPr>
            <w:r>
              <w:rPr>
                <w:rFonts w:ascii="Arial" w:cs="Arial" w:eastAsia="Arial" w:hAnsi="Arial"/>
                <w:sz w:val="16"/>
                <w:szCs w:val="16"/>
                <w:color w:val="auto"/>
              </w:rPr>
              <w:t>reclassification</w:t>
            </w: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Issuance of restricted stock, net of forfeitures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8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163"/>
        </w:trPr>
        <w:tc>
          <w:tcPr>
            <w:tcW w:w="28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Dividend reversal for forfeited restricted</w:t>
            </w:r>
          </w:p>
        </w:tc>
        <w:tc>
          <w:tcPr>
            <w:tcW w:w="106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6"/>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w:t>
            </w: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880" w:type="dxa"/>
            <w:vAlign w:val="bottom"/>
          </w:tcPr>
          <w:p>
            <w:pPr>
              <w:ind w:left="20"/>
              <w:spacing w:after="0"/>
              <w:rPr>
                <w:sz w:val="20"/>
                <w:szCs w:val="20"/>
                <w:color w:val="auto"/>
              </w:rPr>
            </w:pPr>
            <w:r>
              <w:rPr>
                <w:rFonts w:ascii="Arial" w:cs="Arial" w:eastAsia="Arial" w:hAnsi="Arial"/>
                <w:sz w:val="16"/>
                <w:szCs w:val="16"/>
                <w:b w:val="1"/>
                <w:bCs w:val="1"/>
                <w:color w:val="auto"/>
              </w:rPr>
              <w:t>Balance, September 30, 2020</w:t>
            </w: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8,366,811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209,060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ind w:left="260"/>
              <w:spacing w:after="0"/>
              <w:rPr>
                <w:sz w:val="20"/>
                <w:szCs w:val="20"/>
                <w:color w:val="auto"/>
              </w:rPr>
            </w:pPr>
            <w:r>
              <w:rPr>
                <w:rFonts w:ascii="Arial" w:cs="Arial" w:eastAsia="Arial" w:hAnsi="Arial"/>
                <w:sz w:val="16"/>
                <w:szCs w:val="16"/>
                <w:color w:val="auto"/>
                <w:w w:val="90"/>
              </w:rPr>
              <w:t>(78,050)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(4,624)</w:t>
            </w:r>
          </w:p>
        </w:tc>
        <w:tc>
          <w:tcPr>
            <w:tcW w:w="120" w:type="dxa"/>
            <w:vAlign w:val="bottom"/>
          </w:tcPr>
          <w:p>
            <w:pPr>
              <w:spacing w:after="0"/>
              <w:rPr>
                <w:sz w:val="17"/>
                <w:szCs w:val="17"/>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126,492</w:t>
            </w: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bookmarkStart w:id="5" w:name="page6"/>
    <w:bookmarkEnd w:id="5"/>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WESTWOOD HOLDINGS GROUP,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 OF STOCKHOLDERS’ EQUITY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Nine Months Ended September 30, 2021 and 2020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amounts)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6"/>
            <w:vMerge w:val="restart"/>
          </w:tcPr>
          <w:p>
            <w:pPr>
              <w:jc w:val="right"/>
              <w:spacing w:after="0"/>
              <w:rPr>
                <w:sz w:val="20"/>
                <w:szCs w:val="20"/>
                <w:color w:val="auto"/>
              </w:rPr>
            </w:pPr>
            <w:r>
              <w:rPr>
                <w:rFonts w:ascii="Arial" w:cs="Arial" w:eastAsia="Arial" w:hAnsi="Arial"/>
                <w:sz w:val="15"/>
                <w:szCs w:val="15"/>
                <w:b w:val="1"/>
                <w:bCs w:val="1"/>
                <w:color w:val="auto"/>
              </w:rPr>
              <w:t>Common Stock, Par</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9"/>
              </w:rPr>
              <w:t>Retained Earnings</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tcBorders>
              <w:bottom w:val="single" w:sz="8" w:color="auto"/>
            </w:tcBorders>
            <w:gridSpan w:val="6"/>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4"/>
          </w:tcPr>
          <w:p>
            <w:pPr>
              <w:jc w:val="center"/>
              <w:ind w:right="260"/>
              <w:spacing w:after="0" w:line="124" w:lineRule="exact"/>
              <w:rPr>
                <w:sz w:val="20"/>
                <w:szCs w:val="20"/>
                <w:color w:val="auto"/>
              </w:rPr>
            </w:pPr>
            <w:r>
              <w:rPr>
                <w:rFonts w:ascii="Arial" w:cs="Arial" w:eastAsia="Arial" w:hAnsi="Arial"/>
                <w:sz w:val="14"/>
                <w:szCs w:val="14"/>
                <w:b w:val="1"/>
                <w:bCs w:val="1"/>
                <w:color w:val="auto"/>
                <w:w w:val="99"/>
              </w:rPr>
              <w:t>Additional</w:t>
            </w:r>
          </w:p>
        </w:tc>
        <w:tc>
          <w:tcPr>
            <w:tcW w:w="140" w:type="dxa"/>
            <w:vAlign w:val="bottom"/>
          </w:tcPr>
          <w:p>
            <w:pPr>
              <w:spacing w:after="0"/>
              <w:rPr>
                <w:sz w:val="11"/>
                <w:szCs w:val="11"/>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1"/>
                <w:szCs w:val="11"/>
                <w:color w:val="auto"/>
              </w:rPr>
            </w:pPr>
          </w:p>
        </w:tc>
        <w:tc>
          <w:tcPr>
            <w:tcW w:w="1420" w:type="dxa"/>
            <w:vAlign w:val="bottom"/>
            <w:gridSpan w:val="2"/>
          </w:tcPr>
          <w:p>
            <w:pPr>
              <w:jc w:val="center"/>
              <w:ind w:right="220"/>
              <w:spacing w:after="0" w:line="124" w:lineRule="exact"/>
              <w:rPr>
                <w:sz w:val="20"/>
                <w:szCs w:val="20"/>
                <w:color w:val="auto"/>
              </w:rPr>
            </w:pPr>
            <w:r>
              <w:rPr>
                <w:rFonts w:ascii="Arial" w:cs="Arial" w:eastAsia="Arial" w:hAnsi="Arial"/>
                <w:sz w:val="14"/>
                <w:szCs w:val="14"/>
                <w:b w:val="1"/>
                <w:bCs w:val="1"/>
                <w:color w:val="auto"/>
                <w:w w:val="95"/>
              </w:rPr>
              <w:t>(Accumulated</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8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4"/>
          </w:tcPr>
          <w:p>
            <w:pPr>
              <w:jc w:val="right"/>
              <w:ind w:right="224"/>
              <w:spacing w:after="0"/>
              <w:rPr>
                <w:sz w:val="20"/>
                <w:szCs w:val="20"/>
                <w:color w:val="auto"/>
              </w:rPr>
            </w:pPr>
            <w:r>
              <w:rPr>
                <w:rFonts w:ascii="Arial" w:cs="Arial" w:eastAsia="Arial" w:hAnsi="Arial"/>
                <w:sz w:val="15"/>
                <w:szCs w:val="15"/>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3"/>
          </w:tcPr>
          <w:p>
            <w:pPr>
              <w:jc w:val="right"/>
              <w:ind w:right="123"/>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w w:val="94"/>
              </w:rPr>
              <w:t>Paid-In Capital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2"/>
              <w:spacing w:after="0"/>
              <w:rPr>
                <w:sz w:val="20"/>
                <w:szCs w:val="20"/>
                <w:color w:val="auto"/>
              </w:rPr>
            </w:pPr>
            <w:r>
              <w:rPr>
                <w:rFonts w:ascii="Arial" w:cs="Arial" w:eastAsia="Arial" w:hAnsi="Arial"/>
                <w:sz w:val="15"/>
                <w:szCs w:val="15"/>
                <w:b w:val="1"/>
                <w:bCs w:val="1"/>
                <w:color w:val="auto"/>
              </w:rPr>
              <w:t>Stock</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b w:val="1"/>
                <w:bCs w:val="1"/>
                <w:color w:val="auto"/>
                <w:w w:val="94"/>
              </w:rPr>
              <w:t>Deficit)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2"/>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4"/>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2020</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8,326,948</w:t>
            </w:r>
          </w:p>
        </w:tc>
        <w:tc>
          <w:tcPr>
            <w:tcW w:w="640" w:type="dxa"/>
            <w:vAlign w:val="bottom"/>
            <w:gridSpan w:val="2"/>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jc w:val="right"/>
              <w:ind w:right="4"/>
              <w:spacing w:after="0"/>
              <w:rPr>
                <w:sz w:val="20"/>
                <w:szCs w:val="20"/>
                <w:color w:val="auto"/>
              </w:rPr>
            </w:pPr>
            <w:r>
              <w:rPr>
                <w:rFonts w:ascii="Arial" w:cs="Arial" w:eastAsia="Arial" w:hAnsi="Arial"/>
                <w:sz w:val="16"/>
                <w:szCs w:val="16"/>
                <w:color w:val="auto"/>
              </w:rPr>
              <w:t>210,268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(77,967)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130,711</w:t>
            </w:r>
          </w:p>
        </w:tc>
        <w:tc>
          <w:tcPr>
            <w:tcW w:w="0" w:type="dxa"/>
            <w:vAlign w:val="bottom"/>
          </w:tcPr>
          <w:p>
            <w:pPr>
              <w:spacing w:after="0"/>
              <w:rPr>
                <w:sz w:val="1"/>
                <w:szCs w:val="1"/>
                <w:color w:val="auto"/>
              </w:rPr>
            </w:pPr>
          </w:p>
        </w:tc>
      </w:tr>
      <w:tr>
        <w:trPr>
          <w:trHeight w:val="206"/>
        </w:trPr>
        <w:tc>
          <w:tcPr>
            <w:tcW w:w="304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6,950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6,950</w:t>
            </w:r>
          </w:p>
        </w:tc>
        <w:tc>
          <w:tcPr>
            <w:tcW w:w="0" w:type="dxa"/>
            <w:vAlign w:val="bottom"/>
          </w:tcPr>
          <w:p>
            <w:pPr>
              <w:spacing w:after="0"/>
              <w:rPr>
                <w:sz w:val="1"/>
                <w:szCs w:val="1"/>
                <w:color w:val="auto"/>
              </w:rPr>
            </w:pPr>
          </w:p>
        </w:tc>
      </w:tr>
      <w:tr>
        <w:trPr>
          <w:trHeight w:val="212"/>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4"/>
              </w:rPr>
              <w:t>Issuance of restricted stock, net of forfeitures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6"/>
              </w:rPr>
              <w:t>158,134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040" w:type="dxa"/>
            <w:vAlign w:val="bottom"/>
            <w:gridSpan w:val="2"/>
          </w:tcPr>
          <w:p>
            <w:pPr>
              <w:ind w:left="20"/>
              <w:spacing w:after="0"/>
              <w:rPr>
                <w:sz w:val="20"/>
                <w:szCs w:val="20"/>
                <w:color w:val="auto"/>
              </w:rPr>
            </w:pPr>
            <w:r>
              <w:rPr>
                <w:rFonts w:ascii="Arial" w:cs="Arial" w:eastAsia="Arial" w:hAnsi="Arial"/>
                <w:sz w:val="16"/>
                <w:szCs w:val="16"/>
                <w:color w:val="auto"/>
              </w:rPr>
              <w:t>Return of capital ($2.50 per share)</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(20,823)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(20,823)</w:t>
            </w:r>
          </w:p>
        </w:tc>
        <w:tc>
          <w:tcPr>
            <w:tcW w:w="0" w:type="dxa"/>
            <w:vAlign w:val="bottom"/>
          </w:tcPr>
          <w:p>
            <w:pPr>
              <w:spacing w:after="0"/>
              <w:rPr>
                <w:sz w:val="1"/>
                <w:szCs w:val="1"/>
                <w:color w:val="auto"/>
              </w:rPr>
            </w:pPr>
          </w:p>
        </w:tc>
      </w:tr>
      <w:tr>
        <w:trPr>
          <w:trHeight w:val="212"/>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Dividends declared ($0.10 per share)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(2,486)</w:t>
            </w:r>
          </w:p>
        </w:tc>
        <w:tc>
          <w:tcPr>
            <w:tcW w:w="0" w:type="dxa"/>
            <w:vAlign w:val="bottom"/>
          </w:tcPr>
          <w:p>
            <w:pPr>
              <w:spacing w:after="0"/>
              <w:rPr>
                <w:sz w:val="1"/>
                <w:szCs w:val="1"/>
                <w:color w:val="auto"/>
              </w:rPr>
            </w:pPr>
          </w:p>
        </w:tc>
      </w:tr>
      <w:tr>
        <w:trPr>
          <w:trHeight w:val="206"/>
        </w:trPr>
        <w:tc>
          <w:tcPr>
            <w:tcW w:w="3040" w:type="dxa"/>
            <w:vAlign w:val="bottom"/>
            <w:gridSpan w:val="2"/>
          </w:tcPr>
          <w:p>
            <w:pPr>
              <w:ind w:left="20"/>
              <w:spacing w:after="0"/>
              <w:rPr>
                <w:sz w:val="20"/>
                <w:szCs w:val="20"/>
                <w:color w:val="auto"/>
              </w:rPr>
            </w:pPr>
            <w:r>
              <w:rPr>
                <w:rFonts w:ascii="Arial" w:cs="Arial" w:eastAsia="Arial" w:hAnsi="Arial"/>
                <w:sz w:val="16"/>
                <w:szCs w:val="16"/>
                <w:color w:val="auto"/>
              </w:rPr>
              <w:t>Stock-based compensation expense</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gridSpan w:val="2"/>
          </w:tcPr>
          <w:p>
            <w:pPr>
              <w:jc w:val="right"/>
              <w:ind w:right="4"/>
              <w:spacing w:after="0"/>
              <w:rPr>
                <w:sz w:val="20"/>
                <w:szCs w:val="20"/>
                <w:color w:val="auto"/>
              </w:rPr>
            </w:pPr>
            <w:r>
              <w:rPr>
                <w:rFonts w:ascii="Arial" w:cs="Arial" w:eastAsia="Arial" w:hAnsi="Arial"/>
                <w:sz w:val="16"/>
                <w:szCs w:val="16"/>
                <w:color w:val="auto"/>
                <w:w w:val="94"/>
              </w:rPr>
              <w:t>4,459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4,459</w:t>
            </w:r>
          </w:p>
        </w:tc>
        <w:tc>
          <w:tcPr>
            <w:tcW w:w="0" w:type="dxa"/>
            <w:vAlign w:val="bottom"/>
          </w:tcPr>
          <w:p>
            <w:pPr>
              <w:spacing w:after="0"/>
              <w:rPr>
                <w:sz w:val="1"/>
                <w:szCs w:val="1"/>
                <w:color w:val="auto"/>
              </w:rPr>
            </w:pPr>
          </w:p>
        </w:tc>
      </w:tr>
      <w:tr>
        <w:trPr>
          <w:trHeight w:val="212"/>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Purchases of treasury stock</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(136,859)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(2,199)</w:t>
            </w:r>
          </w:p>
        </w:tc>
        <w:tc>
          <w:tcPr>
            <w:tcW w:w="0" w:type="dxa"/>
            <w:vAlign w:val="bottom"/>
          </w:tcPr>
          <w:p>
            <w:pPr>
              <w:spacing w:after="0"/>
              <w:rPr>
                <w:sz w:val="1"/>
                <w:szCs w:val="1"/>
                <w:color w:val="auto"/>
              </w:rPr>
            </w:pPr>
          </w:p>
        </w:tc>
      </w:tr>
      <w:tr>
        <w:trPr>
          <w:trHeight w:val="206"/>
        </w:trPr>
        <w:tc>
          <w:tcPr>
            <w:tcW w:w="30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w w:val="91"/>
              </w:rPr>
              <w:t>Restricted stock returned for payment of taxes</w:t>
            </w:r>
          </w:p>
        </w:tc>
        <w:tc>
          <w:tcPr>
            <w:tcW w:w="8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90"/>
              </w:rPr>
              <w:t>(51,359)</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222"/>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September 30, 2021</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8,296,864</w:t>
            </w:r>
          </w:p>
        </w:tc>
        <w:tc>
          <w:tcPr>
            <w:tcW w:w="640" w:type="dxa"/>
            <w:vAlign w:val="bottom"/>
            <w:gridSpan w:val="2"/>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jc w:val="right"/>
              <w:ind w:right="4"/>
              <w:spacing w:after="0"/>
              <w:rPr>
                <w:sz w:val="20"/>
                <w:szCs w:val="20"/>
                <w:color w:val="auto"/>
              </w:rPr>
            </w:pPr>
            <w:r>
              <w:rPr>
                <w:rFonts w:ascii="Arial" w:cs="Arial" w:eastAsia="Arial" w:hAnsi="Arial"/>
                <w:sz w:val="16"/>
                <w:szCs w:val="16"/>
                <w:color w:val="auto"/>
              </w:rPr>
              <w:t>193,901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115,728</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5"/>
            <w:vMerge w:val="restart"/>
          </w:tcPr>
          <w:p>
            <w:pPr>
              <w:jc w:val="right"/>
              <w:ind w:right="262"/>
              <w:spacing w:after="0"/>
              <w:rPr>
                <w:sz w:val="20"/>
                <w:szCs w:val="20"/>
                <w:color w:val="auto"/>
              </w:rPr>
            </w:pPr>
            <w:r>
              <w:rPr>
                <w:rFonts w:ascii="Arial" w:cs="Arial" w:eastAsia="Arial" w:hAnsi="Arial"/>
                <w:sz w:val="15"/>
                <w:szCs w:val="15"/>
                <w:b w:val="1"/>
                <w:bCs w:val="1"/>
                <w:color w:val="auto"/>
              </w:rPr>
              <w:t>Common Stock, Par</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9"/>
              </w:rPr>
              <w:t>Retained Earnings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8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5"/>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right"/>
              <w:ind w:right="122"/>
              <w:spacing w:after="0" w:line="124"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1"/>
                <w:szCs w:val="11"/>
                <w:color w:val="auto"/>
              </w:rPr>
            </w:pPr>
          </w:p>
        </w:tc>
        <w:tc>
          <w:tcPr>
            <w:tcW w:w="960" w:type="dxa"/>
            <w:vAlign w:val="bottom"/>
            <w:gridSpan w:val="4"/>
          </w:tcPr>
          <w:p>
            <w:pPr>
              <w:jc w:val="right"/>
              <w:ind w:right="122"/>
              <w:spacing w:after="0" w:line="124" w:lineRule="exact"/>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1"/>
                <w:szCs w:val="11"/>
                <w:color w:val="auto"/>
              </w:rPr>
            </w:pPr>
          </w:p>
        </w:tc>
        <w:tc>
          <w:tcPr>
            <w:tcW w:w="1540" w:type="dxa"/>
            <w:vAlign w:val="bottom"/>
            <w:gridSpan w:val="5"/>
          </w:tcPr>
          <w:p>
            <w:pPr>
              <w:ind w:left="80"/>
              <w:spacing w:after="0" w:line="124" w:lineRule="exact"/>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1"/>
                <w:szCs w:val="11"/>
                <w:color w:val="auto"/>
              </w:rPr>
            </w:pPr>
          </w:p>
        </w:tc>
        <w:tc>
          <w:tcPr>
            <w:tcW w:w="1420" w:type="dxa"/>
            <w:vAlign w:val="bottom"/>
            <w:gridSpan w:val="2"/>
          </w:tcPr>
          <w:p>
            <w:pPr>
              <w:jc w:val="center"/>
              <w:ind w:right="220"/>
              <w:spacing w:after="0" w:line="124" w:lineRule="exact"/>
              <w:rPr>
                <w:sz w:val="20"/>
                <w:szCs w:val="20"/>
                <w:color w:val="auto"/>
              </w:rPr>
            </w:pPr>
            <w:r>
              <w:rPr>
                <w:rFonts w:ascii="Arial" w:cs="Arial" w:eastAsia="Arial" w:hAnsi="Arial"/>
                <w:sz w:val="14"/>
                <w:szCs w:val="14"/>
                <w:b w:val="1"/>
                <w:bCs w:val="1"/>
                <w:color w:val="auto"/>
                <w:w w:val="95"/>
              </w:rPr>
              <w:t>(Accumulated</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8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22"/>
              <w:spacing w:after="0"/>
              <w:rPr>
                <w:sz w:val="20"/>
                <w:szCs w:val="20"/>
                <w:color w:val="auto"/>
              </w:rPr>
            </w:pPr>
            <w:r>
              <w:rPr>
                <w:rFonts w:ascii="Arial" w:cs="Arial" w:eastAsia="Arial" w:hAnsi="Arial"/>
                <w:sz w:val="15"/>
                <w:szCs w:val="15"/>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5"/>
                <w:szCs w:val="15"/>
                <w:b w:val="1"/>
                <w:bCs w:val="1"/>
                <w:color w:val="auto"/>
                <w:w w:val="95"/>
              </w:rPr>
              <w:t>Amount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5"/>
              </w:rPr>
              <w:t>Paid-In Capital</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ind w:right="222"/>
              <w:spacing w:after="0"/>
              <w:rPr>
                <w:sz w:val="20"/>
                <w:szCs w:val="20"/>
                <w:color w:val="auto"/>
              </w:rPr>
            </w:pPr>
            <w:r>
              <w:rPr>
                <w:rFonts w:ascii="Arial" w:cs="Arial" w:eastAsia="Arial" w:hAnsi="Arial"/>
                <w:sz w:val="15"/>
                <w:szCs w:val="15"/>
                <w:b w:val="1"/>
                <w:bCs w:val="1"/>
                <w:color w:val="auto"/>
                <w:w w:val="88"/>
              </w:rPr>
              <w:t>Stock</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5"/>
                <w:szCs w:val="15"/>
                <w:b w:val="1"/>
                <w:bCs w:val="1"/>
                <w:color w:val="auto"/>
                <w:w w:val="88"/>
              </w:rPr>
              <w:t>Comprehensive Loss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b w:val="1"/>
                <w:bCs w:val="1"/>
                <w:color w:val="auto"/>
                <w:w w:val="94"/>
              </w:rPr>
              <w:t>Deficit)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2"/>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2019</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8,881,086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580" w:type="dxa"/>
            <w:vAlign w:val="bottom"/>
            <w:gridSpan w:val="3"/>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w w:val="93"/>
              </w:rPr>
              <w:t>203,441</w:t>
            </w:r>
          </w:p>
        </w:tc>
        <w:tc>
          <w:tcPr>
            <w:tcW w:w="38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(63,281)</w:t>
            </w:r>
          </w:p>
        </w:tc>
        <w:tc>
          <w:tcPr>
            <w:tcW w:w="480" w:type="dxa"/>
            <w:vAlign w:val="bottom"/>
            <w:gridSpan w:val="2"/>
            <w:shd w:val="clear" w:color="auto" w:fill="CCEEFF"/>
          </w:tcPr>
          <w:p>
            <w:pPr>
              <w:jc w:val="right"/>
              <w:ind w:right="204"/>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148,287</w:t>
            </w:r>
          </w:p>
        </w:tc>
        <w:tc>
          <w:tcPr>
            <w:tcW w:w="0" w:type="dxa"/>
            <w:vAlign w:val="bottom"/>
          </w:tcPr>
          <w:p>
            <w:pPr>
              <w:spacing w:after="0"/>
              <w:rPr>
                <w:sz w:val="1"/>
                <w:szCs w:val="1"/>
                <w:color w:val="auto"/>
              </w:rPr>
            </w:pPr>
          </w:p>
        </w:tc>
      </w:tr>
      <w:tr>
        <w:trPr>
          <w:trHeight w:val="206"/>
        </w:trPr>
        <w:tc>
          <w:tcPr>
            <w:tcW w:w="304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(11,762)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(11,762)</w:t>
            </w:r>
          </w:p>
        </w:tc>
        <w:tc>
          <w:tcPr>
            <w:tcW w:w="0" w:type="dxa"/>
            <w:vAlign w:val="bottom"/>
          </w:tcPr>
          <w:p>
            <w:pPr>
              <w:spacing w:after="0"/>
              <w:rPr>
                <w:sz w:val="1"/>
                <w:szCs w:val="1"/>
                <w:color w:val="auto"/>
              </w:rPr>
            </w:pPr>
          </w:p>
        </w:tc>
      </w:tr>
      <w:tr>
        <w:trPr>
          <w:trHeight w:val="212"/>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160"/>
        </w:trPr>
        <w:tc>
          <w:tcPr>
            <w:tcW w:w="3040" w:type="dxa"/>
            <w:vAlign w:val="bottom"/>
            <w:gridSpan w:val="2"/>
          </w:tcPr>
          <w:p>
            <w:pPr>
              <w:ind w:left="20"/>
              <w:spacing w:after="0" w:line="160" w:lineRule="exact"/>
              <w:rPr>
                <w:sz w:val="20"/>
                <w:szCs w:val="20"/>
                <w:color w:val="auto"/>
              </w:rPr>
            </w:pPr>
            <w:r>
              <w:rPr>
                <w:rFonts w:ascii="Arial" w:cs="Arial" w:eastAsia="Arial" w:hAnsi="Arial"/>
                <w:sz w:val="16"/>
                <w:szCs w:val="16"/>
                <w:color w:val="auto"/>
              </w:rPr>
              <w:t>Foreign currency translation adjustments</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4,193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4,193</w:t>
            </w:r>
          </w:p>
        </w:tc>
        <w:tc>
          <w:tcPr>
            <w:tcW w:w="0" w:type="dxa"/>
            <w:vAlign w:val="bottom"/>
          </w:tcPr>
          <w:p>
            <w:pPr>
              <w:spacing w:after="0"/>
              <w:rPr>
                <w:sz w:val="1"/>
                <w:szCs w:val="1"/>
                <w:color w:val="auto"/>
              </w:rPr>
            </w:pPr>
          </w:p>
        </w:tc>
      </w:tr>
      <w:tr>
        <w:trPr>
          <w:trHeight w:val="203"/>
        </w:trPr>
        <w:tc>
          <w:tcPr>
            <w:tcW w:w="3040" w:type="dxa"/>
            <w:vAlign w:val="bottom"/>
            <w:gridSpan w:val="2"/>
          </w:tcPr>
          <w:p>
            <w:pPr>
              <w:ind w:left="180"/>
              <w:spacing w:after="0"/>
              <w:rPr>
                <w:sz w:val="20"/>
                <w:szCs w:val="20"/>
                <w:color w:val="auto"/>
              </w:rPr>
            </w:pPr>
            <w:r>
              <w:rPr>
                <w:rFonts w:ascii="Arial" w:cs="Arial" w:eastAsia="Arial" w:hAnsi="Arial"/>
                <w:sz w:val="16"/>
                <w:szCs w:val="16"/>
                <w:color w:val="auto"/>
              </w:rPr>
              <w:t>reclassification</w:t>
            </w:r>
          </w:p>
        </w:tc>
        <w:tc>
          <w:tcPr>
            <w:tcW w:w="9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304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Issuance of restricted stock, net of</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236,000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0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forfeitures</w:t>
            </w: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040" w:type="dxa"/>
            <w:vAlign w:val="bottom"/>
            <w:gridSpan w:val="2"/>
          </w:tcPr>
          <w:p>
            <w:pPr>
              <w:ind w:left="20"/>
              <w:spacing w:after="0" w:line="160" w:lineRule="exact"/>
              <w:rPr>
                <w:sz w:val="20"/>
                <w:szCs w:val="20"/>
                <w:color w:val="auto"/>
              </w:rPr>
            </w:pPr>
            <w:r>
              <w:rPr>
                <w:rFonts w:ascii="Arial" w:cs="Arial" w:eastAsia="Arial" w:hAnsi="Arial"/>
                <w:sz w:val="16"/>
                <w:szCs w:val="16"/>
                <w:color w:val="auto"/>
                <w:w w:val="96"/>
              </w:rPr>
              <w:t>Dividends declared ($0.43 per share), net of</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(3,829)</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(3,829)</w:t>
            </w:r>
          </w:p>
        </w:tc>
        <w:tc>
          <w:tcPr>
            <w:tcW w:w="0" w:type="dxa"/>
            <w:vAlign w:val="bottom"/>
          </w:tcPr>
          <w:p>
            <w:pPr>
              <w:spacing w:after="0"/>
              <w:rPr>
                <w:sz w:val="1"/>
                <w:szCs w:val="1"/>
                <w:color w:val="auto"/>
              </w:rPr>
            </w:pPr>
          </w:p>
        </w:tc>
      </w:tr>
      <w:tr>
        <w:trPr>
          <w:trHeight w:val="203"/>
        </w:trPr>
        <w:tc>
          <w:tcPr>
            <w:tcW w:w="3040" w:type="dxa"/>
            <w:vAlign w:val="bottom"/>
            <w:gridSpan w:val="2"/>
          </w:tcPr>
          <w:p>
            <w:pPr>
              <w:ind w:left="180"/>
              <w:spacing w:after="0"/>
              <w:rPr>
                <w:sz w:val="20"/>
                <w:szCs w:val="20"/>
                <w:color w:val="auto"/>
              </w:rPr>
            </w:pPr>
            <w:r>
              <w:rPr>
                <w:rFonts w:ascii="Arial" w:cs="Arial" w:eastAsia="Arial" w:hAnsi="Arial"/>
                <w:sz w:val="16"/>
                <w:szCs w:val="16"/>
                <w:color w:val="auto"/>
              </w:rPr>
              <w:t>forfeitures</w:t>
            </w:r>
          </w:p>
        </w:tc>
        <w:tc>
          <w:tcPr>
            <w:tcW w:w="9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5,409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5,409</w:t>
            </w:r>
          </w:p>
        </w:tc>
        <w:tc>
          <w:tcPr>
            <w:tcW w:w="0" w:type="dxa"/>
            <w:vAlign w:val="bottom"/>
          </w:tcPr>
          <w:p>
            <w:pPr>
              <w:spacing w:after="0"/>
              <w:rPr>
                <w:sz w:val="1"/>
                <w:szCs w:val="1"/>
                <w:color w:val="auto"/>
              </w:rPr>
            </w:pPr>
          </w:p>
        </w:tc>
      </w:tr>
      <w:tr>
        <w:trPr>
          <w:trHeight w:val="160"/>
        </w:trPr>
        <w:tc>
          <w:tcPr>
            <w:tcW w:w="3040" w:type="dxa"/>
            <w:vAlign w:val="bottom"/>
            <w:gridSpan w:val="2"/>
          </w:tcPr>
          <w:p>
            <w:pPr>
              <w:ind w:left="20"/>
              <w:spacing w:after="0" w:line="160" w:lineRule="exact"/>
              <w:rPr>
                <w:sz w:val="20"/>
                <w:szCs w:val="20"/>
                <w:color w:val="auto"/>
              </w:rPr>
            </w:pPr>
            <w:r>
              <w:rPr>
                <w:rFonts w:ascii="Arial" w:cs="Arial" w:eastAsia="Arial" w:hAnsi="Arial"/>
                <w:sz w:val="16"/>
                <w:szCs w:val="16"/>
                <w:color w:val="auto"/>
                <w:w w:val="98"/>
              </w:rPr>
              <w:t>Reclassification of compensation liability to</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gridSpan w:val="2"/>
            <w:vMerge w:val="restart"/>
          </w:tcPr>
          <w:p>
            <w:pPr>
              <w:jc w:val="right"/>
              <w:ind w:right="2"/>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03"/>
        </w:trPr>
        <w:tc>
          <w:tcPr>
            <w:tcW w:w="3040" w:type="dxa"/>
            <w:vAlign w:val="bottom"/>
            <w:gridSpan w:val="2"/>
          </w:tcPr>
          <w:p>
            <w:pPr>
              <w:ind w:left="180"/>
              <w:spacing w:after="0"/>
              <w:rPr>
                <w:sz w:val="20"/>
                <w:szCs w:val="20"/>
                <w:color w:val="auto"/>
              </w:rPr>
            </w:pPr>
            <w:r>
              <w:rPr>
                <w:rFonts w:ascii="Arial" w:cs="Arial" w:eastAsia="Arial" w:hAnsi="Arial"/>
                <w:sz w:val="16"/>
                <w:szCs w:val="16"/>
                <w:color w:val="auto"/>
              </w:rPr>
              <w:t>be paid in shares</w:t>
            </w:r>
          </w:p>
        </w:tc>
        <w:tc>
          <w:tcPr>
            <w:tcW w:w="9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Purchases of treasury stock</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(679,756)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(12,952)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(12,952)</w:t>
            </w:r>
          </w:p>
        </w:tc>
        <w:tc>
          <w:tcPr>
            <w:tcW w:w="0" w:type="dxa"/>
            <w:vAlign w:val="bottom"/>
          </w:tcPr>
          <w:p>
            <w:pPr>
              <w:spacing w:after="0"/>
              <w:rPr>
                <w:sz w:val="1"/>
                <w:szCs w:val="1"/>
                <w:color w:val="auto"/>
              </w:rPr>
            </w:pPr>
          </w:p>
        </w:tc>
      </w:tr>
      <w:tr>
        <w:trPr>
          <w:trHeight w:val="160"/>
        </w:trPr>
        <w:tc>
          <w:tcPr>
            <w:tcW w:w="3040" w:type="dxa"/>
            <w:vAlign w:val="bottom"/>
            <w:gridSpan w:val="2"/>
          </w:tcPr>
          <w:p>
            <w:pPr>
              <w:ind w:left="20"/>
              <w:spacing w:after="0" w:line="160" w:lineRule="exact"/>
              <w:rPr>
                <w:sz w:val="20"/>
                <w:szCs w:val="20"/>
                <w:color w:val="auto"/>
              </w:rPr>
            </w:pPr>
            <w:r>
              <w:rPr>
                <w:rFonts w:ascii="Arial" w:cs="Arial" w:eastAsia="Arial" w:hAnsi="Arial"/>
                <w:sz w:val="16"/>
                <w:szCs w:val="16"/>
                <w:color w:val="auto"/>
                <w:w w:val="94"/>
              </w:rPr>
              <w:t>Purchases of treasury stock under employee</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(27,474)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(697)</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203"/>
        </w:trPr>
        <w:tc>
          <w:tcPr>
            <w:tcW w:w="3040" w:type="dxa"/>
            <w:vAlign w:val="bottom"/>
            <w:gridSpan w:val="2"/>
          </w:tcPr>
          <w:p>
            <w:pPr>
              <w:ind w:left="180"/>
              <w:spacing w:after="0"/>
              <w:rPr>
                <w:sz w:val="20"/>
                <w:szCs w:val="20"/>
                <w:color w:val="auto"/>
              </w:rPr>
            </w:pPr>
            <w:r>
              <w:rPr>
                <w:rFonts w:ascii="Arial" w:cs="Arial" w:eastAsia="Arial" w:hAnsi="Arial"/>
                <w:sz w:val="16"/>
                <w:szCs w:val="16"/>
                <w:color w:val="auto"/>
              </w:rPr>
              <w:t>stock plans</w:t>
            </w: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304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Restricted stock returned for payment of</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(43,045)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(1,120)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(1,120)</w:t>
            </w:r>
          </w:p>
        </w:tc>
        <w:tc>
          <w:tcPr>
            <w:tcW w:w="0" w:type="dxa"/>
            <w:vAlign w:val="bottom"/>
          </w:tcPr>
          <w:p>
            <w:pPr>
              <w:spacing w:after="0"/>
              <w:rPr>
                <w:sz w:val="1"/>
                <w:szCs w:val="1"/>
                <w:color w:val="auto"/>
              </w:rPr>
            </w:pPr>
          </w:p>
        </w:tc>
      </w:tr>
      <w:tr>
        <w:trPr>
          <w:trHeight w:val="206"/>
        </w:trPr>
        <w:tc>
          <w:tcPr>
            <w:tcW w:w="2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taxes</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Balance, September 30, 2020</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8,366,811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106</w:t>
            </w:r>
          </w:p>
        </w:tc>
        <w:tc>
          <w:tcPr>
            <w:tcW w:w="580" w:type="dxa"/>
            <w:vAlign w:val="bottom"/>
            <w:gridSpan w:val="3"/>
          </w:tcPr>
          <w:p>
            <w:pPr>
              <w:jc w:val="right"/>
              <w:ind w:right="244"/>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
              <w:spacing w:after="0"/>
              <w:rPr>
                <w:sz w:val="20"/>
                <w:szCs w:val="20"/>
                <w:color w:val="auto"/>
              </w:rPr>
            </w:pPr>
            <w:r>
              <w:rPr>
                <w:rFonts w:ascii="Arial" w:cs="Arial" w:eastAsia="Arial" w:hAnsi="Arial"/>
                <w:sz w:val="16"/>
                <w:szCs w:val="16"/>
                <w:color w:val="auto"/>
                <w:w w:val="93"/>
              </w:rPr>
              <w:t>209,060</w:t>
            </w:r>
          </w:p>
        </w:tc>
        <w:tc>
          <w:tcPr>
            <w:tcW w:w="380" w:type="dxa"/>
            <w:vAlign w:val="bottom"/>
            <w:gridSpan w:val="2"/>
          </w:tcPr>
          <w:p>
            <w:pPr>
              <w:jc w:val="right"/>
              <w:ind w:right="103"/>
              <w:spacing w:after="0"/>
              <w:rPr>
                <w:sz w:val="20"/>
                <w:szCs w:val="20"/>
                <w:color w:val="auto"/>
              </w:rPr>
            </w:pPr>
            <w:r>
              <w:rPr>
                <w:rFonts w:ascii="Arial" w:cs="Arial" w:eastAsia="Arial" w:hAnsi="Arial"/>
                <w:sz w:val="16"/>
                <w:szCs w:val="16"/>
                <w:color w:val="auto"/>
              </w:rPr>
              <w:t>$</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(78,050)</w:t>
            </w:r>
          </w:p>
        </w:tc>
        <w:tc>
          <w:tcPr>
            <w:tcW w:w="480" w:type="dxa"/>
            <w:vAlign w:val="bottom"/>
            <w:gridSpan w:val="2"/>
          </w:tcPr>
          <w:p>
            <w:pPr>
              <w:jc w:val="right"/>
              <w:ind w:right="20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(4,624)</w:t>
            </w:r>
          </w:p>
        </w:tc>
        <w:tc>
          <w:tcPr>
            <w:tcW w:w="120" w:type="dxa"/>
            <w:vAlign w:val="bottom"/>
          </w:tcPr>
          <w:p>
            <w:pPr>
              <w:spacing w:after="0"/>
              <w:rPr>
                <w:sz w:val="17"/>
                <w:szCs w:val="17"/>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126,492</w:t>
            </w: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WESTWOOD HOLDINGS GROUP,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60" w:type="dxa"/>
            <w:vAlign w:val="bottom"/>
          </w:tcPr>
          <w:p>
            <w:pPr>
              <w:spacing w:after="0"/>
              <w:rPr>
                <w:sz w:val="17"/>
                <w:szCs w:val="17"/>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Nine Months Ended September 30,</w:t>
            </w:r>
          </w:p>
        </w:tc>
        <w:tc>
          <w:tcPr>
            <w:tcW w:w="520" w:type="dxa"/>
            <w:vAlign w:val="bottom"/>
            <w:tcBorders>
              <w:bottom w:val="single" w:sz="8" w:color="auto"/>
            </w:tcBorders>
          </w:tcPr>
          <w:p>
            <w:pPr>
              <w:spacing w:after="0"/>
              <w:rPr>
                <w:sz w:val="17"/>
                <w:szCs w:val="17"/>
                <w:color w:val="auto"/>
              </w:rPr>
            </w:pPr>
          </w:p>
        </w:tc>
      </w:tr>
      <w:tr>
        <w:trPr>
          <w:trHeight w:val="191"/>
        </w:trPr>
        <w:tc>
          <w:tcPr>
            <w:tcW w:w="79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b w:val="1"/>
                <w:bCs w:val="1"/>
                <w:color w:val="auto"/>
              </w:rPr>
              <w:t>2021</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b w:val="1"/>
                <w:bCs w:val="1"/>
                <w:color w:val="auto"/>
              </w:rPr>
              <w:t>2020</w:t>
            </w:r>
          </w:p>
        </w:tc>
        <w:tc>
          <w:tcPr>
            <w:tcW w:w="520" w:type="dxa"/>
            <w:vAlign w:val="bottom"/>
            <w:tcBorders>
              <w:bottom w:val="single" w:sz="8" w:color="auto"/>
            </w:tcBorders>
          </w:tcPr>
          <w:p>
            <w:pPr>
              <w:spacing w:after="0"/>
              <w:rPr>
                <w:sz w:val="16"/>
                <w:szCs w:val="16"/>
                <w:color w:val="auto"/>
              </w:rPr>
            </w:pPr>
          </w:p>
        </w:tc>
      </w:tr>
      <w:tr>
        <w:trPr>
          <w:trHeight w:val="165"/>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180"/>
        </w:trPr>
        <w:tc>
          <w:tcPr>
            <w:tcW w:w="7960" w:type="dxa"/>
            <w:vAlign w:val="bottom"/>
          </w:tcPr>
          <w:p>
            <w:pPr>
              <w:ind w:left="340"/>
              <w:spacing w:after="0"/>
              <w:rPr>
                <w:sz w:val="20"/>
                <w:szCs w:val="20"/>
                <w:color w:val="auto"/>
              </w:rPr>
            </w:pPr>
            <w:r>
              <w:rPr>
                <w:rFonts w:ascii="Arial" w:cs="Arial" w:eastAsia="Arial" w:hAnsi="Arial"/>
                <w:sz w:val="14"/>
                <w:szCs w:val="14"/>
                <w:color w:val="auto"/>
              </w:rPr>
              <w:t>Net income (loss)</w:t>
            </w:r>
          </w:p>
        </w:tc>
        <w:tc>
          <w:tcPr>
            <w:tcW w:w="1020" w:type="dxa"/>
            <w:vAlign w:val="bottom"/>
          </w:tcPr>
          <w:p>
            <w:pPr>
              <w:jc w:val="right"/>
              <w:ind w:right="869"/>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6,950</w:t>
            </w:r>
          </w:p>
        </w:tc>
        <w:tc>
          <w:tcPr>
            <w:tcW w:w="120" w:type="dxa"/>
            <w:vAlign w:val="bottom"/>
          </w:tcPr>
          <w:p>
            <w:pPr>
              <w:spacing w:after="0"/>
              <w:rPr>
                <w:sz w:val="15"/>
                <w:szCs w:val="15"/>
                <w:color w:val="auto"/>
              </w:rPr>
            </w:pPr>
          </w:p>
        </w:tc>
        <w:tc>
          <w:tcPr>
            <w:tcW w:w="1060" w:type="dxa"/>
            <w:vAlign w:val="bottom"/>
          </w:tcPr>
          <w:p>
            <w:pPr>
              <w:jc w:val="right"/>
              <w:ind w:right="909"/>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1"/>
              </w:rPr>
              <w:t>(11,762)</w:t>
            </w:r>
          </w:p>
        </w:tc>
      </w:tr>
      <w:tr>
        <w:trPr>
          <w:trHeight w:val="185"/>
        </w:trPr>
        <w:tc>
          <w:tcPr>
            <w:tcW w:w="79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Adjustments to reconcile net income (loss) to net cash (used in) provided by operating activities:</w:t>
            </w: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180"/>
        </w:trPr>
        <w:tc>
          <w:tcPr>
            <w:tcW w:w="7960" w:type="dxa"/>
            <w:vAlign w:val="bottom"/>
          </w:tcPr>
          <w:p>
            <w:pPr>
              <w:ind w:left="640"/>
              <w:spacing w:after="0"/>
              <w:rPr>
                <w:sz w:val="20"/>
                <w:szCs w:val="20"/>
                <w:color w:val="auto"/>
              </w:rPr>
            </w:pPr>
            <w:r>
              <w:rPr>
                <w:rFonts w:ascii="Arial" w:cs="Arial" w:eastAsia="Arial" w:hAnsi="Arial"/>
                <w:sz w:val="14"/>
                <w:szCs w:val="14"/>
                <w:color w:val="auto"/>
              </w:rPr>
              <w:t>Depreciation</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571</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697</w:t>
            </w:r>
          </w:p>
        </w:tc>
      </w:tr>
      <w:tr>
        <w:trPr>
          <w:trHeight w:val="185"/>
        </w:trPr>
        <w:tc>
          <w:tcPr>
            <w:tcW w:w="7960" w:type="dxa"/>
            <w:vAlign w:val="bottom"/>
            <w:shd w:val="clear" w:color="auto" w:fill="CCEEFF"/>
          </w:tcPr>
          <w:p>
            <w:pPr>
              <w:ind w:left="640"/>
              <w:spacing w:after="0"/>
              <w:rPr>
                <w:sz w:val="20"/>
                <w:szCs w:val="20"/>
                <w:color w:val="auto"/>
              </w:rPr>
            </w:pPr>
            <w:r>
              <w:rPr>
                <w:rFonts w:ascii="Arial" w:cs="Arial" w:eastAsia="Arial" w:hAnsi="Arial"/>
                <w:sz w:val="14"/>
                <w:szCs w:val="14"/>
                <w:color w:val="auto"/>
              </w:rPr>
              <w:t>Amortization of intangible assets</w:t>
            </w: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1,293</w:t>
            </w:r>
          </w:p>
        </w:tc>
      </w:tr>
      <w:tr>
        <w:trPr>
          <w:trHeight w:val="180"/>
        </w:trPr>
        <w:tc>
          <w:tcPr>
            <w:tcW w:w="7960" w:type="dxa"/>
            <w:vAlign w:val="bottom"/>
          </w:tcPr>
          <w:p>
            <w:pPr>
              <w:ind w:left="64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2,425</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1,132</w:t>
            </w:r>
          </w:p>
        </w:tc>
      </w:tr>
      <w:tr>
        <w:trPr>
          <w:trHeight w:val="185"/>
        </w:trPr>
        <w:tc>
          <w:tcPr>
            <w:tcW w:w="7960" w:type="dxa"/>
            <w:vAlign w:val="bottom"/>
            <w:shd w:val="clear" w:color="auto" w:fill="CCEEFF"/>
          </w:tcPr>
          <w:p>
            <w:pPr>
              <w:ind w:left="640"/>
              <w:spacing w:after="0"/>
              <w:rPr>
                <w:sz w:val="20"/>
                <w:szCs w:val="20"/>
                <w:color w:val="auto"/>
              </w:rPr>
            </w:pPr>
            <w:r>
              <w:rPr>
                <w:rFonts w:ascii="Arial" w:cs="Arial" w:eastAsia="Arial" w:hAnsi="Arial"/>
                <w:sz w:val="14"/>
                <w:szCs w:val="14"/>
                <w:color w:val="auto"/>
              </w:rPr>
              <w:t>Realized gains on private investments</w:t>
            </w: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(8,371)</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960" w:type="dxa"/>
            <w:vAlign w:val="bottom"/>
          </w:tcPr>
          <w:p>
            <w:pPr>
              <w:ind w:left="640"/>
              <w:spacing w:after="0"/>
              <w:rPr>
                <w:sz w:val="20"/>
                <w:szCs w:val="20"/>
                <w:color w:val="auto"/>
              </w:rPr>
            </w:pPr>
            <w:r>
              <w:rPr>
                <w:rFonts w:ascii="Arial" w:cs="Arial" w:eastAsia="Arial" w:hAnsi="Arial"/>
                <w:sz w:val="14"/>
                <w:szCs w:val="14"/>
                <w:color w:val="auto"/>
              </w:rPr>
              <w:t>Stock based compensation expense</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4,459</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5,409</w:t>
            </w:r>
          </w:p>
        </w:tc>
      </w:tr>
      <w:tr>
        <w:trPr>
          <w:trHeight w:val="185"/>
        </w:trPr>
        <w:tc>
          <w:tcPr>
            <w:tcW w:w="7960" w:type="dxa"/>
            <w:vAlign w:val="bottom"/>
            <w:shd w:val="clear" w:color="auto" w:fill="CCEEFF"/>
          </w:tcPr>
          <w:p>
            <w:pPr>
              <w:ind w:left="640"/>
              <w:spacing w:after="0"/>
              <w:rPr>
                <w:sz w:val="20"/>
                <w:szCs w:val="20"/>
                <w:color w:val="auto"/>
              </w:rPr>
            </w:pPr>
            <w:r>
              <w:rPr>
                <w:rFonts w:ascii="Arial" w:cs="Arial" w:eastAsia="Arial" w:hAnsi="Arial"/>
                <w:sz w:val="14"/>
                <w:szCs w:val="14"/>
                <w:color w:val="auto"/>
              </w:rPr>
              <w:t>Deferred income taxes</w:t>
            </w: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r>
      <w:tr>
        <w:trPr>
          <w:trHeight w:val="180"/>
        </w:trPr>
        <w:tc>
          <w:tcPr>
            <w:tcW w:w="7960" w:type="dxa"/>
            <w:vAlign w:val="bottom"/>
          </w:tcPr>
          <w:p>
            <w:pPr>
              <w:ind w:left="640"/>
              <w:spacing w:after="0"/>
              <w:rPr>
                <w:sz w:val="20"/>
                <w:szCs w:val="20"/>
                <w:color w:val="auto"/>
              </w:rPr>
            </w:pPr>
            <w:r>
              <w:rPr>
                <w:rFonts w:ascii="Arial" w:cs="Arial" w:eastAsia="Arial" w:hAnsi="Arial"/>
                <w:sz w:val="14"/>
                <w:szCs w:val="14"/>
                <w:color w:val="auto"/>
              </w:rPr>
              <w:t>Non-cash lease expense</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923</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1,253</w:t>
            </w:r>
          </w:p>
        </w:tc>
      </w:tr>
      <w:tr>
        <w:trPr>
          <w:trHeight w:val="185"/>
        </w:trPr>
        <w:tc>
          <w:tcPr>
            <w:tcW w:w="7960" w:type="dxa"/>
            <w:vAlign w:val="bottom"/>
            <w:shd w:val="clear" w:color="auto" w:fill="CCEEFF"/>
          </w:tcPr>
          <w:p>
            <w:pPr>
              <w:ind w:left="640"/>
              <w:spacing w:after="0"/>
              <w:rPr>
                <w:sz w:val="20"/>
                <w:szCs w:val="20"/>
                <w:color w:val="auto"/>
              </w:rPr>
            </w:pPr>
            <w:r>
              <w:rPr>
                <w:rFonts w:ascii="Arial" w:cs="Arial" w:eastAsia="Arial" w:hAnsi="Arial"/>
                <w:sz w:val="14"/>
                <w:szCs w:val="14"/>
                <w:color w:val="auto"/>
              </w:rPr>
              <w:t>Gain on asset disposition</w:t>
            </w: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960" w:type="dxa"/>
            <w:vAlign w:val="bottom"/>
          </w:tcPr>
          <w:p>
            <w:pPr>
              <w:ind w:left="640"/>
              <w:spacing w:after="0"/>
              <w:rPr>
                <w:sz w:val="20"/>
                <w:szCs w:val="20"/>
                <w:color w:val="auto"/>
              </w:rPr>
            </w:pPr>
            <w:r>
              <w:rPr>
                <w:rFonts w:ascii="Arial" w:cs="Arial" w:eastAsia="Arial" w:hAnsi="Arial"/>
                <w:sz w:val="14"/>
                <w:szCs w:val="14"/>
                <w:color w:val="auto"/>
              </w:rPr>
              <w:t>Impairment of goodwill</w:t>
            </w:r>
          </w:p>
        </w:tc>
        <w:tc>
          <w:tcPr>
            <w:tcW w:w="102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3,403</w:t>
            </w:r>
          </w:p>
        </w:tc>
      </w:tr>
      <w:tr>
        <w:trPr>
          <w:trHeight w:val="185"/>
        </w:trPr>
        <w:tc>
          <w:tcPr>
            <w:tcW w:w="7960" w:type="dxa"/>
            <w:vAlign w:val="bottom"/>
            <w:shd w:val="clear" w:color="auto" w:fill="CCEEFF"/>
          </w:tcPr>
          <w:p>
            <w:pPr>
              <w:ind w:left="640"/>
              <w:spacing w:after="0"/>
              <w:rPr>
                <w:sz w:val="20"/>
                <w:szCs w:val="20"/>
                <w:color w:val="auto"/>
              </w:rPr>
            </w:pPr>
            <w:r>
              <w:rPr>
                <w:rFonts w:ascii="Arial" w:cs="Arial" w:eastAsia="Arial" w:hAnsi="Arial"/>
                <w:sz w:val="14"/>
                <w:szCs w:val="14"/>
                <w:color w:val="auto"/>
              </w:rPr>
              <w:t>Currency translation adjustment reclassification</w:t>
            </w:r>
          </w:p>
        </w:tc>
        <w:tc>
          <w:tcPr>
            <w:tcW w:w="10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4,193</w:t>
            </w:r>
          </w:p>
        </w:tc>
      </w:tr>
      <w:tr>
        <w:trPr>
          <w:trHeight w:val="180"/>
        </w:trPr>
        <w:tc>
          <w:tcPr>
            <w:tcW w:w="7960" w:type="dxa"/>
            <w:vAlign w:val="bottom"/>
          </w:tcPr>
          <w:p>
            <w:pPr>
              <w:ind w:left="340"/>
              <w:spacing w:after="0"/>
              <w:rPr>
                <w:sz w:val="20"/>
                <w:szCs w:val="20"/>
                <w:color w:val="auto"/>
              </w:rPr>
            </w:pPr>
            <w:r>
              <w:rPr>
                <w:rFonts w:ascii="Arial" w:cs="Arial" w:eastAsia="Arial" w:hAnsi="Arial"/>
                <w:sz w:val="14"/>
                <w:szCs w:val="14"/>
                <w:color w:val="auto"/>
              </w:rPr>
              <w:t>Change in operating assets and liabilities:</w:t>
            </w: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5"/>
        </w:trPr>
        <w:tc>
          <w:tcPr>
            <w:tcW w:w="7960" w:type="dxa"/>
            <w:vAlign w:val="bottom"/>
            <w:shd w:val="clear" w:color="auto" w:fill="CCEEFF"/>
          </w:tcPr>
          <w:p>
            <w:pPr>
              <w:ind w:left="640"/>
              <w:spacing w:after="0"/>
              <w:rPr>
                <w:sz w:val="20"/>
                <w:szCs w:val="20"/>
                <w:color w:val="auto"/>
              </w:rPr>
            </w:pPr>
            <w:r>
              <w:rPr>
                <w:rFonts w:ascii="Arial" w:cs="Arial" w:eastAsia="Arial" w:hAnsi="Arial"/>
                <w:sz w:val="14"/>
                <w:szCs w:val="14"/>
                <w:color w:val="auto"/>
              </w:rPr>
              <w:t>Net (purchases) sales of trading securities</w:t>
            </w: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11,191</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(11,891)</w:t>
            </w:r>
          </w:p>
        </w:tc>
      </w:tr>
      <w:tr>
        <w:trPr>
          <w:trHeight w:val="180"/>
        </w:trPr>
        <w:tc>
          <w:tcPr>
            <w:tcW w:w="7960" w:type="dxa"/>
            <w:vAlign w:val="bottom"/>
          </w:tcPr>
          <w:p>
            <w:pPr>
              <w:ind w:left="640"/>
              <w:spacing w:after="0"/>
              <w:rPr>
                <w:sz w:val="20"/>
                <w:szCs w:val="20"/>
                <w:color w:val="auto"/>
              </w:rPr>
            </w:pPr>
            <w:r>
              <w:rPr>
                <w:rFonts w:ascii="Arial" w:cs="Arial" w:eastAsia="Arial" w:hAnsi="Arial"/>
                <w:sz w:val="14"/>
                <w:szCs w:val="14"/>
                <w:color w:val="auto"/>
              </w:rPr>
              <w:t>Accounts receivable</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3,634</w:t>
            </w:r>
          </w:p>
        </w:tc>
      </w:tr>
      <w:tr>
        <w:trPr>
          <w:trHeight w:val="185"/>
        </w:trPr>
        <w:tc>
          <w:tcPr>
            <w:tcW w:w="7960" w:type="dxa"/>
            <w:vAlign w:val="bottom"/>
            <w:shd w:val="clear" w:color="auto" w:fill="CCEEFF"/>
          </w:tcPr>
          <w:p>
            <w:pPr>
              <w:ind w:left="640"/>
              <w:spacing w:after="0"/>
              <w:rPr>
                <w:sz w:val="20"/>
                <w:szCs w:val="20"/>
                <w:color w:val="auto"/>
              </w:rPr>
            </w:pPr>
            <w:r>
              <w:rPr>
                <w:rFonts w:ascii="Arial" w:cs="Arial" w:eastAsia="Arial" w:hAnsi="Arial"/>
                <w:sz w:val="14"/>
                <w:szCs w:val="14"/>
                <w:color w:val="auto"/>
              </w:rPr>
              <w:t>Other current assets</w:t>
            </w: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r>
      <w:tr>
        <w:trPr>
          <w:trHeight w:val="180"/>
        </w:trPr>
        <w:tc>
          <w:tcPr>
            <w:tcW w:w="7960" w:type="dxa"/>
            <w:vAlign w:val="bottom"/>
          </w:tcPr>
          <w:p>
            <w:pPr>
              <w:ind w:left="640"/>
              <w:spacing w:after="0"/>
              <w:rPr>
                <w:sz w:val="20"/>
                <w:szCs w:val="20"/>
                <w:color w:val="auto"/>
              </w:rPr>
            </w:pPr>
            <w:r>
              <w:rPr>
                <w:rFonts w:ascii="Arial" w:cs="Arial" w:eastAsia="Arial" w:hAnsi="Arial"/>
                <w:sz w:val="14"/>
                <w:szCs w:val="14"/>
                <w:color w:val="auto"/>
              </w:rPr>
              <w:t>Accounts payable and accrued liabilities</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1,149</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185"/>
        </w:trPr>
        <w:tc>
          <w:tcPr>
            <w:tcW w:w="7960" w:type="dxa"/>
            <w:vAlign w:val="bottom"/>
            <w:shd w:val="clear" w:color="auto" w:fill="CCEEFF"/>
          </w:tcPr>
          <w:p>
            <w:pPr>
              <w:ind w:left="640"/>
              <w:spacing w:after="0"/>
              <w:rPr>
                <w:sz w:val="20"/>
                <w:szCs w:val="20"/>
                <w:color w:val="auto"/>
              </w:rPr>
            </w:pPr>
            <w:r>
              <w:rPr>
                <w:rFonts w:ascii="Arial" w:cs="Arial" w:eastAsia="Arial" w:hAnsi="Arial"/>
                <w:sz w:val="14"/>
                <w:szCs w:val="14"/>
                <w:color w:val="auto"/>
              </w:rPr>
              <w:t>Compensation and benefits payable</w:t>
            </w: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(3,769)</w:t>
            </w:r>
          </w:p>
        </w:tc>
      </w:tr>
      <w:tr>
        <w:trPr>
          <w:trHeight w:val="180"/>
        </w:trPr>
        <w:tc>
          <w:tcPr>
            <w:tcW w:w="7960" w:type="dxa"/>
            <w:vAlign w:val="bottom"/>
          </w:tcPr>
          <w:p>
            <w:pPr>
              <w:ind w:left="640"/>
              <w:spacing w:after="0"/>
              <w:rPr>
                <w:sz w:val="20"/>
                <w:szCs w:val="20"/>
                <w:color w:val="auto"/>
              </w:rPr>
            </w:pPr>
            <w:r>
              <w:rPr>
                <w:rFonts w:ascii="Arial" w:cs="Arial" w:eastAsia="Arial" w:hAnsi="Arial"/>
                <w:sz w:val="14"/>
                <w:szCs w:val="14"/>
                <w:color w:val="auto"/>
              </w:rPr>
              <w:t>Income taxes payable</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2,191</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492</w:t>
            </w:r>
          </w:p>
        </w:tc>
      </w:tr>
      <w:tr>
        <w:trPr>
          <w:trHeight w:val="185"/>
        </w:trPr>
        <w:tc>
          <w:tcPr>
            <w:tcW w:w="7960" w:type="dxa"/>
            <w:vAlign w:val="bottom"/>
            <w:shd w:val="clear" w:color="auto" w:fill="CCEEFF"/>
          </w:tcPr>
          <w:p>
            <w:pPr>
              <w:ind w:left="640"/>
              <w:spacing w:after="0"/>
              <w:rPr>
                <w:sz w:val="20"/>
                <w:szCs w:val="20"/>
                <w:color w:val="auto"/>
              </w:rPr>
            </w:pPr>
            <w:r>
              <w:rPr>
                <w:rFonts w:ascii="Arial" w:cs="Arial" w:eastAsia="Arial" w:hAnsi="Arial"/>
                <w:sz w:val="14"/>
                <w:szCs w:val="14"/>
                <w:color w:val="auto"/>
              </w:rPr>
              <w:t>Other liabilities</w:t>
            </w:r>
          </w:p>
        </w:tc>
        <w:tc>
          <w:tcPr>
            <w:tcW w:w="10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(1,195)</w:t>
            </w:r>
          </w:p>
        </w:tc>
        <w:tc>
          <w:tcPr>
            <w:tcW w:w="12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(1,174)</w:t>
            </w:r>
          </w:p>
        </w:tc>
      </w:tr>
      <w:tr>
        <w:trPr>
          <w:trHeight w:val="173"/>
        </w:trPr>
        <w:tc>
          <w:tcPr>
            <w:tcW w:w="7960" w:type="dxa"/>
            <w:vAlign w:val="bottom"/>
            <w:tcBorders>
              <w:bottom w:val="single" w:sz="8" w:color="CCEEFF"/>
            </w:tcBorders>
          </w:tcPr>
          <w:p>
            <w:pPr>
              <w:ind w:left="840"/>
              <w:spacing w:after="0" w:line="158" w:lineRule="exact"/>
              <w:rPr>
                <w:sz w:val="20"/>
                <w:szCs w:val="20"/>
                <w:color w:val="auto"/>
              </w:rPr>
            </w:pPr>
            <w:r>
              <w:rPr>
                <w:rFonts w:ascii="Arial" w:cs="Arial" w:eastAsia="Arial" w:hAnsi="Arial"/>
                <w:sz w:val="14"/>
                <w:szCs w:val="14"/>
                <w:color w:val="auto"/>
              </w:rPr>
              <w:t>Net cash (used in) provided by operating activities</w:t>
            </w: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21,060</w:t>
            </w: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(7,082)</w:t>
            </w:r>
          </w:p>
        </w:tc>
      </w:tr>
      <w:tr>
        <w:trPr>
          <w:trHeight w:val="165"/>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180"/>
        </w:trPr>
        <w:tc>
          <w:tcPr>
            <w:tcW w:w="7960" w:type="dxa"/>
            <w:vAlign w:val="bottom"/>
          </w:tcPr>
          <w:p>
            <w:pPr>
              <w:ind w:left="340"/>
              <w:spacing w:after="0"/>
              <w:rPr>
                <w:sz w:val="20"/>
                <w:szCs w:val="20"/>
                <w:color w:val="auto"/>
              </w:rPr>
            </w:pPr>
            <w:r>
              <w:rPr>
                <w:rFonts w:ascii="Arial" w:cs="Arial" w:eastAsia="Arial" w:hAnsi="Arial"/>
                <w:sz w:val="14"/>
                <w:szCs w:val="14"/>
                <w:color w:val="auto"/>
              </w:rPr>
              <w:t>Sale of investments</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9,258</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79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Sale of property and equipment</w:t>
            </w: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960" w:type="dxa"/>
            <w:vAlign w:val="bottom"/>
          </w:tcPr>
          <w:p>
            <w:pPr>
              <w:ind w:left="340"/>
              <w:spacing w:after="0"/>
              <w:rPr>
                <w:sz w:val="20"/>
                <w:szCs w:val="20"/>
                <w:color w:val="auto"/>
              </w:rPr>
            </w:pPr>
            <w:r>
              <w:rPr>
                <w:rFonts w:ascii="Arial" w:cs="Arial" w:eastAsia="Arial" w:hAnsi="Arial"/>
                <w:sz w:val="14"/>
                <w:szCs w:val="14"/>
                <w:color w:val="auto"/>
              </w:rPr>
              <w:t>Purchase of property and equipment</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185"/>
        </w:trPr>
        <w:tc>
          <w:tcPr>
            <w:tcW w:w="79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Purchase of investments</w:t>
            </w:r>
          </w:p>
        </w:tc>
        <w:tc>
          <w:tcPr>
            <w:tcW w:w="10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3"/>
        </w:trPr>
        <w:tc>
          <w:tcPr>
            <w:tcW w:w="7960" w:type="dxa"/>
            <w:vAlign w:val="bottom"/>
            <w:tcBorders>
              <w:bottom w:val="single" w:sz="8" w:color="CCEEFF"/>
            </w:tcBorders>
          </w:tcPr>
          <w:p>
            <w:pPr>
              <w:ind w:left="840"/>
              <w:spacing w:after="0" w:line="158" w:lineRule="exact"/>
              <w:rPr>
                <w:sz w:val="20"/>
                <w:szCs w:val="20"/>
                <w:color w:val="auto"/>
              </w:rPr>
            </w:pPr>
            <w:r>
              <w:rPr>
                <w:rFonts w:ascii="Arial" w:cs="Arial" w:eastAsia="Arial" w:hAnsi="Arial"/>
                <w:sz w:val="14"/>
                <w:szCs w:val="14"/>
                <w:color w:val="auto"/>
              </w:rPr>
              <w:t>Net cash provided by (used in) investing activities</w:t>
            </w: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9,630</w:t>
            </w: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r>
      <w:tr>
        <w:trPr>
          <w:trHeight w:val="165"/>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180"/>
        </w:trPr>
        <w:tc>
          <w:tcPr>
            <w:tcW w:w="7960" w:type="dxa"/>
            <w:vAlign w:val="bottom"/>
          </w:tcPr>
          <w:p>
            <w:pPr>
              <w:ind w:left="340"/>
              <w:spacing w:after="0"/>
              <w:rPr>
                <w:sz w:val="20"/>
                <w:szCs w:val="20"/>
                <w:color w:val="auto"/>
              </w:rPr>
            </w:pPr>
            <w:r>
              <w:rPr>
                <w:rFonts w:ascii="Arial" w:cs="Arial" w:eastAsia="Arial" w:hAnsi="Arial"/>
                <w:sz w:val="14"/>
                <w:szCs w:val="14"/>
                <w:color w:val="auto"/>
              </w:rPr>
              <w:t>Purchases of treasury stock</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(2,164)</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1"/>
              </w:rPr>
              <w:t>(12,952)</w:t>
            </w:r>
          </w:p>
        </w:tc>
      </w:tr>
      <w:tr>
        <w:trPr>
          <w:trHeight w:val="185"/>
        </w:trPr>
        <w:tc>
          <w:tcPr>
            <w:tcW w:w="79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Purchase of treasury stock under employee stock plans</w:t>
            </w:r>
          </w:p>
        </w:tc>
        <w:tc>
          <w:tcPr>
            <w:tcW w:w="10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w:t>
            </w:r>
          </w:p>
        </w:tc>
      </w:tr>
      <w:tr>
        <w:trPr>
          <w:trHeight w:val="180"/>
        </w:trPr>
        <w:tc>
          <w:tcPr>
            <w:tcW w:w="7960" w:type="dxa"/>
            <w:vAlign w:val="bottom"/>
          </w:tcPr>
          <w:p>
            <w:pPr>
              <w:ind w:left="340"/>
              <w:spacing w:after="0"/>
              <w:rPr>
                <w:sz w:val="20"/>
                <w:szCs w:val="20"/>
                <w:color w:val="auto"/>
              </w:rPr>
            </w:pPr>
            <w:r>
              <w:rPr>
                <w:rFonts w:ascii="Arial" w:cs="Arial" w:eastAsia="Arial" w:hAnsi="Arial"/>
                <w:sz w:val="14"/>
                <w:szCs w:val="14"/>
                <w:color w:val="auto"/>
              </w:rPr>
              <w:t>Restricted stock returned for payment of taxes</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(884)</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(1,120)</w:t>
            </w:r>
          </w:p>
        </w:tc>
      </w:tr>
      <w:tr>
        <w:trPr>
          <w:trHeight w:val="185"/>
        </w:trPr>
        <w:tc>
          <w:tcPr>
            <w:tcW w:w="79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Cash dividends paid</w:t>
            </w:r>
          </w:p>
        </w:tc>
        <w:tc>
          <w:tcPr>
            <w:tcW w:w="10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(22,125)</w:t>
            </w:r>
          </w:p>
        </w:tc>
        <w:tc>
          <w:tcPr>
            <w:tcW w:w="12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(11,043)</w:t>
            </w:r>
          </w:p>
        </w:tc>
      </w:tr>
      <w:tr>
        <w:trPr>
          <w:trHeight w:val="173"/>
        </w:trPr>
        <w:tc>
          <w:tcPr>
            <w:tcW w:w="7960" w:type="dxa"/>
            <w:vAlign w:val="bottom"/>
            <w:tcBorders>
              <w:bottom w:val="single" w:sz="8" w:color="CCEEFF"/>
            </w:tcBorders>
          </w:tcPr>
          <w:p>
            <w:pPr>
              <w:ind w:left="840"/>
              <w:spacing w:after="0" w:line="158" w:lineRule="exact"/>
              <w:rPr>
                <w:sz w:val="20"/>
                <w:szCs w:val="20"/>
                <w:color w:val="auto"/>
              </w:rPr>
            </w:pPr>
            <w:r>
              <w:rPr>
                <w:rFonts w:ascii="Arial" w:cs="Arial" w:eastAsia="Arial" w:hAnsi="Arial"/>
                <w:sz w:val="14"/>
                <w:szCs w:val="14"/>
                <w:color w:val="auto"/>
              </w:rPr>
              <w:t>Net cash used in financing activities</w:t>
            </w: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(25,173)</w:t>
            </w: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(25,812)</w:t>
            </w:r>
          </w:p>
        </w:tc>
      </w:tr>
      <w:tr>
        <w:trPr>
          <w:trHeight w:val="178"/>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currency rate changes on cash</w:t>
            </w:r>
          </w:p>
        </w:tc>
        <w:tc>
          <w:tcPr>
            <w:tcW w:w="10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(1,187)</w:t>
            </w:r>
          </w:p>
        </w:tc>
      </w:tr>
      <w:tr>
        <w:trPr>
          <w:trHeight w:val="173"/>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CHANGE IN CASH AND CASH EQUIVALENTS</w:t>
            </w: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5,445</w:t>
            </w: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(34,173)</w:t>
            </w:r>
          </w:p>
        </w:tc>
      </w:tr>
      <w:tr>
        <w:trPr>
          <w:trHeight w:val="178"/>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10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13,016</w:t>
            </w:r>
          </w:p>
        </w:tc>
        <w:tc>
          <w:tcPr>
            <w:tcW w:w="12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49,766</w:t>
            </w:r>
          </w:p>
        </w:tc>
      </w:tr>
      <w:tr>
        <w:trPr>
          <w:trHeight w:val="150"/>
        </w:trPr>
        <w:tc>
          <w:tcPr>
            <w:tcW w:w="7960" w:type="dxa"/>
            <w:vAlign w:val="bottom"/>
          </w:tcPr>
          <w:p>
            <w:pPr>
              <w:ind w:left="20"/>
              <w:spacing w:after="0" w:line="150" w:lineRule="exact"/>
              <w:rPr>
                <w:sz w:val="20"/>
                <w:szCs w:val="20"/>
                <w:color w:val="auto"/>
              </w:rPr>
            </w:pPr>
            <w:r>
              <w:rPr>
                <w:rFonts w:ascii="Arial" w:cs="Arial" w:eastAsia="Arial" w:hAnsi="Arial"/>
                <w:sz w:val="14"/>
                <w:szCs w:val="14"/>
                <w:color w:val="auto"/>
              </w:rPr>
              <w:t>Cash and cash equivalents, end of period</w:t>
            </w:r>
          </w:p>
        </w:tc>
        <w:tc>
          <w:tcPr>
            <w:tcW w:w="1020" w:type="dxa"/>
            <w:vAlign w:val="bottom"/>
            <w:tcBorders>
              <w:bottom w:val="single" w:sz="8" w:color="auto"/>
            </w:tcBorders>
          </w:tcPr>
          <w:p>
            <w:pPr>
              <w:jc w:val="right"/>
              <w:ind w:right="869"/>
              <w:spacing w:after="0" w:line="150"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18,461</w:t>
            </w:r>
          </w:p>
        </w:tc>
        <w:tc>
          <w:tcPr>
            <w:tcW w:w="120" w:type="dxa"/>
            <w:vAlign w:val="bottom"/>
          </w:tcPr>
          <w:p>
            <w:pPr>
              <w:spacing w:after="0"/>
              <w:rPr>
                <w:sz w:val="13"/>
                <w:szCs w:val="13"/>
                <w:color w:val="auto"/>
              </w:rPr>
            </w:pPr>
          </w:p>
        </w:tc>
        <w:tc>
          <w:tcPr>
            <w:tcW w:w="1060" w:type="dxa"/>
            <w:vAlign w:val="bottom"/>
            <w:tcBorders>
              <w:bottom w:val="single" w:sz="8" w:color="auto"/>
            </w:tcBorders>
          </w:tcPr>
          <w:p>
            <w:pPr>
              <w:jc w:val="right"/>
              <w:ind w:right="909"/>
              <w:spacing w:after="0" w:line="150"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15,593</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49"/>
        </w:trPr>
        <w:tc>
          <w:tcPr>
            <w:tcW w:w="79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SUPPLEMENTAL CASH FLOW INFORMATION:</w:t>
            </w: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80"/>
        </w:trPr>
        <w:tc>
          <w:tcPr>
            <w:tcW w:w="7960" w:type="dxa"/>
            <w:vAlign w:val="bottom"/>
          </w:tcPr>
          <w:p>
            <w:pPr>
              <w:ind w:left="340"/>
              <w:spacing w:after="0"/>
              <w:rPr>
                <w:sz w:val="20"/>
                <w:szCs w:val="20"/>
                <w:color w:val="auto"/>
              </w:rPr>
            </w:pPr>
            <w:r>
              <w:rPr>
                <w:rFonts w:ascii="Arial" w:cs="Arial" w:eastAsia="Arial" w:hAnsi="Arial"/>
                <w:sz w:val="14"/>
                <w:szCs w:val="14"/>
                <w:color w:val="auto"/>
              </w:rPr>
              <w:t>Cash paid during the period for income taxes</w:t>
            </w:r>
          </w:p>
        </w:tc>
        <w:tc>
          <w:tcPr>
            <w:tcW w:w="1020" w:type="dxa"/>
            <w:vAlign w:val="bottom"/>
          </w:tcPr>
          <w:p>
            <w:pPr>
              <w:jc w:val="right"/>
              <w:ind w:right="869"/>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506</w:t>
            </w:r>
          </w:p>
        </w:tc>
        <w:tc>
          <w:tcPr>
            <w:tcW w:w="120" w:type="dxa"/>
            <w:vAlign w:val="bottom"/>
          </w:tcPr>
          <w:p>
            <w:pPr>
              <w:spacing w:after="0"/>
              <w:rPr>
                <w:sz w:val="15"/>
                <w:szCs w:val="15"/>
                <w:color w:val="auto"/>
              </w:rPr>
            </w:pPr>
          </w:p>
        </w:tc>
        <w:tc>
          <w:tcPr>
            <w:tcW w:w="1060" w:type="dxa"/>
            <w:vAlign w:val="bottom"/>
          </w:tcPr>
          <w:p>
            <w:pPr>
              <w:jc w:val="right"/>
              <w:ind w:right="909"/>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1,294</w:t>
            </w:r>
          </w:p>
        </w:tc>
      </w:tr>
      <w:tr>
        <w:trPr>
          <w:trHeight w:val="185"/>
        </w:trPr>
        <w:tc>
          <w:tcPr>
            <w:tcW w:w="79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Accrued dividends</w:t>
            </w:r>
          </w:p>
        </w:tc>
        <w:tc>
          <w:tcPr>
            <w:tcW w:w="1020" w:type="dxa"/>
            <w:vAlign w:val="bottom"/>
            <w:shd w:val="clear" w:color="auto" w:fill="CCEEFF"/>
          </w:tcPr>
          <w:p>
            <w:pPr>
              <w:jc w:val="right"/>
              <w:ind w:right="869"/>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0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1,448</w:t>
            </w:r>
          </w:p>
        </w:tc>
      </w:tr>
      <w:tr>
        <w:trPr>
          <w:trHeight w:val="188"/>
        </w:trPr>
        <w:tc>
          <w:tcPr>
            <w:tcW w:w="7960" w:type="dxa"/>
            <w:vAlign w:val="bottom"/>
          </w:tcPr>
          <w:p>
            <w:pPr>
              <w:ind w:left="340"/>
              <w:spacing w:after="0"/>
              <w:rPr>
                <w:sz w:val="20"/>
                <w:szCs w:val="20"/>
                <w:color w:val="auto"/>
              </w:rPr>
            </w:pPr>
            <w:r>
              <w:rPr>
                <w:rFonts w:ascii="Arial" w:cs="Arial" w:eastAsia="Arial" w:hAnsi="Arial"/>
                <w:sz w:val="15"/>
                <w:szCs w:val="15"/>
                <w:color w:val="auto"/>
              </w:rPr>
              <w:t>Accrued purchases of treasury stock</w:t>
            </w:r>
          </w:p>
        </w:tc>
        <w:tc>
          <w:tcPr>
            <w:tcW w:w="1020" w:type="dxa"/>
            <w:vAlign w:val="bottom"/>
          </w:tcPr>
          <w:p>
            <w:pPr>
              <w:jc w:val="right"/>
              <w:ind w:right="869"/>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36</w:t>
            </w:r>
          </w:p>
        </w:tc>
        <w:tc>
          <w:tcPr>
            <w:tcW w:w="120" w:type="dxa"/>
            <w:vAlign w:val="bottom"/>
          </w:tcPr>
          <w:p>
            <w:pPr>
              <w:spacing w:after="0"/>
              <w:rPr>
                <w:sz w:val="16"/>
                <w:szCs w:val="16"/>
                <w:color w:val="auto"/>
              </w:rPr>
            </w:pPr>
          </w:p>
        </w:tc>
        <w:tc>
          <w:tcPr>
            <w:tcW w:w="1060" w:type="dxa"/>
            <w:vAlign w:val="bottom"/>
          </w:tcPr>
          <w:p>
            <w:pPr>
              <w:jc w:val="right"/>
              <w:ind w:right="909"/>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bookmarkStart w:id="7" w:name="page8"/>
    <w:bookmarkEnd w:id="7"/>
    <w:p>
      <w:pPr>
        <w:jc w:val="center"/>
        <w:ind w:left="340" w:right="2760"/>
        <w:spacing w:after="0" w:line="287" w:lineRule="auto"/>
        <w:rPr>
          <w:sz w:val="20"/>
          <w:szCs w:val="20"/>
          <w:color w:val="auto"/>
        </w:rPr>
      </w:pPr>
      <w:r>
        <w:rPr>
          <w:rFonts w:ascii="Arial" w:cs="Arial" w:eastAsia="Arial" w:hAnsi="Arial"/>
          <w:sz w:val="17"/>
          <w:szCs w:val="17"/>
          <w:b w:val="1"/>
          <w:bCs w:val="1"/>
          <w:color w:val="auto"/>
        </w:rPr>
        <w:t>WESTWOOD HOLDINGS GROUP, INC. AND SUBSIDIARIES 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THE BUSINESS</w:t>
      </w:r>
    </w:p>
    <w:p>
      <w:pPr>
        <w:spacing w:after="0" w:line="124" w:lineRule="exact"/>
        <w:rPr>
          <w:sz w:val="20"/>
          <w:szCs w:val="20"/>
          <w:color w:val="auto"/>
        </w:rPr>
      </w:pPr>
    </w:p>
    <w:p>
      <w:pPr>
        <w:ind w:right="180" w:firstLine="470"/>
        <w:spacing w:after="0" w:line="264" w:lineRule="auto"/>
        <w:rPr>
          <w:sz w:val="20"/>
          <w:szCs w:val="20"/>
          <w:color w:val="auto"/>
        </w:rPr>
      </w:pPr>
      <w:r>
        <w:rPr>
          <w:rFonts w:ascii="Arial" w:cs="Arial" w:eastAsia="Arial" w:hAnsi="Arial"/>
          <w:sz w:val="17"/>
          <w:szCs w:val="17"/>
          <w:color w:val="auto"/>
        </w:rPr>
        <w:t>Westwood Holdings Group, Inc. (“Westwood”, “the Company”, “we”, “us” or “our”) was incorporated under the laws of the State of Delaware on December 12, 2001. Westwood manages investment assets and provides services for its clients through its wholly-owned subsidiaries, Westwood Management Corp. and Westwood Advisors, L.L.C. (referred to hereinafter together as “Westwood Management”), Westwood Trust and Westwood International Advisors Inc. (“Westwood International Advisors”). On July 27, 2020, Westwood’s Board of Directors approved the liquidation of Westwood International Advisors, which occurred effective September 30, 2020.</w:t>
      </w:r>
    </w:p>
    <w:p>
      <w:pPr>
        <w:spacing w:after="0" w:line="74" w:lineRule="exact"/>
        <w:rPr>
          <w:sz w:val="20"/>
          <w:szCs w:val="20"/>
          <w:color w:val="auto"/>
        </w:rPr>
      </w:pPr>
    </w:p>
    <w:p>
      <w:pPr>
        <w:ind w:right="20" w:firstLine="470"/>
        <w:spacing w:after="0" w:line="282" w:lineRule="auto"/>
        <w:rPr>
          <w:sz w:val="20"/>
          <w:szCs w:val="20"/>
          <w:color w:val="auto"/>
        </w:rPr>
      </w:pPr>
      <w:r>
        <w:rPr>
          <w:rFonts w:ascii="Arial" w:cs="Arial" w:eastAsia="Arial" w:hAnsi="Arial"/>
          <w:sz w:val="16"/>
          <w:szCs w:val="16"/>
          <w:color w:val="auto"/>
        </w:rPr>
        <w:t>Westwood Management provides investment advisory services to institutional clients, a family of mutual funds called the Westwood Funds®, other mutual funds, individual investors and clients of Westwood Trust. Prior to its liquidation, our wholly owned subsidiary, Westwood International Advisors, provided investment advisory services to institutional clients, the Westwood Funds®, other mutual funds, the UCITS Fund (which was liquidated in June 2020), individual investors and clients of Westwood Trust. Westwood Trust provides trust and custodial services and participation in self-sponsored common trust funds (“CTFs”) to institutions and high net worth individuals. Revenue is largely dependent on the total value and composition of assets under management ("AUM"). Accordingly, fluctuations in financial markets and in the composition of AUM impact our revenues and results of operations.</w:t>
      </w:r>
    </w:p>
    <w:p>
      <w:pPr>
        <w:spacing w:after="0" w:line="60" w:lineRule="exact"/>
        <w:rPr>
          <w:sz w:val="20"/>
          <w:szCs w:val="20"/>
          <w:color w:val="auto"/>
        </w:rPr>
      </w:pPr>
    </w:p>
    <w:p>
      <w:pPr>
        <w:ind w:right="420" w:firstLine="470"/>
        <w:spacing w:after="0" w:line="287" w:lineRule="auto"/>
        <w:rPr>
          <w:sz w:val="20"/>
          <w:szCs w:val="20"/>
          <w:color w:val="auto"/>
        </w:rPr>
      </w:pPr>
      <w:r>
        <w:rPr>
          <w:rFonts w:ascii="Arial" w:cs="Arial" w:eastAsia="Arial" w:hAnsi="Arial"/>
          <w:sz w:val="17"/>
          <w:szCs w:val="17"/>
          <w:color w:val="auto"/>
        </w:rPr>
        <w:t>Westwood Management is registered with the Securities and Exchange Commission ("SEC") as an investment advisor ("RIA") under the Investment Advisers Act of 1940. Westwood Trust is chartered and regulated by the Texas Department of Banking.</w:t>
      </w:r>
    </w:p>
    <w:p>
      <w:pPr>
        <w:spacing w:after="0" w:line="49" w:lineRule="exact"/>
        <w:rPr>
          <w:sz w:val="20"/>
          <w:szCs w:val="20"/>
          <w:color w:val="auto"/>
        </w:rPr>
      </w:pPr>
    </w:p>
    <w:p>
      <w:pPr>
        <w:ind w:left="40" w:right="6520" w:hanging="36"/>
        <w:spacing w:after="0" w:line="388" w:lineRule="auto"/>
        <w:tabs>
          <w:tab w:leader="none" w:pos="179"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Basis of Presentation</w:t>
      </w:r>
    </w:p>
    <w:p>
      <w:pPr>
        <w:spacing w:after="0" w:line="1" w:lineRule="exact"/>
        <w:rPr>
          <w:sz w:val="20"/>
          <w:szCs w:val="20"/>
          <w:color w:val="auto"/>
        </w:rPr>
      </w:pPr>
    </w:p>
    <w:p>
      <w:pPr>
        <w:ind w:firstLine="470"/>
        <w:spacing w:after="0" w:line="307" w:lineRule="auto"/>
        <w:rPr>
          <w:sz w:val="20"/>
          <w:szCs w:val="20"/>
          <w:color w:val="auto"/>
        </w:rPr>
      </w:pPr>
      <w:r>
        <w:rPr>
          <w:rFonts w:ascii="Arial" w:cs="Arial" w:eastAsia="Arial" w:hAnsi="Arial"/>
          <w:sz w:val="15"/>
          <w:szCs w:val="15"/>
          <w:color w:val="auto"/>
        </w:rPr>
        <w:t>The accompanying Condensed Consolidated Financial Statements are unaudited and are presented in accordance with the requirements for quarterly reports on Form 10-Q and consequently do not include all of the information and footnote disclosures required by accounting principles generally accepted in the United States of America (“GAAP”). The Company’s Condensed Consolidated Financial Statements reflect all adjustments (consisting only of normal recurring adjustments) necessary in the opinion of management to present fairly our interim financial position and results of operations and cash flows for the periods presented. The accompanying Condensed Consolidated Financial Statements are presented in accordance with GAAP and the rules and regulations of the SEC.</w:t>
      </w:r>
    </w:p>
    <w:p>
      <w:pPr>
        <w:spacing w:after="0" w:line="46" w:lineRule="exact"/>
        <w:rPr>
          <w:sz w:val="20"/>
          <w:szCs w:val="20"/>
          <w:color w:val="auto"/>
        </w:rPr>
      </w:pPr>
    </w:p>
    <w:p>
      <w:pPr>
        <w:ind w:right="160" w:firstLine="470"/>
        <w:spacing w:after="0" w:line="264" w:lineRule="auto"/>
        <w:rPr>
          <w:sz w:val="20"/>
          <w:szCs w:val="20"/>
          <w:color w:val="auto"/>
        </w:rPr>
      </w:pPr>
      <w:r>
        <w:rPr>
          <w:rFonts w:ascii="Arial" w:cs="Arial" w:eastAsia="Arial" w:hAnsi="Arial"/>
          <w:sz w:val="17"/>
          <w:szCs w:val="17"/>
          <w:color w:val="auto"/>
        </w:rPr>
        <w:t>The accompanying unaudited Condensed Consolidated Financial Statements should be read in conjunction with our Consolidated Financial Statements, and notes thereto, included in our Annual Report on Form 10-K for the year ended December 31, 2020, filed with the SEC. Operating results for the periods in these Condensed Consolidated Financial Statements are not necessarily indicative of results for any future period. The accompanying Condensed Consolidated Financial Statements include the accounts of Westwood and its subsidiaries. All intercompany accounts and transactions have been eliminated upon consolidation.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Adopted</w:t>
      </w:r>
    </w:p>
    <w:p>
      <w:pPr>
        <w:spacing w:after="0" w:line="118" w:lineRule="exact"/>
        <w:rPr>
          <w:sz w:val="20"/>
          <w:szCs w:val="20"/>
          <w:color w:val="auto"/>
        </w:rPr>
      </w:pPr>
    </w:p>
    <w:p>
      <w:pPr>
        <w:ind w:right="40" w:firstLine="470"/>
        <w:spacing w:after="0" w:line="266"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which is intended to simplify various aspects of the income tax accounting guidance, including interim-period accounting for enacted changes in tax law. ASU 2019-12 is effective for public business entities for fiscal years beginning after December 15, 2020, including interim periods within those fiscal years, and early adoption is permitted. We adopted this ASU as of January 1, 2021 and it did not have a significant effect on our Condensed Consolidated Financial Statements.</w:t>
      </w:r>
    </w:p>
    <w:p>
      <w:pPr>
        <w:spacing w:after="0" w:line="67" w:lineRule="exact"/>
        <w:rPr>
          <w:sz w:val="20"/>
          <w:szCs w:val="20"/>
          <w:color w:val="auto"/>
        </w:rPr>
      </w:pPr>
    </w:p>
    <w:p>
      <w:pPr>
        <w:ind w:right="9660" w:firstLine="4"/>
        <w:spacing w:after="0" w:line="440" w:lineRule="auto"/>
        <w:tabs>
          <w:tab w:leader="none" w:pos="174"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REVENUE Revenue Recognition</w:t>
      </w:r>
    </w:p>
    <w:p>
      <w:pPr>
        <w:ind w:right="180" w:firstLine="470"/>
        <w:spacing w:after="0" w:line="272" w:lineRule="auto"/>
        <w:rPr>
          <w:sz w:val="20"/>
          <w:szCs w:val="20"/>
          <w:color w:val="auto"/>
        </w:rPr>
      </w:pPr>
      <w:r>
        <w:rPr>
          <w:rFonts w:ascii="Arial" w:cs="Arial" w:eastAsia="Arial" w:hAnsi="Arial"/>
          <w:sz w:val="17"/>
          <w:szCs w:val="17"/>
          <w:color w:val="auto"/>
        </w:rPr>
        <w:t>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satisfies over time or at a point in time. We derive our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61" w:right="339" w:bottom="1440" w:gutter="0" w:footer="0" w:header="0"/>
        </w:sectPr>
      </w:pPr>
    </w:p>
    <w:bookmarkStart w:id="8" w:name="page9"/>
    <w:bookmarkEnd w:id="8"/>
    <w:p>
      <w:pPr>
        <w:jc w:val="center"/>
        <w:ind w:left="380" w:right="2140"/>
        <w:spacing w:after="0" w:line="287" w:lineRule="auto"/>
        <w:rPr>
          <w:sz w:val="20"/>
          <w:szCs w:val="20"/>
          <w:color w:val="auto"/>
        </w:rPr>
      </w:pPr>
      <w:r>
        <w:rPr>
          <w:rFonts w:ascii="Arial" w:cs="Arial" w:eastAsia="Arial" w:hAnsi="Arial"/>
          <w:sz w:val="17"/>
          <w:szCs w:val="17"/>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8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revenues from investment advisory fees, trust fees and other sources of revenues. Advisory and trust fees are calculated based on a percentage of AUM and the performance obligation is realized over the current calendar quarter. Once clients receive our investment advisory services we have an enforceable right to payment.</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Advisory Fee Revenues</w:t>
      </w:r>
    </w:p>
    <w:p>
      <w:pPr>
        <w:spacing w:after="0" w:line="124" w:lineRule="exact"/>
        <w:rPr>
          <w:sz w:val="20"/>
          <w:szCs w:val="20"/>
          <w:color w:val="auto"/>
        </w:rPr>
      </w:pPr>
    </w:p>
    <w:p>
      <w:pPr>
        <w:ind w:firstLine="470"/>
        <w:spacing w:after="0" w:line="261" w:lineRule="auto"/>
        <w:rPr>
          <w:sz w:val="20"/>
          <w:szCs w:val="20"/>
          <w:color w:val="auto"/>
        </w:rPr>
      </w:pPr>
      <w:r>
        <w:rPr>
          <w:rFonts w:ascii="Arial" w:cs="Arial" w:eastAsia="Arial" w:hAnsi="Arial"/>
          <w:sz w:val="17"/>
          <w:szCs w:val="17"/>
          <w:color w:val="auto"/>
        </w:rPr>
        <w:t>Our advisory fees are generated by Westwood Management and Westwood International Advisors (prior to its closure, effective September 30, 2020), which manage client accounts under investment advisory and sub-advisory agreements. Advisory fees are typically calculated based on a percentage of AUM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Since our advance paying clients' billing periods coincide with the calendar quarter to which such payments relate, revenue is recognized within the quarter and our Condensed Consolidated Financial Statements contain no deferred advisory fee revenues. Advisory clients typically consist of institutional and mutual fund accounts.</w:t>
      </w:r>
    </w:p>
    <w:p>
      <w:pPr>
        <w:spacing w:after="0" w:line="78" w:lineRule="exact"/>
        <w:rPr>
          <w:sz w:val="20"/>
          <w:szCs w:val="20"/>
          <w:color w:val="auto"/>
        </w:rPr>
      </w:pPr>
    </w:p>
    <w:p>
      <w:pPr>
        <w:jc w:val="both"/>
        <w:ind w:right="100" w:firstLine="470"/>
        <w:spacing w:after="0" w:line="313" w:lineRule="auto"/>
        <w:rPr>
          <w:sz w:val="20"/>
          <w:szCs w:val="20"/>
          <w:color w:val="auto"/>
        </w:rPr>
      </w:pPr>
      <w:r>
        <w:rPr>
          <w:rFonts w:ascii="Arial" w:cs="Arial" w:eastAsia="Arial" w:hAnsi="Arial"/>
          <w:sz w:val="15"/>
          <w:szCs w:val="15"/>
          <w:color w:val="auto"/>
        </w:rPr>
        <w:t>Institutional investors include separate accounts of (i)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the UCITS Fund and collective investment trusts; and (iv) managed account relationships with brokerage firms and other registered investment advisors that offer Westwood products to their customers. The UCITS Fund was liquidated in June 2020.</w:t>
      </w:r>
    </w:p>
    <w:p>
      <w:pPr>
        <w:spacing w:after="0" w:line="40" w:lineRule="exact"/>
        <w:rPr>
          <w:sz w:val="20"/>
          <w:szCs w:val="20"/>
          <w:color w:val="auto"/>
        </w:rPr>
      </w:pPr>
    </w:p>
    <w:p>
      <w:pPr>
        <w:jc w:val="both"/>
        <w:ind w:right="100" w:firstLine="470"/>
        <w:spacing w:after="0" w:line="287" w:lineRule="auto"/>
        <w:rPr>
          <w:sz w:val="20"/>
          <w:szCs w:val="20"/>
          <w:color w:val="auto"/>
        </w:rPr>
      </w:pPr>
      <w:r>
        <w:rPr>
          <w:rFonts w:ascii="Arial" w:cs="Arial" w:eastAsia="Arial" w:hAnsi="Arial"/>
          <w:sz w:val="17"/>
          <w:szCs w:val="17"/>
          <w:color w:val="auto"/>
        </w:rPr>
        <w:t>Mutual funds include the Westwood Funds®, a family of mutual funds for which Westwood Management serves as advisor. These funds are available to individual investors, as well as offered as part of our investment strategies for institutional investors and wealth management accounts.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Arrangements with Performance-Based Obligations</w:t>
      </w:r>
    </w:p>
    <w:p>
      <w:pPr>
        <w:spacing w:after="0" w:line="124" w:lineRule="exact"/>
        <w:rPr>
          <w:sz w:val="20"/>
          <w:szCs w:val="20"/>
          <w:color w:val="auto"/>
        </w:rPr>
      </w:pPr>
    </w:p>
    <w:p>
      <w:pPr>
        <w:jc w:val="both"/>
        <w:ind w:right="80" w:firstLine="470"/>
        <w:spacing w:after="0" w:line="272" w:lineRule="auto"/>
        <w:rPr>
          <w:sz w:val="20"/>
          <w:szCs w:val="20"/>
          <w:color w:val="auto"/>
        </w:rPr>
      </w:pPr>
      <w:r>
        <w:rPr>
          <w:rFonts w:ascii="Arial" w:cs="Arial" w:eastAsia="Arial" w:hAnsi="Arial"/>
          <w:sz w:val="17"/>
          <w:szCs w:val="17"/>
          <w:color w:val="auto"/>
        </w:rPr>
        <w:t>A limited number of our advisory clients have a contractual performance-based fee component in their contracts, which generates additional revenues if we outperform a specified index over a specific period of time, and a limited number of our mutual fund offerings have fees that generate additional revenues if we outperform specified indices over specific periods of time.</w:t>
      </w:r>
    </w:p>
    <w:p>
      <w:pPr>
        <w:spacing w:after="0" w:line="66" w:lineRule="exact"/>
        <w:rPr>
          <w:sz w:val="20"/>
          <w:szCs w:val="20"/>
          <w:color w:val="auto"/>
        </w:rPr>
      </w:pPr>
    </w:p>
    <w:p>
      <w:pPr>
        <w:ind w:right="240" w:firstLine="470"/>
        <w:spacing w:after="0" w:line="272" w:lineRule="auto"/>
        <w:rPr>
          <w:sz w:val="20"/>
          <w:szCs w:val="20"/>
          <w:color w:val="auto"/>
        </w:rPr>
      </w:pPr>
      <w:r>
        <w:rPr>
          <w:rFonts w:ascii="Arial" w:cs="Arial" w:eastAsia="Arial" w:hAnsi="Arial"/>
          <w:sz w:val="17"/>
          <w:szCs w:val="17"/>
          <w:color w:val="auto"/>
        </w:rPr>
        <w:t>The revenue is based on future market performance and is subject to factors outside our control. We cannot conclude that a significant reversal in the cumulative amount of revenue recognized will not occur during the measurement period, and therefore the revenue is recorded at the end of the measurement period when the performance obligation has been satisfied.</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Trust Fee Revenues</w:t>
      </w:r>
    </w:p>
    <w:p>
      <w:pPr>
        <w:spacing w:after="0" w:line="124" w:lineRule="exact"/>
        <w:rPr>
          <w:sz w:val="20"/>
          <w:szCs w:val="20"/>
          <w:color w:val="auto"/>
        </w:rPr>
      </w:pPr>
    </w:p>
    <w:p>
      <w:pPr>
        <w:ind w:right="60" w:firstLine="470"/>
        <w:spacing w:after="0" w:line="264" w:lineRule="auto"/>
        <w:rPr>
          <w:sz w:val="20"/>
          <w:szCs w:val="20"/>
          <w:color w:val="auto"/>
        </w:rPr>
      </w:pPr>
      <w:r>
        <w:rPr>
          <w:rFonts w:ascii="Arial" w:cs="Arial" w:eastAsia="Arial" w:hAnsi="Arial"/>
          <w:sz w:val="17"/>
          <w:szCs w:val="17"/>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The fees for most of our trust clients are calculated quarterly in arrears, based on a daily average of AUM for the quarter, or monthly, based on the month-end value of AUM. Since billing periods for most of Westwood Trust’s clients coincide with the calendar quarter, revenue is fully recognized within the quarter and our Condensed Consolidated Financial Statements contain no deferred advisory fee revenues.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Disaggregated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jc w:val="center"/>
        <w:ind w:left="340" w:right="2180"/>
        <w:spacing w:after="0" w:line="287" w:lineRule="auto"/>
        <w:rPr>
          <w:sz w:val="20"/>
          <w:szCs w:val="20"/>
          <w:color w:val="auto"/>
        </w:rPr>
      </w:pPr>
      <w:r>
        <w:rPr>
          <w:rFonts w:ascii="Arial" w:cs="Arial" w:eastAsia="Arial" w:hAnsi="Arial"/>
          <w:sz w:val="17"/>
          <w:szCs w:val="17"/>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83" w:lineRule="exact"/>
        <w:rPr>
          <w:sz w:val="20"/>
          <w:szCs w:val="20"/>
          <w:color w:val="auto"/>
        </w:rPr>
      </w:pPr>
    </w:p>
    <w:p>
      <w:pPr>
        <w:ind w:right="20" w:firstLine="470"/>
        <w:spacing w:after="0" w:line="279" w:lineRule="auto"/>
        <w:rPr>
          <w:sz w:val="20"/>
          <w:szCs w:val="20"/>
          <w:color w:val="auto"/>
        </w:rPr>
      </w:pPr>
      <w:r>
        <w:rPr>
          <w:rFonts w:ascii="Arial" w:cs="Arial" w:eastAsia="Arial" w:hAnsi="Arial"/>
          <w:sz w:val="17"/>
          <w:szCs w:val="17"/>
          <w:color w:val="auto"/>
        </w:rPr>
        <w:t>Sales taxes are excluded from revenues. The following table presents our revenue disaggregated by account type (in thousands). In 2021, we recast certain prior year revenues related to performance-based fees.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Pr>
          <w:p>
            <w:pPr>
              <w:spacing w:after="0"/>
              <w:rPr>
                <w:sz w:val="17"/>
                <w:szCs w:val="17"/>
                <w:color w:val="auto"/>
              </w:rPr>
            </w:pPr>
          </w:p>
        </w:tc>
        <w:tc>
          <w:tcPr>
            <w:tcW w:w="34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02"/>
        </w:trPr>
        <w:tc>
          <w:tcPr>
            <w:tcW w:w="3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2020</w:t>
            </w:r>
          </w:p>
        </w:tc>
      </w:tr>
      <w:tr>
        <w:trPr>
          <w:trHeight w:val="205"/>
        </w:trPr>
        <w:tc>
          <w:tcPr>
            <w:tcW w:w="31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Advisory Fees:</w:t>
            </w:r>
          </w:p>
        </w:tc>
        <w:tc>
          <w:tcPr>
            <w:tcW w:w="1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2"/>
        </w:trPr>
        <w:tc>
          <w:tcPr>
            <w:tcW w:w="3100" w:type="dxa"/>
            <w:vAlign w:val="bottom"/>
          </w:tcPr>
          <w:p>
            <w:pPr>
              <w:ind w:left="800"/>
              <w:spacing w:after="0"/>
              <w:rPr>
                <w:sz w:val="20"/>
                <w:szCs w:val="20"/>
                <w:color w:val="auto"/>
              </w:rPr>
            </w:pPr>
            <w:r>
              <w:rPr>
                <w:rFonts w:ascii="Arial" w:cs="Arial" w:eastAsia="Arial" w:hAnsi="Arial"/>
                <w:sz w:val="17"/>
                <w:szCs w:val="17"/>
                <w:color w:val="auto"/>
              </w:rPr>
              <w:t>Institutional</w:t>
            </w:r>
          </w:p>
        </w:tc>
        <w:tc>
          <w:tcPr>
            <w:tcW w:w="1380" w:type="dxa"/>
            <w:vAlign w:val="bottom"/>
          </w:tcPr>
          <w:p>
            <w:pPr>
              <w:jc w:val="right"/>
              <w:ind w:right="717"/>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7,579</w:t>
            </w:r>
          </w:p>
        </w:tc>
        <w:tc>
          <w:tcPr>
            <w:tcW w:w="100" w:type="dxa"/>
            <w:vAlign w:val="bottom"/>
          </w:tcPr>
          <w:p>
            <w:pPr>
              <w:spacing w:after="0"/>
              <w:rPr>
                <w:sz w:val="19"/>
                <w:szCs w:val="19"/>
                <w:color w:val="auto"/>
              </w:rPr>
            </w:pPr>
          </w:p>
        </w:tc>
        <w:tc>
          <w:tcPr>
            <w:tcW w:w="1400" w:type="dxa"/>
            <w:vAlign w:val="bottom"/>
          </w:tcPr>
          <w:p>
            <w:pPr>
              <w:jc w:val="right"/>
              <w:ind w:right="736"/>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6,897</w:t>
            </w:r>
          </w:p>
        </w:tc>
        <w:tc>
          <w:tcPr>
            <w:tcW w:w="100" w:type="dxa"/>
            <w:vAlign w:val="bottom"/>
          </w:tcPr>
          <w:p>
            <w:pPr>
              <w:spacing w:after="0"/>
              <w:rPr>
                <w:sz w:val="19"/>
                <w:szCs w:val="19"/>
                <w:color w:val="auto"/>
              </w:rPr>
            </w:pPr>
          </w:p>
        </w:tc>
        <w:tc>
          <w:tcPr>
            <w:tcW w:w="82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23,662</w:t>
            </w:r>
          </w:p>
        </w:tc>
        <w:tc>
          <w:tcPr>
            <w:tcW w:w="100" w:type="dxa"/>
            <w:vAlign w:val="bottom"/>
          </w:tcPr>
          <w:p>
            <w:pPr>
              <w:spacing w:after="0"/>
              <w:rPr>
                <w:sz w:val="19"/>
                <w:szCs w:val="19"/>
                <w:color w:val="auto"/>
              </w:rPr>
            </w:pPr>
          </w:p>
        </w:tc>
        <w:tc>
          <w:tcPr>
            <w:tcW w:w="82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22,349</w:t>
            </w:r>
          </w:p>
        </w:tc>
      </w:tr>
      <w:tr>
        <w:trPr>
          <w:trHeight w:val="222"/>
        </w:trPr>
        <w:tc>
          <w:tcPr>
            <w:tcW w:w="3100" w:type="dxa"/>
            <w:vAlign w:val="bottom"/>
            <w:shd w:val="clear" w:color="auto" w:fill="CCEEFF"/>
          </w:tcPr>
          <w:p>
            <w:pPr>
              <w:ind w:left="800"/>
              <w:spacing w:after="0"/>
              <w:rPr>
                <w:sz w:val="20"/>
                <w:szCs w:val="20"/>
                <w:color w:val="auto"/>
              </w:rPr>
            </w:pPr>
            <w:r>
              <w:rPr>
                <w:rFonts w:ascii="Arial" w:cs="Arial" w:eastAsia="Arial" w:hAnsi="Arial"/>
                <w:sz w:val="17"/>
                <w:szCs w:val="17"/>
                <w:color w:val="auto"/>
              </w:rPr>
              <w:t>Mutual Funds</w:t>
            </w:r>
          </w:p>
        </w:tc>
        <w:tc>
          <w:tcPr>
            <w:tcW w:w="13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11,648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8,005</w:t>
            </w:r>
          </w:p>
        </w:tc>
      </w:tr>
      <w:tr>
        <w:trPr>
          <w:trHeight w:val="222"/>
        </w:trPr>
        <w:tc>
          <w:tcPr>
            <w:tcW w:w="3100" w:type="dxa"/>
            <w:vAlign w:val="bottom"/>
          </w:tcPr>
          <w:p>
            <w:pPr>
              <w:ind w:left="800"/>
              <w:spacing w:after="0"/>
              <w:rPr>
                <w:sz w:val="20"/>
                <w:szCs w:val="20"/>
                <w:color w:val="auto"/>
              </w:rPr>
            </w:pPr>
            <w:r>
              <w:rPr>
                <w:rFonts w:ascii="Arial" w:cs="Arial" w:eastAsia="Arial" w:hAnsi="Arial"/>
                <w:sz w:val="17"/>
                <w:szCs w:val="17"/>
                <w:color w:val="auto"/>
              </w:rPr>
              <w:t>Wealth Management</w:t>
            </w:r>
          </w:p>
        </w:tc>
        <w:tc>
          <w:tcPr>
            <w:tcW w:w="1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495</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331</w:t>
            </w:r>
          </w:p>
        </w:tc>
      </w:tr>
      <w:tr>
        <w:trPr>
          <w:trHeight w:val="222"/>
        </w:trPr>
        <w:tc>
          <w:tcPr>
            <w:tcW w:w="31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Trust Fees</w:t>
            </w:r>
          </w:p>
        </w:tc>
        <w:tc>
          <w:tcPr>
            <w:tcW w:w="13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18,233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17,472</w:t>
            </w:r>
          </w:p>
        </w:tc>
      </w:tr>
      <w:tr>
        <w:trPr>
          <w:trHeight w:val="222"/>
        </w:trPr>
        <w:tc>
          <w:tcPr>
            <w:tcW w:w="3100" w:type="dxa"/>
            <w:vAlign w:val="bottom"/>
            <w:tcBorders>
              <w:bottom w:val="single" w:sz="8" w:color="CCEEFF"/>
            </w:tcBorders>
          </w:tcPr>
          <w:p>
            <w:pPr>
              <w:ind w:left="500"/>
              <w:spacing w:after="0"/>
              <w:rPr>
                <w:sz w:val="20"/>
                <w:szCs w:val="20"/>
                <w:color w:val="auto"/>
              </w:rPr>
            </w:pPr>
            <w:r>
              <w:rPr>
                <w:rFonts w:ascii="Arial" w:cs="Arial" w:eastAsia="Arial" w:hAnsi="Arial"/>
                <w:sz w:val="17"/>
                <w:szCs w:val="17"/>
                <w:color w:val="auto"/>
              </w:rPr>
              <w:t>Other, net</w:t>
            </w:r>
          </w:p>
        </w:tc>
        <w:tc>
          <w:tcPr>
            <w:tcW w:w="1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w:t>
            </w:r>
          </w:p>
        </w:tc>
      </w:tr>
      <w:tr>
        <w:trPr>
          <w:trHeight w:val="240"/>
        </w:trPr>
        <w:tc>
          <w:tcPr>
            <w:tcW w:w="3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7"/>
                <w:szCs w:val="17"/>
                <w:color w:val="auto"/>
              </w:rPr>
              <w:t>Total revenues</w:t>
            </w:r>
          </w:p>
        </w:tc>
        <w:tc>
          <w:tcPr>
            <w:tcW w:w="1380" w:type="dxa"/>
            <w:vAlign w:val="bottom"/>
            <w:tcBorders>
              <w:bottom w:val="single" w:sz="8" w:color="auto"/>
            </w:tcBorders>
            <w:shd w:val="clear" w:color="auto" w:fill="CCEEFF"/>
          </w:tcPr>
          <w:p>
            <w:pPr>
              <w:jc w:val="right"/>
              <w:ind w:right="717"/>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17,860</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15,454</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53,663</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47,998</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jc w:val="both"/>
        <w:ind w:right="20" w:firstLine="470"/>
        <w:spacing w:after="0" w:line="287" w:lineRule="auto"/>
        <w:rPr>
          <w:sz w:val="20"/>
          <w:szCs w:val="20"/>
          <w:color w:val="auto"/>
        </w:rPr>
      </w:pPr>
      <w:r>
        <w:rPr>
          <w:rFonts w:ascii="Arial" w:cs="Arial" w:eastAsia="Arial" w:hAnsi="Arial"/>
          <w:sz w:val="17"/>
          <w:szCs w:val="17"/>
          <w:color w:val="auto"/>
        </w:rPr>
        <w:t>We serve clients primarily in the United States, as well as in certain international locations. The following table presents our revenue disaggregated by our clients' geographical locations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Three Months Ended September 30, 2021</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rPr>
              <w:t>Advisory</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Trust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w w:val="89"/>
              </w:rPr>
              <w:t>Performance-based</w:t>
            </w: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Total</w:t>
            </w:r>
          </w:p>
        </w:tc>
      </w:tr>
      <w:tr>
        <w:trPr>
          <w:trHeight w:val="218"/>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Canada</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r>
      <w:tr>
        <w:trPr>
          <w:trHeight w:val="222"/>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United States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5"/>
              </w:rPr>
              <w:t>(103)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17,567</w:t>
            </w:r>
          </w:p>
        </w:tc>
      </w:tr>
      <w:tr>
        <w:trPr>
          <w:trHeight w:val="235"/>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12,011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w w:val="95"/>
              </w:rPr>
              <w:t>(103)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17,860</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387"/>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Three Months Ended September 30, 2020</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rPr>
              <w:t>Advisory</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Trust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w w:val="89"/>
              </w:rPr>
              <w:t>Performance-based</w:t>
            </w:r>
          </w:p>
        </w:tc>
        <w:tc>
          <w:tcPr>
            <w:tcW w:w="12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Total</w:t>
            </w:r>
          </w:p>
        </w:tc>
      </w:tr>
      <w:tr>
        <w:trPr>
          <w:trHeight w:val="218"/>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Canada</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w:t>
            </w:r>
          </w:p>
        </w:tc>
      </w:tr>
      <w:tr>
        <w:trPr>
          <w:trHeight w:val="222"/>
        </w:trPr>
        <w:tc>
          <w:tcPr>
            <w:tcW w:w="4020" w:type="dxa"/>
            <w:vAlign w:val="bottom"/>
          </w:tcPr>
          <w:p>
            <w:pPr>
              <w:ind w:left="20"/>
              <w:spacing w:after="0"/>
              <w:rPr>
                <w:sz w:val="20"/>
                <w:szCs w:val="20"/>
                <w:color w:val="auto"/>
              </w:rPr>
            </w:pPr>
            <w:r>
              <w:rPr>
                <w:rFonts w:ascii="Arial" w:cs="Arial" w:eastAsia="Arial" w:hAnsi="Arial"/>
                <w:sz w:val="17"/>
                <w:szCs w:val="17"/>
                <w:color w:val="auto"/>
              </w:rPr>
              <w:t>Europe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708</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1,183</w:t>
            </w:r>
          </w:p>
        </w:tc>
      </w:tr>
      <w:tr>
        <w:trPr>
          <w:trHeight w:val="222"/>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70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13,934</w:t>
            </w:r>
          </w:p>
        </w:tc>
      </w:tr>
      <w:tr>
        <w:trPr>
          <w:trHeight w:val="215"/>
        </w:trPr>
        <w:tc>
          <w:tcPr>
            <w:tcW w:w="4020" w:type="dxa"/>
            <w:vAlign w:val="bottom"/>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8,847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5,787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ind w:right="656"/>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15,454</w:t>
            </w:r>
          </w:p>
        </w:tc>
      </w:tr>
      <w:tr>
        <w:trPr>
          <w:trHeight w:val="20"/>
        </w:trPr>
        <w:tc>
          <w:tcPr>
            <w:tcW w:w="4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59"/>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Nine Months Ended September 30, 2021</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rPr>
              <w:t>Advisory</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Trust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w w:val="89"/>
              </w:rPr>
              <w:t>Performance-based</w:t>
            </w:r>
          </w:p>
        </w:tc>
        <w:tc>
          <w:tcPr>
            <w:tcW w:w="12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Total</w:t>
            </w:r>
          </w:p>
        </w:tc>
      </w:tr>
      <w:tr>
        <w:trPr>
          <w:trHeight w:val="218"/>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Canada</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w:t>
            </w:r>
          </w:p>
        </w:tc>
      </w:tr>
      <w:tr>
        <w:trPr>
          <w:trHeight w:val="222"/>
        </w:trPr>
        <w:tc>
          <w:tcPr>
            <w:tcW w:w="4020" w:type="dxa"/>
            <w:vAlign w:val="bottom"/>
          </w:tcPr>
          <w:p>
            <w:pPr>
              <w:ind w:left="20"/>
              <w:spacing w:after="0"/>
              <w:rPr>
                <w:sz w:val="20"/>
                <w:szCs w:val="20"/>
                <w:color w:val="auto"/>
              </w:rPr>
            </w:pPr>
            <w:r>
              <w:rPr>
                <w:rFonts w:ascii="Arial" w:cs="Arial" w:eastAsia="Arial" w:hAnsi="Arial"/>
                <w:sz w:val="17"/>
                <w:szCs w:val="17"/>
                <w:color w:val="auto"/>
              </w:rPr>
              <w:t>Europe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262</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900</w:t>
            </w:r>
          </w:p>
        </w:tc>
      </w:tr>
      <w:tr>
        <w:trPr>
          <w:trHeight w:val="222"/>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32,352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1,687</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5"/>
              </w:rPr>
              <w:t>(375)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51,897</w:t>
            </w:r>
          </w:p>
        </w:tc>
      </w:tr>
      <w:tr>
        <w:trPr>
          <w:trHeight w:val="215"/>
        </w:trPr>
        <w:tc>
          <w:tcPr>
            <w:tcW w:w="4020" w:type="dxa"/>
            <w:vAlign w:val="bottom"/>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33,856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18,233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1,949</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ind w:right="656"/>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5"/>
              </w:rPr>
              <w:t>(375)</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53,663</w:t>
            </w:r>
          </w:p>
        </w:tc>
      </w:tr>
      <w:tr>
        <w:trPr>
          <w:trHeight w:val="20"/>
        </w:trPr>
        <w:tc>
          <w:tcPr>
            <w:tcW w:w="4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20"/>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Nine Months Ended September 30, 2020</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rPr>
              <w:t>Advisory</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Trust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w w:val="89"/>
              </w:rPr>
              <w:t>Performance-based</w:t>
            </w:r>
          </w:p>
        </w:tc>
        <w:tc>
          <w:tcPr>
            <w:tcW w:w="12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Total</w:t>
            </w:r>
          </w:p>
        </w:tc>
      </w:tr>
      <w:tr>
        <w:trPr>
          <w:trHeight w:val="218"/>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Asia</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w:t>
            </w:r>
          </w:p>
        </w:tc>
      </w:tr>
      <w:tr>
        <w:trPr>
          <w:trHeight w:val="222"/>
        </w:trPr>
        <w:tc>
          <w:tcPr>
            <w:tcW w:w="4020" w:type="dxa"/>
            <w:vAlign w:val="bottom"/>
          </w:tcPr>
          <w:p>
            <w:pPr>
              <w:ind w:left="20"/>
              <w:spacing w:after="0"/>
              <w:rPr>
                <w:sz w:val="20"/>
                <w:szCs w:val="20"/>
                <w:color w:val="auto"/>
              </w:rPr>
            </w:pPr>
            <w:r>
              <w:rPr>
                <w:rFonts w:ascii="Arial" w:cs="Arial" w:eastAsia="Arial" w:hAnsi="Arial"/>
                <w:sz w:val="17"/>
                <w:szCs w:val="17"/>
                <w:color w:val="auto"/>
              </w:rPr>
              <w:t>Canada</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1,234</w:t>
            </w:r>
          </w:p>
        </w:tc>
      </w:tr>
      <w:tr>
        <w:trPr>
          <w:trHeight w:val="222"/>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Europe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803</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3,102</w:t>
            </w:r>
          </w:p>
        </w:tc>
      </w:tr>
      <w:tr>
        <w:trPr>
          <w:trHeight w:val="222"/>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United States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682</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5"/>
              </w:rPr>
              <w:t>(159)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42,933</w:t>
            </w:r>
          </w:p>
        </w:tc>
      </w:tr>
      <w:tr>
        <w:trPr>
          <w:trHeight w:val="24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29,277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17,395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1,485</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5"/>
              </w:rPr>
              <w:t>(159)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47,998</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SEGMENT REPORTING</w:t>
      </w:r>
    </w:p>
    <w:p>
      <w:pPr>
        <w:spacing w:after="0" w:line="176" w:lineRule="exact"/>
        <w:rPr>
          <w:sz w:val="20"/>
          <w:szCs w:val="20"/>
          <w:color w:val="auto"/>
        </w:rPr>
      </w:pPr>
    </w:p>
    <w:p>
      <w:pPr>
        <w:ind w:right="380" w:firstLine="470"/>
        <w:spacing w:after="0" w:line="313" w:lineRule="auto"/>
        <w:rPr>
          <w:sz w:val="20"/>
          <w:szCs w:val="20"/>
          <w:color w:val="auto"/>
        </w:rPr>
      </w:pPr>
      <w:r>
        <w:rPr>
          <w:rFonts w:ascii="Arial" w:cs="Arial" w:eastAsia="Arial" w:hAnsi="Arial"/>
          <w:sz w:val="15"/>
          <w:szCs w:val="15"/>
          <w:color w:val="auto"/>
        </w:rPr>
        <w:t>We operate two segments: Advisory and Trust. These segments are managed separately based on the types of products and services offered and their related client bases. The Company’s segment information is prepared on the same basis that management reviews the financial information for operational decision-making purposes. The Company’s chief operating decision maker, our Chief Executive Officer, evaluates the performance of our segments based primarily on fee revenues and Economic Earnings. Westwood Holdings Group, Inc., the parent company of Advisory and Trust, does not have revenues and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left="340" w:right="2180"/>
        <w:spacing w:after="0" w:line="287" w:lineRule="auto"/>
        <w:rPr>
          <w:sz w:val="20"/>
          <w:szCs w:val="20"/>
          <w:color w:val="auto"/>
        </w:rPr>
      </w:pPr>
      <w:r>
        <w:rPr>
          <w:rFonts w:ascii="Arial" w:cs="Arial" w:eastAsia="Arial" w:hAnsi="Arial"/>
          <w:sz w:val="17"/>
          <w:szCs w:val="17"/>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is the entity in which we record typical holding company expenses including employee compensation and benefits for holding company 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Advisory</w:t>
      </w:r>
    </w:p>
    <w:p>
      <w:pPr>
        <w:spacing w:after="0" w:line="124" w:lineRule="exact"/>
        <w:rPr>
          <w:sz w:val="20"/>
          <w:szCs w:val="20"/>
          <w:color w:val="auto"/>
        </w:rPr>
      </w:pPr>
    </w:p>
    <w:p>
      <w:pPr>
        <w:ind w:right="260" w:firstLine="470"/>
        <w:spacing w:after="0" w:line="284" w:lineRule="auto"/>
        <w:rPr>
          <w:sz w:val="20"/>
          <w:szCs w:val="20"/>
          <w:color w:val="auto"/>
        </w:rPr>
      </w:pPr>
      <w:r>
        <w:rPr>
          <w:rFonts w:ascii="Arial" w:cs="Arial" w:eastAsia="Arial" w:hAnsi="Arial"/>
          <w:sz w:val="16"/>
          <w:szCs w:val="16"/>
          <w:color w:val="auto"/>
        </w:rPr>
        <w:t>Our Advisory segment provides investment advisory services to (i) corporate pension and profit sharing plans, public employee retirement funds, Taft-Hartley plans, endowments, foundations and individuals, (ii) subadvisory relationships where Westwood provides investment management services to the Westwood Funds®, funds offered by other financial institutions and funds offered by our Trust segment and (iii) pooled investment vehicles, including the UCITS Fund (liquidated in June 2020) and collective investment trusts. Westwood Management and Westwood International Advisors (prior to its closure, effective September 30, 2020), which provide investment advisory services to similar clients, are included in our Advisory segment.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Trust</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Trust provides trust and custodial services and participation in common trust funds that it sponsors to institutions and high net worth individuals.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Westwood Trust is included in our Trust segment.</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20" w:type="dxa"/>
            <w:vAlign w:val="bottom"/>
            <w:vMerge w:val="restart"/>
          </w:tcPr>
          <w:p>
            <w:pPr>
              <w:ind w:left="500"/>
              <w:spacing w:after="0"/>
              <w:rPr>
                <w:sz w:val="20"/>
                <w:szCs w:val="20"/>
                <w:color w:val="auto"/>
              </w:rPr>
            </w:pPr>
            <w:r>
              <w:rPr>
                <w:rFonts w:ascii="Arial" w:cs="Arial" w:eastAsia="Arial" w:hAnsi="Arial"/>
                <w:sz w:val="16"/>
                <w:szCs w:val="16"/>
                <w:i w:val="1"/>
                <w:iCs w:val="1"/>
                <w:color w:val="auto"/>
              </w:rPr>
              <w:t>(in thousands)</w:t>
            </w:r>
          </w:p>
        </w:tc>
        <w:tc>
          <w:tcPr>
            <w:tcW w:w="680" w:type="dxa"/>
            <w:vAlign w:val="bottom"/>
          </w:tcPr>
          <w:p>
            <w:pPr>
              <w:spacing w:after="0"/>
              <w:rPr>
                <w:sz w:val="16"/>
                <w:szCs w:val="16"/>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Advisory</w:t>
            </w:r>
          </w:p>
        </w:tc>
        <w:tc>
          <w:tcPr>
            <w:tcW w:w="720" w:type="dxa"/>
            <w:vAlign w:val="bottom"/>
          </w:tcPr>
          <w:p>
            <w:pPr>
              <w:spacing w:after="0"/>
              <w:rPr>
                <w:sz w:val="16"/>
                <w:szCs w:val="16"/>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Trust</w:t>
            </w:r>
          </w:p>
        </w:tc>
        <w:tc>
          <w:tcPr>
            <w:tcW w:w="64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Westwood</w:t>
            </w:r>
          </w:p>
        </w:tc>
        <w:tc>
          <w:tcPr>
            <w:tcW w:w="640" w:type="dxa"/>
            <w:vAlign w:val="bottom"/>
          </w:tcPr>
          <w:p>
            <w:pPr>
              <w:spacing w:after="0"/>
              <w:rPr>
                <w:sz w:val="16"/>
                <w:szCs w:val="16"/>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Eliminations</w:t>
            </w:r>
          </w:p>
        </w:tc>
        <w:tc>
          <w:tcPr>
            <w:tcW w:w="620" w:type="dxa"/>
            <w:vAlign w:val="bottom"/>
          </w:tcPr>
          <w:p>
            <w:pPr>
              <w:spacing w:after="0"/>
              <w:rPr>
                <w:sz w:val="16"/>
                <w:szCs w:val="16"/>
                <w:color w:val="auto"/>
              </w:rPr>
            </w:pPr>
          </w:p>
        </w:tc>
        <w:tc>
          <w:tcPr>
            <w:tcW w:w="1100" w:type="dxa"/>
            <w:vAlign w:val="bottom"/>
            <w:vMerge w:val="restart"/>
          </w:tcPr>
          <w:p>
            <w:pPr>
              <w:jc w:val="right"/>
              <w:ind w:right="94"/>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06"/>
        </w:trPr>
        <w:tc>
          <w:tcPr>
            <w:tcW w:w="25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680" w:type="dxa"/>
            <w:vAlign w:val="bottom"/>
            <w:gridSpan w:val="3"/>
          </w:tcPr>
          <w:p>
            <w:pPr>
              <w:ind w:left="500"/>
              <w:spacing w:after="0"/>
              <w:rPr>
                <w:sz w:val="20"/>
                <w:szCs w:val="20"/>
                <w:color w:val="auto"/>
              </w:rPr>
            </w:pPr>
            <w:r>
              <w:rPr>
                <w:rFonts w:ascii="Arial" w:cs="Arial" w:eastAsia="Arial" w:hAnsi="Arial"/>
                <w:sz w:val="16"/>
                <w:szCs w:val="16"/>
                <w:b w:val="1"/>
                <w:bCs w:val="1"/>
                <w:color w:val="auto"/>
              </w:rPr>
              <w:t>Holdings</w:t>
            </w:r>
          </w:p>
        </w:tc>
        <w:tc>
          <w:tcPr>
            <w:tcW w:w="6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520" w:type="dxa"/>
            <w:vAlign w:val="bottom"/>
            <w:tcBorders>
              <w:top w:val="single" w:sz="8" w:color="CCEEFF"/>
            </w:tcBorders>
            <w:shd w:val="clear" w:color="auto" w:fill="CCEEFF"/>
          </w:tcPr>
          <w:p>
            <w:pPr>
              <w:ind w:left="500"/>
              <w:spacing w:after="0" w:line="139" w:lineRule="exact"/>
              <w:rPr>
                <w:sz w:val="20"/>
                <w:szCs w:val="20"/>
                <w:color w:val="auto"/>
              </w:rPr>
            </w:pPr>
            <w:r>
              <w:rPr>
                <w:rFonts w:ascii="Arial" w:cs="Arial" w:eastAsia="Arial" w:hAnsi="Arial"/>
                <w:sz w:val="16"/>
                <w:szCs w:val="16"/>
                <w:b w:val="1"/>
                <w:bCs w:val="1"/>
                <w:color w:val="auto"/>
              </w:rPr>
              <w:t>Three Months Ended</w:t>
            </w:r>
          </w:p>
        </w:tc>
        <w:tc>
          <w:tcPr>
            <w:tcW w:w="6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2021</w:t>
            </w: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520" w:type="dxa"/>
            <w:vAlign w:val="bottom"/>
          </w:tcPr>
          <w:p>
            <w:pPr>
              <w:ind w:left="500"/>
              <w:spacing w:after="0" w:line="160" w:lineRule="exact"/>
              <w:rPr>
                <w:sz w:val="20"/>
                <w:szCs w:val="20"/>
                <w:color w:val="auto"/>
              </w:rPr>
            </w:pPr>
            <w:r>
              <w:rPr>
                <w:rFonts w:ascii="Arial" w:cs="Arial" w:eastAsia="Arial" w:hAnsi="Arial"/>
                <w:sz w:val="16"/>
                <w:szCs w:val="16"/>
                <w:color w:val="auto"/>
              </w:rPr>
              <w:t>Net fee revenues from</w:t>
            </w:r>
          </w:p>
        </w:tc>
        <w:tc>
          <w:tcPr>
            <w:tcW w:w="680" w:type="dxa"/>
            <w:vAlign w:val="bottom"/>
            <w:vMerge w:val="restart"/>
          </w:tcPr>
          <w:p>
            <w:pPr>
              <w:jc w:val="right"/>
              <w:ind w:right="13"/>
              <w:spacing w:after="0"/>
              <w:rPr>
                <w:sz w:val="20"/>
                <w:szCs w:val="20"/>
                <w:color w:val="auto"/>
              </w:rPr>
            </w:pPr>
            <w:r>
              <w:rPr>
                <w:rFonts w:ascii="Arial" w:cs="Arial" w:eastAsia="Arial" w:hAnsi="Arial"/>
                <w:sz w:val="17"/>
                <w:szCs w:val="17"/>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12,011</w:t>
            </w:r>
          </w:p>
        </w:tc>
        <w:tc>
          <w:tcPr>
            <w:tcW w:w="100" w:type="dxa"/>
            <w:vAlign w:val="bottom"/>
          </w:tcPr>
          <w:p>
            <w:pPr>
              <w:spacing w:after="0"/>
              <w:rPr>
                <w:sz w:val="13"/>
                <w:szCs w:val="13"/>
                <w:color w:val="auto"/>
              </w:rPr>
            </w:pPr>
          </w:p>
        </w:tc>
        <w:tc>
          <w:tcPr>
            <w:tcW w:w="720" w:type="dxa"/>
            <w:vAlign w:val="bottom"/>
            <w:vMerge w:val="restart"/>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5,952</w:t>
            </w:r>
          </w:p>
        </w:tc>
        <w:tc>
          <w:tcPr>
            <w:tcW w:w="80" w:type="dxa"/>
            <w:vAlign w:val="bottom"/>
          </w:tcPr>
          <w:p>
            <w:pPr>
              <w:spacing w:after="0"/>
              <w:rPr>
                <w:sz w:val="13"/>
                <w:szCs w:val="13"/>
                <w:color w:val="auto"/>
              </w:rPr>
            </w:pPr>
          </w:p>
        </w:tc>
        <w:tc>
          <w:tcPr>
            <w:tcW w:w="640" w:type="dxa"/>
            <w:vAlign w:val="bottom"/>
            <w:vMerge w:val="restart"/>
          </w:tcPr>
          <w:p>
            <w:pPr>
              <w:ind w:left="500"/>
              <w:spacing w:after="0"/>
              <w:rPr>
                <w:sz w:val="20"/>
                <w:szCs w:val="20"/>
                <w:color w:val="auto"/>
              </w:rPr>
            </w:pPr>
            <w:r>
              <w:rPr>
                <w:rFonts w:ascii="Arial" w:cs="Arial" w:eastAsia="Arial" w:hAnsi="Arial"/>
                <w:sz w:val="17"/>
                <w:szCs w:val="17"/>
                <w:color w:val="auto"/>
              </w:rPr>
              <w: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vMerge w:val="restart"/>
          </w:tcPr>
          <w:p>
            <w:pPr>
              <w:ind w:left="880"/>
              <w:spacing w:after="0"/>
              <w:rPr>
                <w:sz w:val="20"/>
                <w:szCs w:val="20"/>
                <w:color w:val="auto"/>
              </w:rPr>
            </w:pPr>
            <w:r>
              <w:rPr>
                <w:rFonts w:ascii="Arial" w:cs="Arial" w:eastAsia="Arial" w:hAnsi="Arial"/>
                <w:sz w:val="17"/>
                <w:szCs w:val="17"/>
                <w:color w:val="auto"/>
              </w:rPr>
              <w:t>—</w:t>
            </w: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17,963</w:t>
            </w:r>
          </w:p>
        </w:tc>
        <w:tc>
          <w:tcPr>
            <w:tcW w:w="0" w:type="dxa"/>
            <w:vAlign w:val="bottom"/>
          </w:tcPr>
          <w:p>
            <w:pPr>
              <w:spacing w:after="0"/>
              <w:rPr>
                <w:sz w:val="1"/>
                <w:szCs w:val="1"/>
                <w:color w:val="auto"/>
              </w:rPr>
            </w:pPr>
          </w:p>
        </w:tc>
      </w:tr>
      <w:tr>
        <w:trPr>
          <w:trHeight w:val="206"/>
        </w:trPr>
        <w:tc>
          <w:tcPr>
            <w:tcW w:w="2520" w:type="dxa"/>
            <w:vAlign w:val="bottom"/>
          </w:tcPr>
          <w:p>
            <w:pPr>
              <w:ind w:left="20"/>
              <w:spacing w:after="0"/>
              <w:rPr>
                <w:sz w:val="20"/>
                <w:szCs w:val="20"/>
                <w:color w:val="auto"/>
              </w:rPr>
            </w:pPr>
            <w:r>
              <w:rPr>
                <w:rFonts w:ascii="Arial" w:cs="Arial" w:eastAsia="Arial" w:hAnsi="Arial"/>
                <w:sz w:val="16"/>
                <w:szCs w:val="16"/>
                <w:color w:val="auto"/>
              </w:rPr>
              <w:t>external sources</w:t>
            </w:r>
          </w:p>
        </w:tc>
        <w:tc>
          <w:tcPr>
            <w:tcW w:w="6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5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intersegment revenues</w:t>
            </w:r>
          </w:p>
        </w:tc>
        <w:tc>
          <w:tcPr>
            <w:tcW w:w="6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25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Other, net</w:t>
            </w:r>
          </w:p>
        </w:tc>
        <w:tc>
          <w:tcPr>
            <w:tcW w:w="6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35"/>
        </w:trPr>
        <w:tc>
          <w:tcPr>
            <w:tcW w:w="25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revenues</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12,484</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6,045</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17,860</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5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Segment assets</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215,903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57,503</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12,261</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(150,405)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135,262</w:t>
            </w:r>
          </w:p>
        </w:tc>
        <w:tc>
          <w:tcPr>
            <w:tcW w:w="0" w:type="dxa"/>
            <w:vAlign w:val="bottom"/>
          </w:tcPr>
          <w:p>
            <w:pPr>
              <w:spacing w:after="0"/>
              <w:rPr>
                <w:sz w:val="1"/>
                <w:szCs w:val="1"/>
                <w:color w:val="auto"/>
              </w:rPr>
            </w:pPr>
          </w:p>
        </w:tc>
      </w:tr>
      <w:tr>
        <w:trPr>
          <w:trHeight w:val="222"/>
        </w:trPr>
        <w:tc>
          <w:tcPr>
            <w:tcW w:w="2520" w:type="dxa"/>
            <w:vAlign w:val="bottom"/>
          </w:tcPr>
          <w:p>
            <w:pPr>
              <w:ind w:left="500"/>
              <w:spacing w:after="0"/>
              <w:rPr>
                <w:sz w:val="20"/>
                <w:szCs w:val="20"/>
                <w:color w:val="auto"/>
              </w:rPr>
            </w:pPr>
            <w:r>
              <w:rPr>
                <w:rFonts w:ascii="Arial" w:cs="Arial" w:eastAsia="Arial" w:hAnsi="Arial"/>
                <w:sz w:val="16"/>
                <w:szCs w:val="16"/>
                <w:color w:val="auto"/>
              </w:rPr>
              <w:t>Segment goodwill</w:t>
            </w:r>
          </w:p>
        </w:tc>
        <w:tc>
          <w:tcPr>
            <w:tcW w:w="6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16,401</w:t>
            </w:r>
          </w:p>
        </w:tc>
        <w:tc>
          <w:tcPr>
            <w:tcW w:w="80" w:type="dxa"/>
            <w:vAlign w:val="bottom"/>
          </w:tcPr>
          <w:p>
            <w:pPr>
              <w:spacing w:after="0"/>
              <w:rPr>
                <w:sz w:val="19"/>
                <w:szCs w:val="19"/>
                <w:color w:val="auto"/>
              </w:rPr>
            </w:pPr>
          </w:p>
        </w:tc>
        <w:tc>
          <w:tcPr>
            <w:tcW w:w="640" w:type="dxa"/>
            <w:vAlign w:val="bottom"/>
          </w:tcPr>
          <w:p>
            <w:pPr>
              <w:ind w:left="5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16,401</w:t>
            </w:r>
          </w:p>
        </w:tc>
        <w:tc>
          <w:tcPr>
            <w:tcW w:w="0" w:type="dxa"/>
            <w:vAlign w:val="bottom"/>
          </w:tcPr>
          <w:p>
            <w:pPr>
              <w:spacing w:after="0"/>
              <w:rPr>
                <w:sz w:val="1"/>
                <w:szCs w:val="1"/>
                <w:color w:val="auto"/>
              </w:rPr>
            </w:pPr>
          </w:p>
        </w:tc>
      </w:tr>
      <w:tr>
        <w:trPr>
          <w:trHeight w:val="248"/>
        </w:trPr>
        <w:tc>
          <w:tcPr>
            <w:tcW w:w="25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2520" w:type="dxa"/>
            <w:vAlign w:val="bottom"/>
          </w:tcPr>
          <w:p>
            <w:pPr>
              <w:ind w:left="500"/>
              <w:spacing w:after="0" w:line="157" w:lineRule="exact"/>
              <w:rPr>
                <w:sz w:val="20"/>
                <w:szCs w:val="20"/>
                <w:color w:val="auto"/>
              </w:rPr>
            </w:pPr>
            <w:r>
              <w:rPr>
                <w:rFonts w:ascii="Arial" w:cs="Arial" w:eastAsia="Arial" w:hAnsi="Arial"/>
                <w:sz w:val="16"/>
                <w:szCs w:val="16"/>
                <w:b w:val="1"/>
                <w:bCs w:val="1"/>
                <w:color w:val="auto"/>
              </w:rPr>
              <w:t>Three Months Ended</w:t>
            </w:r>
          </w:p>
        </w:tc>
        <w:tc>
          <w:tcPr>
            <w:tcW w:w="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20"/>
              <w:spacing w:after="0"/>
              <w:rPr>
                <w:sz w:val="20"/>
                <w:szCs w:val="20"/>
                <w:color w:val="auto"/>
              </w:rPr>
            </w:pPr>
            <w:r>
              <w:rPr>
                <w:rFonts w:ascii="Arial" w:cs="Arial" w:eastAsia="Arial" w:hAnsi="Arial"/>
                <w:sz w:val="16"/>
                <w:szCs w:val="16"/>
                <w:b w:val="1"/>
                <w:bCs w:val="1"/>
                <w:color w:val="auto"/>
              </w:rPr>
              <w:t>September 30, 2020</w:t>
            </w: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20" w:type="dxa"/>
            <w:vAlign w:val="bottom"/>
            <w:shd w:val="clear" w:color="auto" w:fill="CCEEFF"/>
          </w:tcPr>
          <w:p>
            <w:pPr>
              <w:ind w:left="500"/>
              <w:spacing w:after="0" w:line="162" w:lineRule="exact"/>
              <w:rPr>
                <w:sz w:val="20"/>
                <w:szCs w:val="20"/>
                <w:color w:val="auto"/>
              </w:rPr>
            </w:pPr>
            <w:r>
              <w:rPr>
                <w:rFonts w:ascii="Arial" w:cs="Arial" w:eastAsia="Arial" w:hAnsi="Arial"/>
                <w:sz w:val="16"/>
                <w:szCs w:val="16"/>
                <w:color w:val="auto"/>
              </w:rPr>
              <w:t>Net fee revenues from</w:t>
            </w:r>
          </w:p>
        </w:tc>
        <w:tc>
          <w:tcPr>
            <w:tcW w:w="680" w:type="dxa"/>
            <w:vAlign w:val="bottom"/>
            <w:vMerge w:val="restart"/>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9,560</w:t>
            </w: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5,824</w:t>
            </w:r>
          </w:p>
        </w:tc>
        <w:tc>
          <w:tcPr>
            <w:tcW w:w="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vMerge w:val="restart"/>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15,384</w:t>
            </w:r>
          </w:p>
        </w:tc>
        <w:tc>
          <w:tcPr>
            <w:tcW w:w="0" w:type="dxa"/>
            <w:vAlign w:val="bottom"/>
          </w:tcPr>
          <w:p>
            <w:pPr>
              <w:spacing w:after="0"/>
              <w:rPr>
                <w:sz w:val="1"/>
                <w:szCs w:val="1"/>
                <w:color w:val="auto"/>
              </w:rPr>
            </w:pPr>
          </w:p>
        </w:tc>
      </w:tr>
      <w:tr>
        <w:trPr>
          <w:trHeight w:val="206"/>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external sources</w:t>
            </w:r>
          </w:p>
        </w:tc>
        <w:tc>
          <w:tcPr>
            <w:tcW w:w="68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520" w:type="dxa"/>
            <w:vAlign w:val="bottom"/>
          </w:tcPr>
          <w:p>
            <w:pPr>
              <w:ind w:left="500"/>
              <w:spacing w:after="0"/>
              <w:rPr>
                <w:sz w:val="20"/>
                <w:szCs w:val="20"/>
                <w:color w:val="auto"/>
              </w:rPr>
            </w:pPr>
            <w:r>
              <w:rPr>
                <w:rFonts w:ascii="Arial" w:cs="Arial" w:eastAsia="Arial" w:hAnsi="Arial"/>
                <w:sz w:val="16"/>
                <w:szCs w:val="16"/>
                <w:color w:val="auto"/>
              </w:rPr>
              <w:t>Net intersegment revenues</w:t>
            </w:r>
          </w:p>
        </w:tc>
        <w:tc>
          <w:tcPr>
            <w:tcW w:w="6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590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70</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(660)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25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Other, net</w:t>
            </w:r>
          </w:p>
        </w:tc>
        <w:tc>
          <w:tcPr>
            <w:tcW w:w="6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15"/>
        </w:trPr>
        <w:tc>
          <w:tcPr>
            <w:tcW w:w="252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6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10,220</w:t>
            </w:r>
          </w:p>
        </w:tc>
        <w:tc>
          <w:tcPr>
            <w:tcW w:w="10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5,894</w:t>
            </w:r>
          </w:p>
        </w:tc>
        <w:tc>
          <w:tcPr>
            <w:tcW w:w="80" w:type="dxa"/>
            <w:vAlign w:val="bottom"/>
          </w:tcPr>
          <w:p>
            <w:pPr>
              <w:spacing w:after="0"/>
              <w:rPr>
                <w:sz w:val="18"/>
                <w:szCs w:val="18"/>
                <w:color w:val="auto"/>
              </w:rPr>
            </w:pPr>
          </w:p>
        </w:tc>
        <w:tc>
          <w:tcPr>
            <w:tcW w:w="640" w:type="dxa"/>
            <w:vAlign w:val="bottom"/>
          </w:tcPr>
          <w:p>
            <w:pPr>
              <w:ind w:left="5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(660)</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15,454</w:t>
            </w:r>
          </w:p>
        </w:tc>
        <w:tc>
          <w:tcPr>
            <w:tcW w:w="0" w:type="dxa"/>
            <w:vAlign w:val="bottom"/>
          </w:tcPr>
          <w:p>
            <w:pPr>
              <w:spacing w:after="0"/>
              <w:rPr>
                <w:sz w:val="1"/>
                <w:szCs w:val="1"/>
                <w:color w:val="auto"/>
              </w:rPr>
            </w:pPr>
          </w:p>
        </w:tc>
      </w:tr>
      <w:tr>
        <w:trPr>
          <w:trHeight w:val="20"/>
        </w:trPr>
        <w:tc>
          <w:tcPr>
            <w:tcW w:w="25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20" w:type="dxa"/>
            <w:vAlign w:val="bottom"/>
          </w:tcPr>
          <w:p>
            <w:pPr>
              <w:ind w:left="500"/>
              <w:spacing w:after="0"/>
              <w:rPr>
                <w:sz w:val="20"/>
                <w:szCs w:val="20"/>
                <w:color w:val="auto"/>
              </w:rPr>
            </w:pPr>
            <w:r>
              <w:rPr>
                <w:rFonts w:ascii="Arial" w:cs="Arial" w:eastAsia="Arial" w:hAnsi="Arial"/>
                <w:sz w:val="16"/>
                <w:szCs w:val="16"/>
                <w:color w:val="auto"/>
              </w:rPr>
              <w:t>Segment assets</w:t>
            </w:r>
          </w:p>
        </w:tc>
        <w:tc>
          <w:tcPr>
            <w:tcW w:w="6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201,307</w:t>
            </w:r>
          </w:p>
        </w:tc>
        <w:tc>
          <w:tcPr>
            <w:tcW w:w="10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52,723</w:t>
            </w:r>
          </w:p>
        </w:tc>
        <w:tc>
          <w:tcPr>
            <w:tcW w:w="80" w:type="dxa"/>
            <w:vAlign w:val="bottom"/>
          </w:tcPr>
          <w:p>
            <w:pPr>
              <w:spacing w:after="0"/>
              <w:rPr>
                <w:sz w:val="19"/>
                <w:szCs w:val="19"/>
                <w:color w:val="auto"/>
              </w:rPr>
            </w:pPr>
          </w:p>
        </w:tc>
        <w:tc>
          <w:tcPr>
            <w:tcW w:w="640" w:type="dxa"/>
            <w:vAlign w:val="bottom"/>
          </w:tcPr>
          <w:p>
            <w:pPr>
              <w:ind w:left="50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16,892</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(126,538)</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144,384</w:t>
            </w:r>
          </w:p>
        </w:tc>
        <w:tc>
          <w:tcPr>
            <w:tcW w:w="0" w:type="dxa"/>
            <w:vAlign w:val="bottom"/>
          </w:tcPr>
          <w:p>
            <w:pPr>
              <w:spacing w:after="0"/>
              <w:rPr>
                <w:sz w:val="1"/>
                <w:szCs w:val="1"/>
                <w:color w:val="auto"/>
              </w:rPr>
            </w:pPr>
          </w:p>
        </w:tc>
      </w:tr>
      <w:tr>
        <w:trPr>
          <w:trHeight w:val="222"/>
        </w:trPr>
        <w:tc>
          <w:tcPr>
            <w:tcW w:w="25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Segment goodwill</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16,401</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ind w:left="340" w:right="2180"/>
        <w:spacing w:after="0" w:line="287" w:lineRule="auto"/>
        <w:rPr>
          <w:sz w:val="20"/>
          <w:szCs w:val="20"/>
          <w:color w:val="auto"/>
        </w:rPr>
      </w:pPr>
      <w:r>
        <w:rPr>
          <w:rFonts w:ascii="Arial" w:cs="Arial" w:eastAsia="Arial" w:hAnsi="Arial"/>
          <w:sz w:val="17"/>
          <w:szCs w:val="17"/>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6"/>
                <w:szCs w:val="16"/>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Advisory</w:t>
            </w:r>
          </w:p>
        </w:tc>
        <w:tc>
          <w:tcPr>
            <w:tcW w:w="220" w:type="dxa"/>
            <w:vAlign w:val="bottom"/>
          </w:tcPr>
          <w:p>
            <w:pPr>
              <w:spacing w:after="0"/>
              <w:rPr>
                <w:sz w:val="16"/>
                <w:szCs w:val="16"/>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Trust</w:t>
            </w:r>
          </w:p>
        </w:tc>
        <w:tc>
          <w:tcPr>
            <w:tcW w:w="16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rPr>
              <w:t>Westwood</w:t>
            </w:r>
          </w:p>
        </w:tc>
        <w:tc>
          <w:tcPr>
            <w:tcW w:w="160" w:type="dxa"/>
            <w:vAlign w:val="bottom"/>
          </w:tcPr>
          <w:p>
            <w:pPr>
              <w:spacing w:after="0"/>
              <w:rPr>
                <w:sz w:val="16"/>
                <w:szCs w:val="16"/>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6"/>
                <w:szCs w:val="16"/>
                <w:color w:val="auto"/>
              </w:rPr>
            </w:pPr>
          </w:p>
        </w:tc>
        <w:tc>
          <w:tcPr>
            <w:tcW w:w="1140" w:type="dxa"/>
            <w:vAlign w:val="bottom"/>
            <w:vMerge w:val="restart"/>
          </w:tcPr>
          <w:p>
            <w:pPr>
              <w:jc w:val="right"/>
              <w:ind w:right="114"/>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06"/>
        </w:trPr>
        <w:tc>
          <w:tcPr>
            <w:tcW w:w="50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Holdings</w:t>
            </w:r>
          </w:p>
        </w:tc>
        <w:tc>
          <w:tcPr>
            <w:tcW w:w="1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Nine Months Ended September 30, 2021</w:t>
            </w:r>
          </w:p>
        </w:tc>
        <w:tc>
          <w:tcPr>
            <w:tcW w:w="1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060" w:type="dxa"/>
            <w:vAlign w:val="bottom"/>
          </w:tcPr>
          <w:p>
            <w:pPr>
              <w:ind w:left="20"/>
              <w:spacing w:after="0"/>
              <w:rPr>
                <w:sz w:val="20"/>
                <w:szCs w:val="20"/>
                <w:color w:val="auto"/>
              </w:rPr>
            </w:pPr>
            <w:r>
              <w:rPr>
                <w:rFonts w:ascii="Arial" w:cs="Arial" w:eastAsia="Arial" w:hAnsi="Arial"/>
                <w:sz w:val="16"/>
                <w:szCs w:val="16"/>
                <w:color w:val="auto"/>
              </w:rPr>
              <w:t>Net fee revenues from external sources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35,805</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18,233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54,038</w:t>
            </w:r>
          </w:p>
        </w:tc>
        <w:tc>
          <w:tcPr>
            <w:tcW w:w="0" w:type="dxa"/>
            <w:vAlign w:val="bottom"/>
          </w:tcPr>
          <w:p>
            <w:pPr>
              <w:spacing w:after="0"/>
              <w:rPr>
                <w:sz w:val="1"/>
                <w:szCs w:val="1"/>
                <w:color w:val="auto"/>
              </w:rPr>
            </w:pPr>
          </w:p>
        </w:tc>
      </w:tr>
      <w:tr>
        <w:trPr>
          <w:trHeight w:val="222"/>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intersegment revenues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ind w:left="580"/>
              <w:spacing w:after="0"/>
              <w:rPr>
                <w:sz w:val="20"/>
                <w:szCs w:val="20"/>
                <w:color w:val="auto"/>
              </w:rPr>
            </w:pPr>
            <w:r>
              <w:rPr>
                <w:rFonts w:ascii="Arial" w:cs="Arial" w:eastAsia="Arial" w:hAnsi="Arial"/>
                <w:sz w:val="17"/>
                <w:szCs w:val="17"/>
                <w:color w:val="auto"/>
                <w:w w:val="92"/>
              </w:rPr>
              <w:t>(2,137)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w:t>
            </w:r>
          </w:p>
        </w:tc>
        <w:tc>
          <w:tcPr>
            <w:tcW w:w="0" w:type="dxa"/>
            <w:vAlign w:val="bottom"/>
          </w:tcPr>
          <w:p>
            <w:pPr>
              <w:spacing w:after="0"/>
              <w:rPr>
                <w:sz w:val="1"/>
                <w:szCs w:val="1"/>
                <w:color w:val="auto"/>
              </w:rPr>
            </w:pPr>
          </w:p>
        </w:tc>
      </w:tr>
      <w:tr>
        <w:trPr>
          <w:trHeight w:val="235"/>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37,306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18,494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ind w:left="580"/>
              <w:spacing w:after="0"/>
              <w:rPr>
                <w:sz w:val="20"/>
                <w:szCs w:val="20"/>
                <w:color w:val="auto"/>
              </w:rPr>
            </w:pPr>
            <w:r>
              <w:rPr>
                <w:rFonts w:ascii="Arial" w:cs="Arial" w:eastAsia="Arial" w:hAnsi="Arial"/>
                <w:sz w:val="17"/>
                <w:szCs w:val="17"/>
                <w:color w:val="auto"/>
                <w:w w:val="92"/>
              </w:rPr>
              <w:t>(2,137)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53,663</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Nine Months Ended September 30, 2020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60" w:type="dxa"/>
            <w:vAlign w:val="bottom"/>
          </w:tcPr>
          <w:p>
            <w:pPr>
              <w:ind w:left="20"/>
              <w:spacing w:after="0"/>
              <w:rPr>
                <w:sz w:val="20"/>
                <w:szCs w:val="20"/>
                <w:color w:val="auto"/>
              </w:rPr>
            </w:pPr>
            <w:r>
              <w:rPr>
                <w:rFonts w:ascii="Arial" w:cs="Arial" w:eastAsia="Arial" w:hAnsi="Arial"/>
                <w:sz w:val="16"/>
                <w:szCs w:val="16"/>
                <w:color w:val="auto"/>
              </w:rPr>
              <w:t>Net fee revenues from external sources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30,685</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17,472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48,157</w:t>
            </w:r>
          </w:p>
        </w:tc>
        <w:tc>
          <w:tcPr>
            <w:tcW w:w="0" w:type="dxa"/>
            <w:vAlign w:val="bottom"/>
          </w:tcPr>
          <w:p>
            <w:pPr>
              <w:spacing w:after="0"/>
              <w:rPr>
                <w:sz w:val="1"/>
                <w:szCs w:val="1"/>
                <w:color w:val="auto"/>
              </w:rPr>
            </w:pPr>
          </w:p>
        </w:tc>
      </w:tr>
      <w:tr>
        <w:trPr>
          <w:trHeight w:val="222"/>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intersegment revenues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ind w:left="580"/>
              <w:spacing w:after="0"/>
              <w:rPr>
                <w:sz w:val="20"/>
                <w:szCs w:val="20"/>
                <w:color w:val="auto"/>
              </w:rPr>
            </w:pPr>
            <w:r>
              <w:rPr>
                <w:rFonts w:ascii="Arial" w:cs="Arial" w:eastAsia="Arial" w:hAnsi="Arial"/>
                <w:sz w:val="17"/>
                <w:szCs w:val="17"/>
                <w:color w:val="auto"/>
                <w:w w:val="92"/>
              </w:rPr>
              <w:t>(1,996)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5060" w:type="dxa"/>
            <w:vAlign w:val="bottom"/>
          </w:tcPr>
          <w:p>
            <w:pPr>
              <w:ind w:left="20"/>
              <w:spacing w:after="0"/>
              <w:rPr>
                <w:sz w:val="20"/>
                <w:szCs w:val="20"/>
                <w:color w:val="auto"/>
              </w:rPr>
            </w:pPr>
            <w:r>
              <w:rPr>
                <w:rFonts w:ascii="Arial" w:cs="Arial" w:eastAsia="Arial" w:hAnsi="Arial"/>
                <w:sz w:val="16"/>
                <w:szCs w:val="16"/>
                <w:color w:val="auto"/>
              </w:rPr>
              <w:t>Net interest and dividend revenue</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22"/>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215"/>
        </w:trPr>
        <w:tc>
          <w:tcPr>
            <w:tcW w:w="506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32,335</w:t>
            </w:r>
          </w:p>
        </w:tc>
        <w:tc>
          <w:tcPr>
            <w:tcW w:w="12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17,659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ind w:left="580"/>
              <w:spacing w:after="0"/>
              <w:rPr>
                <w:sz w:val="20"/>
                <w:szCs w:val="20"/>
                <w:color w:val="auto"/>
              </w:rPr>
            </w:pPr>
            <w:r>
              <w:rPr>
                <w:rFonts w:ascii="Arial" w:cs="Arial" w:eastAsia="Arial" w:hAnsi="Arial"/>
                <w:sz w:val="17"/>
                <w:szCs w:val="17"/>
                <w:color w:val="auto"/>
                <w:w w:val="92"/>
              </w:rPr>
              <w:t>(1,996)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47,998</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INVESTMENTS</w:t>
      </w:r>
    </w:p>
    <w:p>
      <w:pPr>
        <w:spacing w:after="0" w:line="124" w:lineRule="exact"/>
        <w:rPr>
          <w:sz w:val="20"/>
          <w:szCs w:val="20"/>
          <w:color w:val="auto"/>
        </w:rPr>
      </w:pPr>
    </w:p>
    <w:p>
      <w:pPr>
        <w:ind w:right="140" w:firstLine="470"/>
        <w:spacing w:after="0" w:line="266" w:lineRule="auto"/>
        <w:rPr>
          <w:sz w:val="20"/>
          <w:szCs w:val="20"/>
          <w:color w:val="auto"/>
        </w:rPr>
      </w:pPr>
      <w:r>
        <w:rPr>
          <w:rFonts w:ascii="Arial" w:cs="Arial" w:eastAsia="Arial" w:hAnsi="Arial"/>
          <w:sz w:val="17"/>
          <w:szCs w:val="17"/>
          <w:color w:val="auto"/>
        </w:rPr>
        <w:t>During 2018, we made a $5.4 million strategic investment in InvestCloud, a digital financial services provider ("InvestCloud"), which is included in “Investments” on our Condensed Consolidated Balance Sheets. This investment represents an equity interest in a private company without a readily determinable fair value. The Company has elected to apply the measurement alternative of cost minus impairment, if any, plus or minus changes resulting from observable price changes.</w:t>
      </w:r>
    </w:p>
    <w:p>
      <w:pPr>
        <w:spacing w:after="0" w:line="73" w:lineRule="exact"/>
        <w:rPr>
          <w:sz w:val="20"/>
          <w:szCs w:val="20"/>
          <w:color w:val="auto"/>
        </w:rPr>
      </w:pPr>
    </w:p>
    <w:p>
      <w:pPr>
        <w:jc w:val="both"/>
        <w:ind w:right="120" w:firstLine="470"/>
        <w:spacing w:after="0" w:line="272" w:lineRule="auto"/>
        <w:rPr>
          <w:sz w:val="20"/>
          <w:szCs w:val="20"/>
          <w:color w:val="auto"/>
        </w:rPr>
      </w:pPr>
      <w:r>
        <w:rPr>
          <w:rFonts w:ascii="Arial" w:cs="Arial" w:eastAsia="Arial" w:hAnsi="Arial"/>
          <w:sz w:val="17"/>
          <w:szCs w:val="17"/>
          <w:color w:val="auto"/>
        </w:rPr>
        <w:t>Following observable price changes for this investment in the year ended December 31, 2019, we recorded an unrealized gain of $2.8 million. Following InvestCloud's recapitalization in the first quarter of 2021, we recorded a realized gain of approximately $8.3 million when our originally purchased shares were redeemed. Following this redemption we re-invested $4.4 million of our proceeds into newly issued shares of InvestCloud.</w:t>
      </w:r>
    </w:p>
    <w:p>
      <w:pPr>
        <w:spacing w:after="0" w:line="66" w:lineRule="exact"/>
        <w:rPr>
          <w:sz w:val="20"/>
          <w:szCs w:val="20"/>
          <w:color w:val="auto"/>
        </w:rPr>
      </w:pPr>
    </w:p>
    <w:p>
      <w:pPr>
        <w:ind w:right="460" w:firstLine="470"/>
        <w:spacing w:after="0" w:line="288" w:lineRule="auto"/>
        <w:rPr>
          <w:sz w:val="20"/>
          <w:szCs w:val="20"/>
          <w:color w:val="auto"/>
        </w:rPr>
      </w:pPr>
      <w:r>
        <w:rPr>
          <w:rFonts w:ascii="Arial" w:cs="Arial" w:eastAsia="Arial" w:hAnsi="Arial"/>
          <w:sz w:val="16"/>
          <w:szCs w:val="16"/>
          <w:color w:val="auto"/>
        </w:rPr>
        <w:t>Our investment in Charis, the parent company of Westwood Private Bank ("Charis"), is included in “Noncurrent investments at fair value” on our Condensed Consolidated Balance Sheets and is measured at fair value on a recurring basis. In the nine months ended September 30, 2021, we recorded unrealized gains of approximately $0.7 million, following fair value increases from market transactions. In the nine months ended September 30, 2020, we recorded an unrealized loss of $0.7 million, primarily as a result of the global macroeconomic effects of COVID-19.</w:t>
      </w:r>
    </w:p>
    <w:p>
      <w:pPr>
        <w:spacing w:after="0" w:line="57" w:lineRule="exact"/>
        <w:rPr>
          <w:sz w:val="20"/>
          <w:szCs w:val="20"/>
          <w:color w:val="auto"/>
        </w:rPr>
      </w:pPr>
    </w:p>
    <w:p>
      <w:pPr>
        <w:jc w:val="both"/>
        <w:ind w:right="140" w:firstLine="470"/>
        <w:spacing w:after="0" w:line="272" w:lineRule="auto"/>
        <w:rPr>
          <w:sz w:val="20"/>
          <w:szCs w:val="20"/>
          <w:color w:val="auto"/>
        </w:rPr>
      </w:pPr>
      <w:r>
        <w:rPr>
          <w:rFonts w:ascii="Arial" w:cs="Arial" w:eastAsia="Arial" w:hAnsi="Arial"/>
          <w:sz w:val="17"/>
          <w:szCs w:val="17"/>
          <w:color w:val="auto"/>
        </w:rPr>
        <w:t>In 2019 we made a $0.3 million investment in Westwood Hospitality Fund I, LLC, a private investment fund. Our investment is included in “Noncurrent investments at fair value” on our Condensed Consolidated Balance Sheets and is measured at fair value on a recurring basis using net asset value (“NAV”) as a practical expedient.</w:t>
      </w:r>
    </w:p>
    <w:p>
      <w:pPr>
        <w:spacing w:after="0" w:line="6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All other investments are carried at fair value on a recurring basis and are accounted for as trading securities.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left="340" w:right="2180"/>
        <w:spacing w:after="0" w:line="287" w:lineRule="auto"/>
        <w:rPr>
          <w:sz w:val="20"/>
          <w:szCs w:val="20"/>
          <w:color w:val="auto"/>
        </w:rPr>
      </w:pPr>
      <w:r>
        <w:rPr>
          <w:rFonts w:ascii="Arial" w:cs="Arial" w:eastAsia="Arial" w:hAnsi="Arial"/>
          <w:sz w:val="17"/>
          <w:szCs w:val="17"/>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8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Investments carried at fair value are presented in the table below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Gross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3"/>
          </w:tcPr>
          <w:p>
            <w:pPr>
              <w:ind w:left="820"/>
              <w:spacing w:after="0"/>
              <w:rPr>
                <w:sz w:val="20"/>
                <w:szCs w:val="20"/>
                <w:color w:val="auto"/>
              </w:rPr>
            </w:pPr>
            <w:r>
              <w:rPr>
                <w:rFonts w:ascii="Arial" w:cs="Arial" w:eastAsia="Arial" w:hAnsi="Arial"/>
                <w:sz w:val="16"/>
                <w:szCs w:val="16"/>
                <w:b w:val="1"/>
                <w:bCs w:val="1"/>
                <w:color w:val="auto"/>
              </w:rPr>
              <w:t>Gross</w:t>
            </w:r>
          </w:p>
        </w:tc>
        <w:tc>
          <w:tcPr>
            <w:tcW w:w="580" w:type="dxa"/>
            <w:vAlign w:val="bottom"/>
          </w:tcPr>
          <w:p>
            <w:pPr>
              <w:spacing w:after="0"/>
              <w:rPr>
                <w:sz w:val="16"/>
                <w:szCs w:val="16"/>
                <w:color w:val="auto"/>
              </w:rPr>
            </w:pPr>
          </w:p>
        </w:tc>
        <w:tc>
          <w:tcPr>
            <w:tcW w:w="1000" w:type="dxa"/>
            <w:vAlign w:val="bottom"/>
          </w:tcPr>
          <w:p>
            <w:pPr>
              <w:jc w:val="right"/>
              <w:ind w:right="134"/>
              <w:spacing w:after="0"/>
              <w:rPr>
                <w:sz w:val="20"/>
                <w:szCs w:val="20"/>
                <w:color w:val="auto"/>
              </w:rPr>
            </w:pPr>
            <w:r>
              <w:rPr>
                <w:rFonts w:ascii="Arial" w:cs="Arial" w:eastAsia="Arial" w:hAnsi="Arial"/>
                <w:sz w:val="16"/>
                <w:szCs w:val="16"/>
                <w:b w:val="1"/>
                <w:bCs w:val="1"/>
                <w:color w:val="auto"/>
                <w:w w:val="99"/>
              </w:rPr>
              <w:t>Estimated</w:t>
            </w:r>
          </w:p>
        </w:tc>
        <w:tc>
          <w:tcPr>
            <w:tcW w:w="0" w:type="dxa"/>
            <w:vAlign w:val="bottom"/>
          </w:tcPr>
          <w:p>
            <w:pPr>
              <w:spacing w:after="0"/>
              <w:rPr>
                <w:sz w:val="1"/>
                <w:szCs w:val="1"/>
                <w:color w:val="auto"/>
              </w:rPr>
            </w:pPr>
          </w:p>
        </w:tc>
      </w:tr>
      <w:tr>
        <w:trPr>
          <w:trHeight w:val="157"/>
        </w:trPr>
        <w:tc>
          <w:tcPr>
            <w:tcW w:w="4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Cost</w:t>
            </w:r>
          </w:p>
        </w:tc>
        <w:tc>
          <w:tcPr>
            <w:tcW w:w="1200" w:type="dxa"/>
            <w:vAlign w:val="bottom"/>
          </w:tcPr>
          <w:p>
            <w:pPr>
              <w:jc w:val="right"/>
              <w:spacing w:after="0" w:line="157" w:lineRule="exact"/>
              <w:rPr>
                <w:sz w:val="20"/>
                <w:szCs w:val="20"/>
                <w:color w:val="auto"/>
              </w:rPr>
            </w:pPr>
            <w:r>
              <w:rPr>
                <w:rFonts w:ascii="Arial" w:cs="Arial" w:eastAsia="Arial" w:hAnsi="Arial"/>
                <w:sz w:val="16"/>
                <w:szCs w:val="16"/>
                <w:b w:val="1"/>
                <w:bCs w:val="1"/>
                <w:color w:val="auto"/>
              </w:rPr>
              <w:t>Unrealized</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line="157" w:lineRule="exact"/>
              <w:rPr>
                <w:sz w:val="20"/>
                <w:szCs w:val="20"/>
                <w:color w:val="auto"/>
              </w:rPr>
            </w:pPr>
            <w:r>
              <w:rPr>
                <w:rFonts w:ascii="Arial" w:cs="Arial" w:eastAsia="Arial" w:hAnsi="Arial"/>
                <w:sz w:val="16"/>
                <w:szCs w:val="16"/>
                <w:b w:val="1"/>
                <w:bCs w:val="1"/>
                <w:color w:val="auto"/>
              </w:rPr>
              <w:t>Unrealized</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tcPr>
          <w:p>
            <w:pPr>
              <w:jc w:val="right"/>
              <w:ind w:right="554"/>
              <w:spacing w:after="0" w:line="157"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06"/>
        </w:trPr>
        <w:tc>
          <w:tcPr>
            <w:tcW w:w="4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0" w:type="dxa"/>
            <w:vAlign w:val="bottom"/>
          </w:tcPr>
          <w:p>
            <w:pPr>
              <w:jc w:val="right"/>
              <w:ind w:right="157"/>
              <w:spacing w:after="0"/>
              <w:rPr>
                <w:sz w:val="20"/>
                <w:szCs w:val="20"/>
                <w:color w:val="auto"/>
              </w:rPr>
            </w:pPr>
            <w:r>
              <w:rPr>
                <w:rFonts w:ascii="Arial" w:cs="Arial" w:eastAsia="Arial" w:hAnsi="Arial"/>
                <w:sz w:val="16"/>
                <w:szCs w:val="16"/>
                <w:b w:val="1"/>
                <w:bCs w:val="1"/>
                <w:color w:val="auto"/>
              </w:rPr>
              <w:t>Gains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77"/>
              <w:spacing w:after="0"/>
              <w:rPr>
                <w:sz w:val="20"/>
                <w:szCs w:val="20"/>
                <w:color w:val="auto"/>
              </w:rPr>
            </w:pPr>
            <w:r>
              <w:rPr>
                <w:rFonts w:ascii="Arial" w:cs="Arial" w:eastAsia="Arial" w:hAnsi="Arial"/>
                <w:sz w:val="16"/>
                <w:szCs w:val="16"/>
                <w:b w:val="1"/>
                <w:bCs w:val="1"/>
                <w:color w:val="auto"/>
              </w:rPr>
              <w:t>Losses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jc w:val="right"/>
              <w:ind w:right="514"/>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05"/>
        </w:trPr>
        <w:tc>
          <w:tcPr>
            <w:tcW w:w="46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7"/>
                <w:szCs w:val="17"/>
                <w:b w:val="1"/>
                <w:bCs w:val="1"/>
                <w:color w:val="auto"/>
              </w:rPr>
              <w:t>September 30, 2021:</w:t>
            </w:r>
          </w:p>
        </w:tc>
        <w:tc>
          <w:tcPr>
            <w:tcW w:w="7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660" w:type="dxa"/>
            <w:vAlign w:val="bottom"/>
          </w:tcPr>
          <w:p>
            <w:pPr>
              <w:ind w:left="500"/>
              <w:spacing w:after="0"/>
              <w:rPr>
                <w:sz w:val="20"/>
                <w:szCs w:val="20"/>
                <w:color w:val="auto"/>
              </w:rPr>
            </w:pPr>
            <w:r>
              <w:rPr>
                <w:rFonts w:ascii="Arial" w:cs="Arial" w:eastAsia="Arial" w:hAnsi="Arial"/>
                <w:sz w:val="17"/>
                <w:szCs w:val="17"/>
                <w:color w:val="auto"/>
              </w:rPr>
              <w:t>U.S. Government and Government agency obligations</w:t>
            </w:r>
          </w:p>
        </w:tc>
        <w:tc>
          <w:tcPr>
            <w:tcW w:w="7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43,860</w:t>
            </w:r>
          </w:p>
        </w:tc>
        <w:tc>
          <w:tcPr>
            <w:tcW w:w="100" w:type="dxa"/>
            <w:vAlign w:val="bottom"/>
          </w:tcPr>
          <w:p>
            <w:pPr>
              <w:spacing w:after="0"/>
              <w:rPr>
                <w:sz w:val="19"/>
                <w:szCs w:val="19"/>
                <w:color w:val="auto"/>
              </w:rPr>
            </w:pPr>
          </w:p>
        </w:tc>
        <w:tc>
          <w:tcPr>
            <w:tcW w:w="1200" w:type="dxa"/>
            <w:vAlign w:val="bottom"/>
          </w:tcPr>
          <w:p>
            <w:pPr>
              <w:jc w:val="right"/>
              <w:ind w:right="537"/>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497"/>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90"/>
              </w:rPr>
              <w:t>(508)</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43,352</w:t>
            </w:r>
          </w:p>
        </w:tc>
        <w:tc>
          <w:tcPr>
            <w:tcW w:w="0" w:type="dxa"/>
            <w:vAlign w:val="bottom"/>
          </w:tcPr>
          <w:p>
            <w:pPr>
              <w:spacing w:after="0"/>
              <w:rPr>
                <w:sz w:val="1"/>
                <w:szCs w:val="1"/>
                <w:color w:val="auto"/>
              </w:rPr>
            </w:pPr>
          </w:p>
        </w:tc>
      </w:tr>
      <w:tr>
        <w:trPr>
          <w:trHeight w:val="222"/>
        </w:trPr>
        <w:tc>
          <w:tcPr>
            <w:tcW w:w="46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Money market funds</w:t>
            </w: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9,728</w:t>
            </w:r>
          </w:p>
        </w:tc>
        <w:tc>
          <w:tcPr>
            <w:tcW w:w="0" w:type="dxa"/>
            <w:vAlign w:val="bottom"/>
          </w:tcPr>
          <w:p>
            <w:pPr>
              <w:spacing w:after="0"/>
              <w:rPr>
                <w:sz w:val="1"/>
                <w:szCs w:val="1"/>
                <w:color w:val="auto"/>
              </w:rPr>
            </w:pPr>
          </w:p>
        </w:tc>
      </w:tr>
      <w:tr>
        <w:trPr>
          <w:trHeight w:val="222"/>
        </w:trPr>
        <w:tc>
          <w:tcPr>
            <w:tcW w:w="4660" w:type="dxa"/>
            <w:vAlign w:val="bottom"/>
          </w:tcPr>
          <w:p>
            <w:pPr>
              <w:ind w:left="500"/>
              <w:spacing w:after="0"/>
              <w:rPr>
                <w:sz w:val="20"/>
                <w:szCs w:val="20"/>
                <w:color w:val="auto"/>
              </w:rPr>
            </w:pPr>
            <w:r>
              <w:rPr>
                <w:rFonts w:ascii="Arial" w:cs="Arial" w:eastAsia="Arial" w:hAnsi="Arial"/>
                <w:sz w:val="17"/>
                <w:szCs w:val="17"/>
                <w:color w:val="auto"/>
              </w:rPr>
              <w:t>Equity funds</w:t>
            </w:r>
          </w:p>
        </w:tc>
        <w:tc>
          <w:tcPr>
            <w:tcW w:w="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1,258</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w w:val="84"/>
              </w:rPr>
              <w:t>118</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1,376</w:t>
            </w:r>
          </w:p>
        </w:tc>
        <w:tc>
          <w:tcPr>
            <w:tcW w:w="0" w:type="dxa"/>
            <w:vAlign w:val="bottom"/>
          </w:tcPr>
          <w:p>
            <w:pPr>
              <w:spacing w:after="0"/>
              <w:rPr>
                <w:sz w:val="1"/>
                <w:szCs w:val="1"/>
                <w:color w:val="auto"/>
              </w:rPr>
            </w:pPr>
          </w:p>
        </w:tc>
      </w:tr>
      <w:tr>
        <w:trPr>
          <w:trHeight w:val="222"/>
        </w:trPr>
        <w:tc>
          <w:tcPr>
            <w:tcW w:w="46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Equities</w:t>
            </w: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3,495</w:t>
            </w:r>
          </w:p>
        </w:tc>
        <w:tc>
          <w:tcPr>
            <w:tcW w:w="0" w:type="dxa"/>
            <w:vAlign w:val="bottom"/>
          </w:tcPr>
          <w:p>
            <w:pPr>
              <w:spacing w:after="0"/>
              <w:rPr>
                <w:sz w:val="1"/>
                <w:szCs w:val="1"/>
                <w:color w:val="auto"/>
              </w:rPr>
            </w:pPr>
          </w:p>
        </w:tc>
      </w:tr>
      <w:tr>
        <w:trPr>
          <w:trHeight w:val="222"/>
        </w:trPr>
        <w:tc>
          <w:tcPr>
            <w:tcW w:w="4660" w:type="dxa"/>
            <w:vAlign w:val="bottom"/>
          </w:tcPr>
          <w:p>
            <w:pPr>
              <w:ind w:left="500"/>
              <w:spacing w:after="0"/>
              <w:rPr>
                <w:sz w:val="20"/>
                <w:szCs w:val="20"/>
                <w:color w:val="auto"/>
              </w:rPr>
            </w:pPr>
            <w:r>
              <w:rPr>
                <w:rFonts w:ascii="Arial" w:cs="Arial" w:eastAsia="Arial" w:hAnsi="Arial"/>
                <w:sz w:val="17"/>
                <w:szCs w:val="17"/>
                <w:color w:val="auto"/>
              </w:rPr>
              <w:t>Exchange-traded bond funds</w:t>
            </w:r>
          </w:p>
        </w:tc>
        <w:tc>
          <w:tcPr>
            <w:tcW w:w="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142</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15"/>
        </w:trPr>
        <w:tc>
          <w:tcPr>
            <w:tcW w:w="4660" w:type="dxa"/>
            <w:vAlign w:val="bottom"/>
            <w:tcBorders>
              <w:top w:val="single" w:sz="8" w:color="CCEEFF"/>
            </w:tcBorders>
            <w:shd w:val="clear" w:color="auto" w:fill="CCEEFF"/>
          </w:tcPr>
          <w:p>
            <w:pPr>
              <w:ind w:left="800"/>
              <w:spacing w:after="0"/>
              <w:rPr>
                <w:sz w:val="20"/>
                <w:szCs w:val="20"/>
                <w:color w:val="auto"/>
              </w:rPr>
            </w:pPr>
            <w:r>
              <w:rPr>
                <w:rFonts w:ascii="Arial" w:cs="Arial" w:eastAsia="Arial" w:hAnsi="Arial"/>
                <w:sz w:val="17"/>
                <w:szCs w:val="17"/>
                <w:color w:val="auto"/>
              </w:rPr>
              <w:t>Total trading securities</w:t>
            </w:r>
          </w:p>
        </w:tc>
        <w:tc>
          <w:tcPr>
            <w:tcW w:w="7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58,477</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148</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(531)</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58,094</w:t>
            </w:r>
          </w:p>
        </w:tc>
        <w:tc>
          <w:tcPr>
            <w:tcW w:w="0" w:type="dxa"/>
            <w:vAlign w:val="bottom"/>
          </w:tcPr>
          <w:p>
            <w:pPr>
              <w:spacing w:after="0"/>
              <w:rPr>
                <w:sz w:val="1"/>
                <w:szCs w:val="1"/>
                <w:color w:val="auto"/>
              </w:rPr>
            </w:pPr>
          </w:p>
        </w:tc>
      </w:tr>
      <w:tr>
        <w:trPr>
          <w:trHeight w:val="222"/>
        </w:trPr>
        <w:tc>
          <w:tcPr>
            <w:tcW w:w="4660" w:type="dxa"/>
            <w:vAlign w:val="bottom"/>
          </w:tcPr>
          <w:p>
            <w:pPr>
              <w:ind w:left="500"/>
              <w:spacing w:after="0"/>
              <w:rPr>
                <w:sz w:val="20"/>
                <w:szCs w:val="20"/>
                <w:color w:val="auto"/>
              </w:rPr>
            </w:pPr>
            <w:r>
              <w:rPr>
                <w:rFonts w:ascii="Arial" w:cs="Arial" w:eastAsia="Arial" w:hAnsi="Arial"/>
                <w:sz w:val="17"/>
                <w:szCs w:val="17"/>
                <w:color w:val="auto"/>
              </w:rPr>
              <w:t>Private investment fund</w:t>
            </w:r>
          </w:p>
        </w:tc>
        <w:tc>
          <w:tcPr>
            <w:tcW w:w="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265</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90"/>
              </w:rPr>
              <w:t>(154)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22"/>
        </w:trPr>
        <w:tc>
          <w:tcPr>
            <w:tcW w:w="46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Private equity</w:t>
            </w:r>
          </w:p>
        </w:tc>
        <w:tc>
          <w:tcPr>
            <w:tcW w:w="7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3,420</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667</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4,074</w:t>
            </w:r>
          </w:p>
        </w:tc>
        <w:tc>
          <w:tcPr>
            <w:tcW w:w="0" w:type="dxa"/>
            <w:vAlign w:val="bottom"/>
          </w:tcPr>
          <w:p>
            <w:pPr>
              <w:spacing w:after="0"/>
              <w:rPr>
                <w:sz w:val="1"/>
                <w:szCs w:val="1"/>
                <w:color w:val="auto"/>
              </w:rPr>
            </w:pPr>
          </w:p>
        </w:tc>
      </w:tr>
      <w:tr>
        <w:trPr>
          <w:trHeight w:val="215"/>
        </w:trPr>
        <w:tc>
          <w:tcPr>
            <w:tcW w:w="4660" w:type="dxa"/>
            <w:vAlign w:val="bottom"/>
          </w:tcPr>
          <w:p>
            <w:pPr>
              <w:ind w:left="800"/>
              <w:spacing w:after="0"/>
              <w:rPr>
                <w:sz w:val="20"/>
                <w:szCs w:val="20"/>
                <w:color w:val="auto"/>
              </w:rPr>
            </w:pPr>
            <w:r>
              <w:rPr>
                <w:rFonts w:ascii="Arial" w:cs="Arial" w:eastAsia="Arial" w:hAnsi="Arial"/>
                <w:sz w:val="17"/>
                <w:szCs w:val="17"/>
                <w:color w:val="auto"/>
              </w:rPr>
              <w:t>Total investments carried at fair value</w:t>
            </w: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62,162</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815</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0"/>
              </w:rPr>
              <w:t>(698)</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62,279</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60" w:type="dxa"/>
            <w:vAlign w:val="bottom"/>
          </w:tcPr>
          <w:p>
            <w:pPr>
              <w:ind w:left="500"/>
              <w:spacing w:after="0"/>
              <w:rPr>
                <w:sz w:val="20"/>
                <w:szCs w:val="20"/>
                <w:color w:val="auto"/>
              </w:rPr>
            </w:pPr>
            <w:r>
              <w:rPr>
                <w:rFonts w:ascii="Arial" w:cs="Arial" w:eastAsia="Arial" w:hAnsi="Arial"/>
                <w:sz w:val="17"/>
                <w:szCs w:val="17"/>
                <w:b w:val="1"/>
                <w:bCs w:val="1"/>
                <w:color w:val="auto"/>
              </w:rPr>
              <w:t>December 31, 2020:</w:t>
            </w: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U.S. Government and Government agency obligations</w:t>
            </w: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65,132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37"/>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97"/>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(180)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64,954</w:t>
            </w:r>
          </w:p>
        </w:tc>
        <w:tc>
          <w:tcPr>
            <w:tcW w:w="0" w:type="dxa"/>
            <w:vAlign w:val="bottom"/>
          </w:tcPr>
          <w:p>
            <w:pPr>
              <w:spacing w:after="0"/>
              <w:rPr>
                <w:sz w:val="1"/>
                <w:szCs w:val="1"/>
                <w:color w:val="auto"/>
              </w:rPr>
            </w:pPr>
          </w:p>
        </w:tc>
      </w:tr>
      <w:tr>
        <w:trPr>
          <w:trHeight w:val="222"/>
        </w:trPr>
        <w:tc>
          <w:tcPr>
            <w:tcW w:w="4660" w:type="dxa"/>
            <w:vAlign w:val="bottom"/>
          </w:tcPr>
          <w:p>
            <w:pPr>
              <w:ind w:left="500"/>
              <w:spacing w:after="0"/>
              <w:rPr>
                <w:sz w:val="20"/>
                <w:szCs w:val="20"/>
                <w:color w:val="auto"/>
              </w:rPr>
            </w:pPr>
            <w:r>
              <w:rPr>
                <w:rFonts w:ascii="Arial" w:cs="Arial" w:eastAsia="Arial" w:hAnsi="Arial"/>
                <w:sz w:val="17"/>
                <w:szCs w:val="17"/>
                <w:color w:val="auto"/>
              </w:rPr>
              <w:t>Money market funds</w:t>
            </w:r>
          </w:p>
        </w:tc>
        <w:tc>
          <w:tcPr>
            <w:tcW w:w="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4,003</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4,003</w:t>
            </w:r>
          </w:p>
        </w:tc>
        <w:tc>
          <w:tcPr>
            <w:tcW w:w="0" w:type="dxa"/>
            <w:vAlign w:val="bottom"/>
          </w:tcPr>
          <w:p>
            <w:pPr>
              <w:spacing w:after="0"/>
              <w:rPr>
                <w:sz w:val="1"/>
                <w:szCs w:val="1"/>
                <w:color w:val="auto"/>
              </w:rPr>
            </w:pPr>
          </w:p>
        </w:tc>
      </w:tr>
      <w:tr>
        <w:trPr>
          <w:trHeight w:val="222"/>
        </w:trPr>
        <w:tc>
          <w:tcPr>
            <w:tcW w:w="46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Equity funds</w:t>
            </w: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22"/>
        </w:trPr>
        <w:tc>
          <w:tcPr>
            <w:tcW w:w="4660" w:type="dxa"/>
            <w:vAlign w:val="bottom"/>
          </w:tcPr>
          <w:p>
            <w:pPr>
              <w:ind w:left="500"/>
              <w:spacing w:after="0"/>
              <w:rPr>
                <w:sz w:val="20"/>
                <w:szCs w:val="20"/>
                <w:color w:val="auto"/>
              </w:rPr>
            </w:pPr>
            <w:r>
              <w:rPr>
                <w:rFonts w:ascii="Arial" w:cs="Arial" w:eastAsia="Arial" w:hAnsi="Arial"/>
                <w:sz w:val="17"/>
                <w:szCs w:val="17"/>
                <w:color w:val="auto"/>
              </w:rPr>
              <w:t>Equities</w:t>
            </w:r>
          </w:p>
        </w:tc>
        <w:tc>
          <w:tcPr>
            <w:tcW w:w="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288</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94</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382</w:t>
            </w:r>
          </w:p>
        </w:tc>
        <w:tc>
          <w:tcPr>
            <w:tcW w:w="0" w:type="dxa"/>
            <w:vAlign w:val="bottom"/>
          </w:tcPr>
          <w:p>
            <w:pPr>
              <w:spacing w:after="0"/>
              <w:rPr>
                <w:sz w:val="1"/>
                <w:szCs w:val="1"/>
                <w:color w:val="auto"/>
              </w:rPr>
            </w:pPr>
          </w:p>
        </w:tc>
      </w:tr>
      <w:tr>
        <w:trPr>
          <w:trHeight w:val="222"/>
        </w:trPr>
        <w:tc>
          <w:tcPr>
            <w:tcW w:w="46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Exchange-traded bond funds</w:t>
            </w: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15"/>
        </w:trPr>
        <w:tc>
          <w:tcPr>
            <w:tcW w:w="4660" w:type="dxa"/>
            <w:vAlign w:val="bottom"/>
          </w:tcPr>
          <w:p>
            <w:pPr>
              <w:ind w:left="800"/>
              <w:spacing w:after="0"/>
              <w:rPr>
                <w:sz w:val="20"/>
                <w:szCs w:val="20"/>
                <w:color w:val="auto"/>
              </w:rPr>
            </w:pPr>
            <w:r>
              <w:rPr>
                <w:rFonts w:ascii="Arial" w:cs="Arial" w:eastAsia="Arial" w:hAnsi="Arial"/>
                <w:sz w:val="17"/>
                <w:szCs w:val="17"/>
                <w:color w:val="auto"/>
              </w:rPr>
              <w:t>Total trading securities</w:t>
            </w:r>
          </w:p>
        </w:tc>
        <w:tc>
          <w:tcPr>
            <w:tcW w:w="7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69,628</w:t>
            </w: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99</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0"/>
              </w:rPr>
              <w:t>(185)</w:t>
            </w: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69,542</w:t>
            </w:r>
          </w:p>
        </w:tc>
        <w:tc>
          <w:tcPr>
            <w:tcW w:w="0" w:type="dxa"/>
            <w:vAlign w:val="bottom"/>
          </w:tcPr>
          <w:p>
            <w:pPr>
              <w:spacing w:after="0"/>
              <w:rPr>
                <w:sz w:val="1"/>
                <w:szCs w:val="1"/>
                <w:color w:val="auto"/>
              </w:rPr>
            </w:pPr>
          </w:p>
        </w:tc>
      </w:tr>
      <w:tr>
        <w:trPr>
          <w:trHeight w:val="222"/>
        </w:trPr>
        <w:tc>
          <w:tcPr>
            <w:tcW w:w="46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Private investment fund</w:t>
            </w: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(154)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22"/>
        </w:trPr>
        <w:tc>
          <w:tcPr>
            <w:tcW w:w="4660" w:type="dxa"/>
            <w:vAlign w:val="bottom"/>
          </w:tcPr>
          <w:p>
            <w:pPr>
              <w:ind w:left="500"/>
              <w:spacing w:after="0"/>
              <w:rPr>
                <w:sz w:val="20"/>
                <w:szCs w:val="20"/>
                <w:color w:val="auto"/>
              </w:rPr>
            </w:pPr>
            <w:r>
              <w:rPr>
                <w:rFonts w:ascii="Arial" w:cs="Arial" w:eastAsia="Arial" w:hAnsi="Arial"/>
                <w:sz w:val="17"/>
                <w:szCs w:val="17"/>
                <w:color w:val="auto"/>
              </w:rPr>
              <w:t>Private equity</w:t>
            </w:r>
          </w:p>
        </w:tc>
        <w:tc>
          <w:tcPr>
            <w:tcW w:w="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3,420</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3,431</w:t>
            </w:r>
          </w:p>
        </w:tc>
        <w:tc>
          <w:tcPr>
            <w:tcW w:w="0" w:type="dxa"/>
            <w:vAlign w:val="bottom"/>
          </w:tcPr>
          <w:p>
            <w:pPr>
              <w:spacing w:after="0"/>
              <w:rPr>
                <w:sz w:val="1"/>
                <w:szCs w:val="1"/>
                <w:color w:val="auto"/>
              </w:rPr>
            </w:pPr>
          </w:p>
        </w:tc>
      </w:tr>
      <w:tr>
        <w:trPr>
          <w:trHeight w:val="240"/>
        </w:trPr>
        <w:tc>
          <w:tcPr>
            <w:tcW w:w="4660" w:type="dxa"/>
            <w:vAlign w:val="bottom"/>
            <w:tcBorders>
              <w:top w:val="single" w:sz="8" w:color="CCEEFF"/>
              <w:bottom w:val="single" w:sz="8" w:color="CCEEFF"/>
            </w:tcBorders>
            <w:shd w:val="clear" w:color="auto" w:fill="CCEEFF"/>
          </w:tcPr>
          <w:p>
            <w:pPr>
              <w:ind w:left="800"/>
              <w:spacing w:after="0"/>
              <w:rPr>
                <w:sz w:val="20"/>
                <w:szCs w:val="20"/>
                <w:color w:val="auto"/>
              </w:rPr>
            </w:pPr>
            <w:r>
              <w:rPr>
                <w:rFonts w:ascii="Arial" w:cs="Arial" w:eastAsia="Arial" w:hAnsi="Arial"/>
                <w:sz w:val="17"/>
                <w:szCs w:val="17"/>
                <w:color w:val="auto"/>
              </w:rPr>
              <w:t>Total investments carried at fair value</w:t>
            </w:r>
          </w:p>
        </w:tc>
        <w:tc>
          <w:tcPr>
            <w:tcW w:w="7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73,298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ind w:right="537"/>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ind w:right="497"/>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(339)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73,069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FAIR VALUE MEASUREMENTS</w:t>
      </w:r>
    </w:p>
    <w:p>
      <w:pPr>
        <w:spacing w:after="0" w:line="124" w:lineRule="exact"/>
        <w:rPr>
          <w:sz w:val="20"/>
          <w:szCs w:val="20"/>
          <w:color w:val="auto"/>
        </w:rPr>
      </w:pPr>
    </w:p>
    <w:p>
      <w:pPr>
        <w:ind w:right="240" w:firstLine="470"/>
        <w:spacing w:after="0" w:line="287" w:lineRule="auto"/>
        <w:rPr>
          <w:sz w:val="20"/>
          <w:szCs w:val="20"/>
          <w:color w:val="auto"/>
        </w:rPr>
      </w:pPr>
      <w:r>
        <w:rPr>
          <w:rFonts w:ascii="Arial" w:cs="Arial" w:eastAsia="Arial" w:hAnsi="Arial"/>
          <w:sz w:val="17"/>
          <w:szCs w:val="17"/>
          <w:color w:val="auto"/>
        </w:rPr>
        <w:t>ASC 820, Fair Value Measurements, defines fair value, establishes a framework for measuring fair value and requires disclosures regarding certain fair value measurements. ASC 820 establishes a three-tier hierarchy for measuring fair value, as follows:</w:t>
      </w:r>
    </w:p>
    <w:p>
      <w:pPr>
        <w:spacing w:after="0" w:line="55" w:lineRule="exact"/>
        <w:rPr>
          <w:sz w:val="20"/>
          <w:szCs w:val="20"/>
          <w:color w:val="auto"/>
        </w:rPr>
      </w:pPr>
    </w:p>
    <w:p>
      <w:pPr>
        <w:ind w:left="1100" w:hanging="547"/>
        <w:spacing w:after="0"/>
        <w:tabs>
          <w:tab w:leader="none" w:pos="110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1 – quoted market prices in active markets for identical assets</w:t>
      </w:r>
    </w:p>
    <w:p>
      <w:pPr>
        <w:spacing w:after="0" w:line="117" w:lineRule="exact"/>
        <w:rPr>
          <w:rFonts w:ascii="Arial" w:cs="Arial" w:eastAsia="Arial" w:hAnsi="Arial"/>
          <w:sz w:val="17"/>
          <w:szCs w:val="17"/>
          <w:color w:val="auto"/>
        </w:rPr>
      </w:pPr>
    </w:p>
    <w:p>
      <w:pPr>
        <w:ind w:left="1100" w:hanging="547"/>
        <w:spacing w:after="0"/>
        <w:tabs>
          <w:tab w:leader="none" w:pos="110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2 – inputs other than quoted prices that are directly or indirectly observable</w:t>
      </w:r>
    </w:p>
    <w:p>
      <w:pPr>
        <w:spacing w:after="0" w:line="117" w:lineRule="exact"/>
        <w:rPr>
          <w:rFonts w:ascii="Arial" w:cs="Arial" w:eastAsia="Arial" w:hAnsi="Arial"/>
          <w:sz w:val="17"/>
          <w:szCs w:val="17"/>
          <w:color w:val="auto"/>
        </w:rPr>
      </w:pPr>
    </w:p>
    <w:p>
      <w:pPr>
        <w:ind w:left="1100" w:hanging="547"/>
        <w:spacing w:after="0"/>
        <w:tabs>
          <w:tab w:leader="none" w:pos="110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3 – significant unobservable inputs where there is little or no market activity</w:t>
      </w:r>
    </w:p>
    <w:p>
      <w:pPr>
        <w:spacing w:after="0" w:line="118" w:lineRule="exact"/>
        <w:rPr>
          <w:sz w:val="20"/>
          <w:szCs w:val="20"/>
          <w:color w:val="auto"/>
        </w:rPr>
      </w:pPr>
    </w:p>
    <w:p>
      <w:pPr>
        <w:ind w:right="40" w:firstLine="470"/>
        <w:spacing w:after="0" w:line="287" w:lineRule="auto"/>
        <w:rPr>
          <w:sz w:val="20"/>
          <w:szCs w:val="20"/>
          <w:color w:val="auto"/>
        </w:rPr>
      </w:pPr>
      <w:r>
        <w:rPr>
          <w:rFonts w:ascii="Arial" w:cs="Arial" w:eastAsia="Arial" w:hAnsi="Arial"/>
          <w:sz w:val="17"/>
          <w:szCs w:val="17"/>
          <w:color w:val="auto"/>
        </w:rPr>
        <w:t>Our strategic investment in InvestCloud, discussed in Note 5 “Investments,” is excluded from the recurring fair value table shown below because we have elected to apply the measurement alternative for this investment.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left="340" w:right="2180"/>
        <w:spacing w:after="0" w:line="287" w:lineRule="auto"/>
        <w:rPr>
          <w:sz w:val="20"/>
          <w:szCs w:val="20"/>
          <w:color w:val="auto"/>
        </w:rPr>
      </w:pPr>
      <w:r>
        <w:rPr>
          <w:rFonts w:ascii="Arial" w:cs="Arial" w:eastAsia="Arial" w:hAnsi="Arial"/>
          <w:sz w:val="17"/>
          <w:szCs w:val="17"/>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83" w:lineRule="exact"/>
        <w:rPr>
          <w:sz w:val="20"/>
          <w:szCs w:val="20"/>
          <w:color w:val="auto"/>
        </w:rPr>
      </w:pPr>
    </w:p>
    <w:p>
      <w:pPr>
        <w:ind w:right="260" w:firstLine="470"/>
        <w:spacing w:after="0" w:line="279" w:lineRule="auto"/>
        <w:rPr>
          <w:sz w:val="20"/>
          <w:szCs w:val="20"/>
          <w:color w:val="auto"/>
        </w:rPr>
      </w:pPr>
      <w:r>
        <w:rPr>
          <w:rFonts w:ascii="Arial" w:cs="Arial" w:eastAsia="Arial" w:hAnsi="Arial"/>
          <w:sz w:val="17"/>
          <w:szCs w:val="17"/>
          <w:color w:val="auto"/>
        </w:rPr>
        <w:t>The following table summarizes the values of our investments measured at fair value on a recurring basis within the fair value hierarchy as of the dates indicated (in thousands):</w:t>
      </w:r>
    </w:p>
    <w:tbl>
      <w:tblPr>
        <w:tblLayout w:type="fixed"/>
        <w:tblInd w:w="0" w:type="dxa"/>
        <w:tblCellMar>
          <w:top w:w="0" w:type="dxa"/>
          <w:left w:w="0" w:type="dxa"/>
          <w:bottom w:w="0" w:type="dxa"/>
          <w:right w:w="0" w:type="dxa"/>
        </w:tblCellMar>
      </w:tblPr>
      <w:tr>
        <w:trPr>
          <w:trHeight w:val="158"/>
        </w:trPr>
        <w:tc>
          <w:tcPr>
            <w:tcW w:w="3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Level 1</w:t>
            </w:r>
          </w:p>
        </w:tc>
        <w:tc>
          <w:tcPr>
            <w:tcW w:w="640" w:type="dxa"/>
            <w:vAlign w:val="bottom"/>
          </w:tcPr>
          <w:p>
            <w:pPr>
              <w:spacing w:after="0"/>
              <w:rPr>
                <w:sz w:val="13"/>
                <w:szCs w:val="13"/>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Level 2</w:t>
            </w:r>
          </w:p>
        </w:tc>
        <w:tc>
          <w:tcPr>
            <w:tcW w:w="660" w:type="dxa"/>
            <w:vAlign w:val="bottom"/>
          </w:tcPr>
          <w:p>
            <w:pPr>
              <w:spacing w:after="0"/>
              <w:rPr>
                <w:sz w:val="13"/>
                <w:szCs w:val="13"/>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Level 3</w:t>
            </w:r>
          </w:p>
        </w:tc>
        <w:tc>
          <w:tcPr>
            <w:tcW w:w="580" w:type="dxa"/>
            <w:vAlign w:val="bottom"/>
          </w:tcPr>
          <w:p>
            <w:pPr>
              <w:spacing w:after="0"/>
              <w:rPr>
                <w:sz w:val="13"/>
                <w:szCs w:val="13"/>
                <w:color w:val="auto"/>
              </w:rPr>
            </w:pPr>
          </w:p>
        </w:tc>
        <w:tc>
          <w:tcPr>
            <w:tcW w:w="104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Investments</w:t>
            </w:r>
          </w:p>
        </w:tc>
        <w:tc>
          <w:tcPr>
            <w:tcW w:w="720" w:type="dxa"/>
            <w:vAlign w:val="bottom"/>
          </w:tcPr>
          <w:p>
            <w:pPr>
              <w:spacing w:after="0"/>
              <w:rPr>
                <w:sz w:val="13"/>
                <w:szCs w:val="13"/>
                <w:color w:val="auto"/>
              </w:rPr>
            </w:pPr>
          </w:p>
        </w:tc>
        <w:tc>
          <w:tcPr>
            <w:tcW w:w="860" w:type="dxa"/>
            <w:vAlign w:val="bottom"/>
            <w:vMerge w:val="restart"/>
          </w:tcPr>
          <w:p>
            <w:pPr>
              <w:jc w:val="right"/>
              <w:ind w:right="298"/>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20" w:type="dxa"/>
            <w:vAlign w:val="bottom"/>
            <w:gridSpan w:val="3"/>
          </w:tcPr>
          <w:p>
            <w:pPr>
              <w:ind w:left="100"/>
              <w:spacing w:after="0" w:line="208" w:lineRule="exact"/>
              <w:rPr>
                <w:sz w:val="20"/>
                <w:szCs w:val="20"/>
                <w:color w:val="auto"/>
              </w:rPr>
            </w:pPr>
            <w:r>
              <w:rPr>
                <w:rFonts w:ascii="Arial" w:cs="Arial" w:eastAsia="Arial" w:hAnsi="Arial"/>
                <w:sz w:val="16"/>
                <w:szCs w:val="16"/>
                <w:b w:val="1"/>
                <w:bCs w:val="1"/>
                <w:color w:val="auto"/>
                <w:w w:val="98"/>
              </w:rPr>
              <w:t xml:space="preserve">Measured at NAV </w:t>
            </w:r>
            <w:r>
              <w:rPr>
                <w:rFonts w:ascii="Arial" w:cs="Arial" w:eastAsia="Arial" w:hAnsi="Arial"/>
                <w:sz w:val="20"/>
                <w:szCs w:val="20"/>
                <w:color w:val="auto"/>
                <w:w w:val="98"/>
                <w:vertAlign w:val="superscript"/>
              </w:rPr>
              <w:t>(1)</w:t>
            </w:r>
          </w:p>
        </w:tc>
        <w:tc>
          <w:tcPr>
            <w:tcW w:w="7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2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7"/>
                <w:szCs w:val="17"/>
                <w:b w:val="1"/>
                <w:bCs w:val="1"/>
                <w:color w:val="auto"/>
              </w:rPr>
              <w:t>As of September 30, 2021:</w:t>
            </w:r>
          </w:p>
        </w:tc>
        <w:tc>
          <w:tcPr>
            <w:tcW w:w="6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220" w:type="dxa"/>
            <w:vAlign w:val="bottom"/>
          </w:tcPr>
          <w:p>
            <w:pPr>
              <w:ind w:left="500"/>
              <w:spacing w:after="0"/>
              <w:rPr>
                <w:sz w:val="20"/>
                <w:szCs w:val="20"/>
                <w:color w:val="auto"/>
              </w:rPr>
            </w:pPr>
            <w:r>
              <w:rPr>
                <w:rFonts w:ascii="Arial" w:cs="Arial" w:eastAsia="Arial" w:hAnsi="Arial"/>
                <w:sz w:val="17"/>
                <w:szCs w:val="17"/>
                <w:color w:val="auto"/>
              </w:rPr>
              <w:t>Investments in trading securities</w:t>
            </w:r>
          </w:p>
        </w:tc>
        <w:tc>
          <w:tcPr>
            <w:tcW w:w="68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58,094</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58,094</w:t>
            </w:r>
          </w:p>
        </w:tc>
        <w:tc>
          <w:tcPr>
            <w:tcW w:w="0" w:type="dxa"/>
            <w:vAlign w:val="bottom"/>
          </w:tcPr>
          <w:p>
            <w:pPr>
              <w:spacing w:after="0"/>
              <w:rPr>
                <w:sz w:val="1"/>
                <w:szCs w:val="1"/>
                <w:color w:val="auto"/>
              </w:rPr>
            </w:pPr>
          </w:p>
        </w:tc>
      </w:tr>
      <w:tr>
        <w:trPr>
          <w:trHeight w:val="222"/>
        </w:trPr>
        <w:tc>
          <w:tcPr>
            <w:tcW w:w="32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Private investment fund</w:t>
            </w:r>
          </w:p>
        </w:tc>
        <w:tc>
          <w:tcPr>
            <w:tcW w:w="6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22"/>
        </w:trPr>
        <w:tc>
          <w:tcPr>
            <w:tcW w:w="3220" w:type="dxa"/>
            <w:vAlign w:val="bottom"/>
          </w:tcPr>
          <w:p>
            <w:pPr>
              <w:ind w:left="500"/>
              <w:spacing w:after="0"/>
              <w:rPr>
                <w:sz w:val="20"/>
                <w:szCs w:val="20"/>
                <w:color w:val="auto"/>
              </w:rPr>
            </w:pPr>
            <w:r>
              <w:rPr>
                <w:rFonts w:ascii="Arial" w:cs="Arial" w:eastAsia="Arial" w:hAnsi="Arial"/>
                <w:sz w:val="17"/>
                <w:szCs w:val="17"/>
                <w:color w:val="auto"/>
              </w:rPr>
              <w:t>Private equity</w:t>
            </w:r>
          </w:p>
        </w:tc>
        <w:tc>
          <w:tcPr>
            <w:tcW w:w="6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4,074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4,074</w:t>
            </w:r>
          </w:p>
        </w:tc>
        <w:tc>
          <w:tcPr>
            <w:tcW w:w="0" w:type="dxa"/>
            <w:vAlign w:val="bottom"/>
          </w:tcPr>
          <w:p>
            <w:pPr>
              <w:spacing w:after="0"/>
              <w:rPr>
                <w:sz w:val="1"/>
                <w:szCs w:val="1"/>
                <w:color w:val="auto"/>
              </w:rPr>
            </w:pPr>
          </w:p>
        </w:tc>
      </w:tr>
      <w:tr>
        <w:trPr>
          <w:trHeight w:val="227"/>
        </w:trPr>
        <w:tc>
          <w:tcPr>
            <w:tcW w:w="3220" w:type="dxa"/>
            <w:vAlign w:val="bottom"/>
            <w:tcBorders>
              <w:top w:val="single" w:sz="8" w:color="CCEEFF"/>
              <w:bottom w:val="single" w:sz="8" w:color="CCEEFF"/>
            </w:tcBorders>
            <w:shd w:val="clear" w:color="auto" w:fill="CCEEFF"/>
          </w:tcPr>
          <w:p>
            <w:pPr>
              <w:ind w:left="800"/>
              <w:spacing w:after="0"/>
              <w:rPr>
                <w:sz w:val="20"/>
                <w:szCs w:val="20"/>
                <w:color w:val="auto"/>
              </w:rPr>
            </w:pPr>
            <w:r>
              <w:rPr>
                <w:rFonts w:ascii="Arial" w:cs="Arial" w:eastAsia="Arial" w:hAnsi="Arial"/>
                <w:sz w:val="17"/>
                <w:szCs w:val="17"/>
                <w:color w:val="auto"/>
                <w:w w:val="90"/>
              </w:rPr>
              <w:t>Total assets measured at fair value</w:t>
            </w:r>
          </w:p>
        </w:tc>
        <w:tc>
          <w:tcPr>
            <w:tcW w:w="6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58,094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4,074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62,279</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22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As of December 31, 2020:</w:t>
            </w:r>
          </w:p>
        </w:tc>
        <w:tc>
          <w:tcPr>
            <w:tcW w:w="6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220" w:type="dxa"/>
            <w:vAlign w:val="bottom"/>
          </w:tcPr>
          <w:p>
            <w:pPr>
              <w:ind w:left="500"/>
              <w:spacing w:after="0"/>
              <w:rPr>
                <w:sz w:val="20"/>
                <w:szCs w:val="20"/>
                <w:color w:val="auto"/>
              </w:rPr>
            </w:pPr>
            <w:r>
              <w:rPr>
                <w:rFonts w:ascii="Arial" w:cs="Arial" w:eastAsia="Arial" w:hAnsi="Arial"/>
                <w:sz w:val="17"/>
                <w:szCs w:val="17"/>
                <w:color w:val="auto"/>
              </w:rPr>
              <w:t>Investments in trading securities</w:t>
            </w:r>
          </w:p>
        </w:tc>
        <w:tc>
          <w:tcPr>
            <w:tcW w:w="68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69,542</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69,542</w:t>
            </w:r>
          </w:p>
        </w:tc>
        <w:tc>
          <w:tcPr>
            <w:tcW w:w="0" w:type="dxa"/>
            <w:vAlign w:val="bottom"/>
          </w:tcPr>
          <w:p>
            <w:pPr>
              <w:spacing w:after="0"/>
              <w:rPr>
                <w:sz w:val="1"/>
                <w:szCs w:val="1"/>
                <w:color w:val="auto"/>
              </w:rPr>
            </w:pPr>
          </w:p>
        </w:tc>
      </w:tr>
      <w:tr>
        <w:trPr>
          <w:trHeight w:val="222"/>
        </w:trPr>
        <w:tc>
          <w:tcPr>
            <w:tcW w:w="32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Private investment fund</w:t>
            </w:r>
          </w:p>
        </w:tc>
        <w:tc>
          <w:tcPr>
            <w:tcW w:w="6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22"/>
        </w:trPr>
        <w:tc>
          <w:tcPr>
            <w:tcW w:w="3220" w:type="dxa"/>
            <w:vAlign w:val="bottom"/>
          </w:tcPr>
          <w:p>
            <w:pPr>
              <w:ind w:left="500"/>
              <w:spacing w:after="0"/>
              <w:rPr>
                <w:sz w:val="20"/>
                <w:szCs w:val="20"/>
                <w:color w:val="auto"/>
              </w:rPr>
            </w:pPr>
            <w:r>
              <w:rPr>
                <w:rFonts w:ascii="Arial" w:cs="Arial" w:eastAsia="Arial" w:hAnsi="Arial"/>
                <w:sz w:val="17"/>
                <w:szCs w:val="17"/>
                <w:color w:val="auto"/>
              </w:rPr>
              <w:t>Private equity</w:t>
            </w:r>
          </w:p>
        </w:tc>
        <w:tc>
          <w:tcPr>
            <w:tcW w:w="6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3,431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3,431</w:t>
            </w:r>
          </w:p>
        </w:tc>
        <w:tc>
          <w:tcPr>
            <w:tcW w:w="0" w:type="dxa"/>
            <w:vAlign w:val="bottom"/>
          </w:tcPr>
          <w:p>
            <w:pPr>
              <w:spacing w:after="0"/>
              <w:rPr>
                <w:sz w:val="1"/>
                <w:szCs w:val="1"/>
                <w:color w:val="auto"/>
              </w:rPr>
            </w:pPr>
          </w:p>
        </w:tc>
      </w:tr>
      <w:tr>
        <w:trPr>
          <w:trHeight w:val="227"/>
        </w:trPr>
        <w:tc>
          <w:tcPr>
            <w:tcW w:w="3220" w:type="dxa"/>
            <w:vAlign w:val="bottom"/>
            <w:tcBorders>
              <w:top w:val="single" w:sz="8" w:color="CCEEFF"/>
              <w:bottom w:val="single" w:sz="8" w:color="CCEEFF"/>
            </w:tcBorders>
            <w:shd w:val="clear" w:color="auto" w:fill="CCEEFF"/>
          </w:tcPr>
          <w:p>
            <w:pPr>
              <w:ind w:left="800"/>
              <w:spacing w:after="0"/>
              <w:rPr>
                <w:sz w:val="20"/>
                <w:szCs w:val="20"/>
                <w:color w:val="auto"/>
              </w:rPr>
            </w:pPr>
            <w:r>
              <w:rPr>
                <w:rFonts w:ascii="Arial" w:cs="Arial" w:eastAsia="Arial" w:hAnsi="Arial"/>
                <w:sz w:val="17"/>
                <w:szCs w:val="17"/>
                <w:color w:val="auto"/>
                <w:w w:val="90"/>
              </w:rPr>
              <w:t>Total assets measured at fair value</w:t>
            </w:r>
          </w:p>
        </w:tc>
        <w:tc>
          <w:tcPr>
            <w:tcW w:w="6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69,542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73,069</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20" w:right="500" w:firstLine="472"/>
        <w:spacing w:after="0" w:line="229" w:lineRule="auto"/>
        <w:tabs>
          <w:tab w:leader="none" w:pos="687" w:val="left"/>
        </w:tabs>
        <w:numPr>
          <w:ilvl w:val="0"/>
          <w:numId w:val="6"/>
        </w:numPr>
        <w:rPr>
          <w:rFonts w:ascii="Arial" w:cs="Arial" w:eastAsia="Arial" w:hAnsi="Arial"/>
          <w:sz w:val="14"/>
          <w:szCs w:val="14"/>
          <w:color w:val="auto"/>
        </w:rPr>
      </w:pPr>
      <w:r>
        <w:rPr>
          <w:rFonts w:ascii="Arial" w:cs="Arial" w:eastAsia="Arial" w:hAnsi="Arial"/>
          <w:sz w:val="14"/>
          <w:szCs w:val="14"/>
          <w:color w:val="auto"/>
        </w:rPr>
        <w:t>Comprised of certain investments measured at fair value using net asset value ("NAV") as a practical expedient. The fair value amounts presented in this table are intended to permit reconciliation of the fair value hierarchy to the amounts presented on our Condensed Consolidated Balance Sheets.</w:t>
      </w:r>
    </w:p>
    <w:p>
      <w:pPr>
        <w:spacing w:after="0" w:line="90" w:lineRule="exact"/>
        <w:rPr>
          <w:sz w:val="20"/>
          <w:szCs w:val="20"/>
          <w:color w:val="auto"/>
        </w:rPr>
      </w:pPr>
    </w:p>
    <w:p>
      <w:pPr>
        <w:jc w:val="both"/>
        <w:ind w:right="80" w:firstLine="470"/>
        <w:spacing w:after="0" w:line="266" w:lineRule="auto"/>
        <w:rPr>
          <w:sz w:val="20"/>
          <w:szCs w:val="20"/>
          <w:color w:val="auto"/>
        </w:rPr>
      </w:pPr>
      <w:r>
        <w:rPr>
          <w:rFonts w:ascii="Arial" w:cs="Arial" w:eastAsia="Arial" w:hAnsi="Arial"/>
          <w:sz w:val="17"/>
          <w:szCs w:val="17"/>
          <w:color w:val="auto"/>
        </w:rPr>
        <w:t>Our investment in Charis is included within Level 3 of the fair value hierarchy as we value that investment utilizing inputs not observable in the market. Our investment is measured at fair value on a recurring basis using a market approach based on a price to tangible book value multiple range that is determined to be reasonable in the current environment, or on market transactions. Management believes this valuation methodology is consistent with the banking industry and we will reevaluate our methodology and inputs on a quarterly basis.</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following table summarizes the changes in Level 3 investments measured at fair value on a recurring basis for the periods presented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2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60" w:type="dxa"/>
            <w:vAlign w:val="bottom"/>
            <w:tcBorders>
              <w:bottom w:val="single" w:sz="8" w:color="auto"/>
            </w:tcBorders>
            <w:gridSpan w:val="7"/>
          </w:tcPr>
          <w:p>
            <w:pPr>
              <w:ind w:left="340"/>
              <w:spacing w:after="0"/>
              <w:rPr>
                <w:sz w:val="20"/>
                <w:szCs w:val="20"/>
                <w:color w:val="auto"/>
              </w:rPr>
            </w:pPr>
            <w:r>
              <w:rPr>
                <w:rFonts w:ascii="Arial" w:cs="Arial" w:eastAsia="Arial" w:hAnsi="Arial"/>
                <w:sz w:val="15"/>
                <w:szCs w:val="15"/>
                <w:b w:val="1"/>
                <w:bCs w:val="1"/>
                <w:color w:val="auto"/>
                <w:w w:val="94"/>
              </w:rPr>
              <w:t>Fair Value using Significant Unobservable Inputs (Level 3)</w:t>
            </w: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420" w:type="dxa"/>
            <w:vAlign w:val="bottom"/>
          </w:tcPr>
          <w:p>
            <w:pPr>
              <w:spacing w:after="0"/>
              <w:rPr>
                <w:sz w:val="16"/>
                <w:szCs w:val="16"/>
                <w:color w:val="auto"/>
              </w:rPr>
            </w:pPr>
          </w:p>
        </w:tc>
        <w:tc>
          <w:tcPr>
            <w:tcW w:w="334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Three Months Ended September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5"/>
          </w:tcPr>
          <w:p>
            <w:pPr>
              <w:jc w:val="right"/>
              <w:ind w:right="523"/>
              <w:spacing w:after="0"/>
              <w:rPr>
                <w:sz w:val="20"/>
                <w:szCs w:val="20"/>
                <w:color w:val="auto"/>
              </w:rPr>
            </w:pPr>
            <w:r>
              <w:rPr>
                <w:rFonts w:ascii="Arial" w:cs="Arial" w:eastAsia="Arial" w:hAnsi="Arial"/>
                <w:sz w:val="15"/>
                <w:szCs w:val="15"/>
                <w:b w:val="1"/>
                <w:bCs w:val="1"/>
                <w:color w:val="auto"/>
              </w:rPr>
              <w:t>Nine Months Ended September 30,</w:t>
            </w:r>
          </w:p>
        </w:tc>
        <w:tc>
          <w:tcPr>
            <w:tcW w:w="0" w:type="dxa"/>
            <w:vAlign w:val="bottom"/>
          </w:tcPr>
          <w:p>
            <w:pPr>
              <w:spacing w:after="0"/>
              <w:rPr>
                <w:sz w:val="1"/>
                <w:szCs w:val="1"/>
                <w:color w:val="auto"/>
              </w:rPr>
            </w:pPr>
          </w:p>
        </w:tc>
      </w:tr>
      <w:tr>
        <w:trPr>
          <w:trHeight w:val="189"/>
        </w:trPr>
        <w:tc>
          <w:tcPr>
            <w:tcW w:w="34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204"/>
        </w:trPr>
        <w:tc>
          <w:tcPr>
            <w:tcW w:w="342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Beginning balance</w:t>
            </w:r>
          </w:p>
        </w:tc>
        <w:tc>
          <w:tcPr>
            <w:tcW w:w="138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4,087</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3,314</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3,431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3,975</w:t>
            </w:r>
          </w:p>
        </w:tc>
        <w:tc>
          <w:tcPr>
            <w:tcW w:w="0" w:type="dxa"/>
            <w:vAlign w:val="bottom"/>
          </w:tcPr>
          <w:p>
            <w:pPr>
              <w:spacing w:after="0"/>
              <w:rPr>
                <w:sz w:val="1"/>
                <w:szCs w:val="1"/>
                <w:color w:val="auto"/>
              </w:rPr>
            </w:pPr>
          </w:p>
        </w:tc>
      </w:tr>
      <w:tr>
        <w:trPr>
          <w:trHeight w:val="160"/>
        </w:trPr>
        <w:tc>
          <w:tcPr>
            <w:tcW w:w="3420" w:type="dxa"/>
            <w:vAlign w:val="bottom"/>
          </w:tcPr>
          <w:p>
            <w:pPr>
              <w:ind w:left="600"/>
              <w:spacing w:after="0" w:line="160" w:lineRule="exact"/>
              <w:rPr>
                <w:sz w:val="20"/>
                <w:szCs w:val="20"/>
                <w:color w:val="auto"/>
              </w:rPr>
            </w:pPr>
            <w:r>
              <w:rPr>
                <w:rFonts w:ascii="Arial" w:cs="Arial" w:eastAsia="Arial" w:hAnsi="Arial"/>
                <w:sz w:val="16"/>
                <w:szCs w:val="16"/>
                <w:color w:val="auto"/>
              </w:rPr>
              <w:t>Unrealized gains (losses) on private</w:t>
            </w:r>
          </w:p>
        </w:tc>
        <w:tc>
          <w:tcPr>
            <w:tcW w:w="138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vMerge w:val="restart"/>
          </w:tcPr>
          <w:p>
            <w:pPr>
              <w:jc w:val="right"/>
              <w:ind w:right="3"/>
              <w:spacing w:after="0"/>
              <w:rPr>
                <w:sz w:val="20"/>
                <w:szCs w:val="20"/>
                <w:color w:val="auto"/>
              </w:rPr>
            </w:pPr>
            <w:r>
              <w:rPr>
                <w:rFonts w:ascii="Arial" w:cs="Arial" w:eastAsia="Arial" w:hAnsi="Arial"/>
                <w:sz w:val="16"/>
                <w:szCs w:val="16"/>
                <w:color w:val="auto"/>
              </w:rPr>
              <w:t>643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(734)</w:t>
            </w:r>
          </w:p>
        </w:tc>
        <w:tc>
          <w:tcPr>
            <w:tcW w:w="0" w:type="dxa"/>
            <w:vAlign w:val="bottom"/>
          </w:tcPr>
          <w:p>
            <w:pPr>
              <w:spacing w:after="0"/>
              <w:rPr>
                <w:sz w:val="1"/>
                <w:szCs w:val="1"/>
                <w:color w:val="auto"/>
              </w:rPr>
            </w:pPr>
          </w:p>
        </w:tc>
      </w:tr>
      <w:tr>
        <w:trPr>
          <w:trHeight w:val="203"/>
        </w:trPr>
        <w:tc>
          <w:tcPr>
            <w:tcW w:w="34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investments</w:t>
            </w:r>
          </w:p>
        </w:tc>
        <w:tc>
          <w:tcPr>
            <w:tcW w:w="13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Ending balance</w:t>
            </w:r>
          </w:p>
        </w:tc>
        <w:tc>
          <w:tcPr>
            <w:tcW w:w="1380" w:type="dxa"/>
            <w:vAlign w:val="bottom"/>
            <w:tcBorders>
              <w:bottom w:val="single" w:sz="8" w:color="auto"/>
            </w:tcBorders>
            <w:shd w:val="clear" w:color="auto" w:fill="CCEEFF"/>
          </w:tcPr>
          <w:p>
            <w:pPr>
              <w:jc w:val="right"/>
              <w:ind w:right="744"/>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4,074</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44"/>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3,241</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4,074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3,241</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right="500" w:firstLine="470"/>
        <w:spacing w:after="0" w:line="296" w:lineRule="auto"/>
        <w:rPr>
          <w:sz w:val="20"/>
          <w:szCs w:val="20"/>
          <w:color w:val="auto"/>
        </w:rPr>
      </w:pPr>
      <w:r>
        <w:rPr>
          <w:rFonts w:ascii="Arial" w:cs="Arial" w:eastAsia="Arial" w:hAnsi="Arial"/>
          <w:sz w:val="16"/>
          <w:szCs w:val="16"/>
          <w:color w:val="auto"/>
        </w:rPr>
        <w:t>The September 30, 2021 private investment fair value of $4.1 million was valued using a market approach based on a price to tangible book value multiple, with unobservable book value multiples ranging from $1.42 to $2.22 per share, with a weighted average of $1.50 per share. Significant increases (decreases) in book value multiples in isolation would have resulted in a significantly higher (lower) fair value measurement.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222222"/>
        </w:rPr>
        <w:t>7. INCOME TAXES</w:t>
      </w:r>
    </w:p>
    <w:p>
      <w:pPr>
        <w:spacing w:after="0" w:line="124" w:lineRule="exact"/>
        <w:rPr>
          <w:sz w:val="20"/>
          <w:szCs w:val="20"/>
          <w:color w:val="auto"/>
        </w:rPr>
      </w:pPr>
    </w:p>
    <w:p>
      <w:pPr>
        <w:jc w:val="both"/>
        <w:ind w:right="60" w:firstLine="470"/>
        <w:spacing w:after="0" w:line="266" w:lineRule="auto"/>
        <w:rPr>
          <w:sz w:val="20"/>
          <w:szCs w:val="20"/>
          <w:color w:val="auto"/>
        </w:rPr>
      </w:pPr>
      <w:r>
        <w:rPr>
          <w:rFonts w:ascii="Arial" w:cs="Arial" w:eastAsia="Arial" w:hAnsi="Arial"/>
          <w:sz w:val="17"/>
          <w:szCs w:val="17"/>
          <w:color w:val="auto"/>
        </w:rPr>
        <w:t>Our effective income tax rate differed from the 21% statutory rate for the three and nine months ended September 30, 2021 due to permanent differences between book and tax restricted stock expense based on a decrease in our stock price between the restricted stock grant and vesting date. In addition, in the first quarter of 2020, a discrete benefit adjustment related to the remeasurement of certain deferred taxes following the enactment of the Coronavirus Aid, Relief, and Economic Security Act (the "CARES Act") lowered our effective tax rate.</w:t>
      </w:r>
    </w:p>
    <w:p>
      <w:pPr>
        <w:spacing w:after="0" w:line="73" w:lineRule="exact"/>
        <w:rPr>
          <w:sz w:val="20"/>
          <w:szCs w:val="20"/>
          <w:color w:val="auto"/>
        </w:rPr>
      </w:pPr>
    </w:p>
    <w:p>
      <w:pPr>
        <w:jc w:val="both"/>
        <w:ind w:right="140" w:firstLine="470"/>
        <w:spacing w:after="0" w:line="288" w:lineRule="auto"/>
        <w:rPr>
          <w:sz w:val="20"/>
          <w:szCs w:val="20"/>
          <w:color w:val="auto"/>
        </w:rPr>
      </w:pPr>
      <w:r>
        <w:rPr>
          <w:rFonts w:ascii="Arial" w:cs="Arial" w:eastAsia="Arial" w:hAnsi="Arial"/>
          <w:sz w:val="16"/>
          <w:szCs w:val="16"/>
          <w:color w:val="auto"/>
        </w:rPr>
        <w:t>Our effective income tax rate differed from the 21% statutory rate for the three and nine months ended September 30, 2020 due to permanent differences between book and tax restricted stock expense based on a decrease in our stock price between the restricted stock grant and vesting date, and a 5% incremental Canadian withholding tax (net of U.S. tax federal deduction) incurred on repatriated funds following closure of our Westwood International Advisors office in the third quarter of 2020, partially offset by the enactment of the CARES Act which lowered our effective tax rate.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left="340" w:right="2180"/>
        <w:spacing w:after="0" w:line="287" w:lineRule="auto"/>
        <w:rPr>
          <w:sz w:val="20"/>
          <w:szCs w:val="20"/>
          <w:color w:val="auto"/>
        </w:rPr>
      </w:pPr>
      <w:r>
        <w:rPr>
          <w:rFonts w:ascii="Arial" w:cs="Arial" w:eastAsia="Arial" w:hAnsi="Arial"/>
          <w:sz w:val="17"/>
          <w:szCs w:val="17"/>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EARNINGS (LOSS) PER SHARE</w:t>
      </w:r>
    </w:p>
    <w:p>
      <w:pPr>
        <w:spacing w:after="0" w:line="124" w:lineRule="exact"/>
        <w:rPr>
          <w:sz w:val="20"/>
          <w:szCs w:val="20"/>
          <w:color w:val="auto"/>
        </w:rPr>
      </w:pPr>
    </w:p>
    <w:p>
      <w:pPr>
        <w:ind w:right="80" w:firstLine="470"/>
        <w:spacing w:after="0" w:line="284" w:lineRule="auto"/>
        <w:rPr>
          <w:sz w:val="20"/>
          <w:szCs w:val="20"/>
          <w:color w:val="auto"/>
        </w:rPr>
      </w:pPr>
      <w:r>
        <w:rPr>
          <w:rFonts w:ascii="Arial" w:cs="Arial" w:eastAsia="Arial" w:hAnsi="Arial"/>
          <w:sz w:val="16"/>
          <w:szCs w:val="16"/>
          <w:color w:val="auto"/>
        </w:rPr>
        <w:t>Basic earnings (loss) per common share is computed by dividing net income (loss) available to common stockholders by the weighted average number of shares outstanding for the applicable period. Diluted earnings (loss) per share is computed based on the weighted average number of shares outstanding plus the effect of any dilutive shares of restricted stock granted to employees and non-employee directors. There were approximately 40,000 and 623,000 anti-dilutive restricted shares outstanding for the three months ended September 30, 2021 and September 30, 2020, respectively. There were approximately 138,000 and 360,000 anti-dilutive restricted shares outstanding for the nine months ended September 30, 2021 and September 30, 2020, respectively.</w:t>
      </w:r>
    </w:p>
    <w:p>
      <w:pPr>
        <w:spacing w:after="0" w:line="6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sets forth the computation of basic and diluted earnings (loss) per share (in thousands, except per share and share amounts):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98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720" w:type="dxa"/>
            <w:vAlign w:val="bottom"/>
          </w:tcPr>
          <w:p>
            <w:pPr>
              <w:spacing w:after="0"/>
              <w:rPr>
                <w:sz w:val="17"/>
                <w:szCs w:val="17"/>
                <w:color w:val="auto"/>
              </w:rPr>
            </w:pPr>
          </w:p>
        </w:tc>
        <w:tc>
          <w:tcPr>
            <w:tcW w:w="2860" w:type="dxa"/>
            <w:vAlign w:val="bottom"/>
            <w:gridSpan w:val="4"/>
          </w:tcPr>
          <w:p>
            <w:pPr>
              <w:jc w:val="right"/>
              <w:ind w:right="294"/>
              <w:spacing w:after="0"/>
              <w:rPr>
                <w:sz w:val="20"/>
                <w:szCs w:val="20"/>
                <w:color w:val="auto"/>
              </w:rPr>
            </w:pPr>
            <w:r>
              <w:rPr>
                <w:rFonts w:ascii="Arial" w:cs="Arial" w:eastAsia="Arial" w:hAnsi="Arial"/>
                <w:sz w:val="16"/>
                <w:szCs w:val="16"/>
                <w:b w:val="1"/>
                <w:bCs w:val="1"/>
                <w:color w:val="auto"/>
                <w:w w:val="93"/>
              </w:rPr>
              <w:t>Nine Months Ended September 30,</w:t>
            </w:r>
          </w:p>
        </w:tc>
        <w:tc>
          <w:tcPr>
            <w:tcW w:w="0" w:type="dxa"/>
            <w:vAlign w:val="bottom"/>
          </w:tcPr>
          <w:p>
            <w:pPr>
              <w:spacing w:after="0"/>
              <w:rPr>
                <w:sz w:val="1"/>
                <w:szCs w:val="1"/>
                <w:color w:val="auto"/>
              </w:rPr>
            </w:pPr>
          </w:p>
        </w:tc>
      </w:tr>
      <w:tr>
        <w:trPr>
          <w:trHeight w:val="202"/>
        </w:trPr>
        <w:tc>
          <w:tcPr>
            <w:tcW w:w="398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Net income (loss)</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(10,289)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(11,762)</w:t>
            </w:r>
          </w:p>
        </w:tc>
        <w:tc>
          <w:tcPr>
            <w:tcW w:w="0" w:type="dxa"/>
            <w:vAlign w:val="bottom"/>
          </w:tcPr>
          <w:p>
            <w:pPr>
              <w:spacing w:after="0"/>
              <w:rPr>
                <w:sz w:val="1"/>
                <w:szCs w:val="1"/>
                <w:color w:val="auto"/>
              </w:rPr>
            </w:pPr>
          </w:p>
        </w:tc>
      </w:tr>
      <w:tr>
        <w:trPr>
          <w:trHeight w:val="248"/>
        </w:trPr>
        <w:tc>
          <w:tcPr>
            <w:tcW w:w="3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9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w w:val="94"/>
              </w:rPr>
              <w:t>Weighted average shares outstanding - basic</w:t>
            </w: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7,887,259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7,829,478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7,886,359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8,040,417</w:t>
            </w:r>
          </w:p>
        </w:tc>
        <w:tc>
          <w:tcPr>
            <w:tcW w:w="0" w:type="dxa"/>
            <w:vAlign w:val="bottom"/>
          </w:tcPr>
          <w:p>
            <w:pPr>
              <w:spacing w:after="0"/>
              <w:rPr>
                <w:sz w:val="1"/>
                <w:szCs w:val="1"/>
                <w:color w:val="auto"/>
              </w:rPr>
            </w:pPr>
          </w:p>
        </w:tc>
      </w:tr>
      <w:tr>
        <w:trPr>
          <w:trHeight w:val="170"/>
        </w:trPr>
        <w:tc>
          <w:tcPr>
            <w:tcW w:w="3980" w:type="dxa"/>
            <w:vAlign w:val="bottom"/>
          </w:tcPr>
          <w:p>
            <w:pPr>
              <w:ind w:left="500"/>
              <w:spacing w:after="0" w:line="171" w:lineRule="exact"/>
              <w:rPr>
                <w:sz w:val="20"/>
                <w:szCs w:val="20"/>
                <w:color w:val="auto"/>
              </w:rPr>
            </w:pPr>
            <w:r>
              <w:rPr>
                <w:rFonts w:ascii="Arial" w:cs="Arial" w:eastAsia="Arial" w:hAnsi="Arial"/>
                <w:sz w:val="17"/>
                <w:szCs w:val="17"/>
                <w:color w:val="auto"/>
                <w:w w:val="94"/>
              </w:rPr>
              <w:t>Dilutive potential shares from unvested restricted</w:t>
            </w:r>
          </w:p>
        </w:tc>
        <w:tc>
          <w:tcPr>
            <w:tcW w:w="7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68,822</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47,501</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3980" w:type="dxa"/>
            <w:vAlign w:val="bottom"/>
          </w:tcPr>
          <w:p>
            <w:pPr>
              <w:ind w:left="20"/>
              <w:spacing w:after="0"/>
              <w:rPr>
                <w:sz w:val="20"/>
                <w:szCs w:val="20"/>
                <w:color w:val="auto"/>
              </w:rPr>
            </w:pPr>
            <w:r>
              <w:rPr>
                <w:rFonts w:ascii="Arial" w:cs="Arial" w:eastAsia="Arial" w:hAnsi="Arial"/>
                <w:sz w:val="17"/>
                <w:szCs w:val="17"/>
                <w:color w:val="auto"/>
              </w:rPr>
              <w:t>shares</w:t>
            </w:r>
          </w:p>
        </w:tc>
        <w:tc>
          <w:tcPr>
            <w:tcW w:w="7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7"/>
                <w:szCs w:val="17"/>
                <w:b w:val="1"/>
                <w:bCs w:val="1"/>
                <w:color w:val="auto"/>
                <w:w w:val="91"/>
              </w:rPr>
              <w:t>Weighted average shares outstanding - diluted</w:t>
            </w:r>
          </w:p>
        </w:tc>
        <w:tc>
          <w:tcPr>
            <w:tcW w:w="7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7,956,081</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7,829,478</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7,933,860</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8,040,417</w:t>
            </w:r>
          </w:p>
        </w:tc>
        <w:tc>
          <w:tcPr>
            <w:tcW w:w="0" w:type="dxa"/>
            <w:vAlign w:val="bottom"/>
          </w:tcPr>
          <w:p>
            <w:pPr>
              <w:spacing w:after="0"/>
              <w:rPr>
                <w:sz w:val="1"/>
                <w:szCs w:val="1"/>
                <w:color w:val="auto"/>
              </w:rPr>
            </w:pPr>
          </w:p>
        </w:tc>
      </w:tr>
      <w:tr>
        <w:trPr>
          <w:trHeight w:val="248"/>
        </w:trPr>
        <w:tc>
          <w:tcPr>
            <w:tcW w:w="3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98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Earnings (loss) per share:</w:t>
            </w: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980" w:type="dxa"/>
            <w:vAlign w:val="bottom"/>
          </w:tcPr>
          <w:p>
            <w:pPr>
              <w:ind w:left="500"/>
              <w:spacing w:after="0"/>
              <w:rPr>
                <w:sz w:val="20"/>
                <w:szCs w:val="20"/>
                <w:color w:val="auto"/>
              </w:rPr>
            </w:pPr>
            <w:r>
              <w:rPr>
                <w:rFonts w:ascii="Arial" w:cs="Arial" w:eastAsia="Arial" w:hAnsi="Arial"/>
                <w:sz w:val="17"/>
                <w:szCs w:val="17"/>
                <w:color w:val="auto"/>
              </w:rPr>
              <w:t>Basic</w:t>
            </w:r>
          </w:p>
        </w:tc>
        <w:tc>
          <w:tcPr>
            <w:tcW w:w="70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0.24</w:t>
            </w:r>
          </w:p>
        </w:tc>
        <w:tc>
          <w:tcPr>
            <w:tcW w:w="10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(1.31)</w:t>
            </w:r>
          </w:p>
        </w:tc>
        <w:tc>
          <w:tcPr>
            <w:tcW w:w="10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0.88</w:t>
            </w:r>
          </w:p>
        </w:tc>
        <w:tc>
          <w:tcPr>
            <w:tcW w:w="10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22"/>
        </w:trPr>
        <w:tc>
          <w:tcPr>
            <w:tcW w:w="39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Diluted</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GOODWILL AND OTHER INTANGIBLE ASSETS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124" w:lineRule="exact"/>
        <w:rPr>
          <w:sz w:val="20"/>
          <w:szCs w:val="20"/>
          <w:color w:val="auto"/>
        </w:rPr>
      </w:pPr>
    </w:p>
    <w:p>
      <w:pPr>
        <w:ind w:right="60" w:firstLine="470"/>
        <w:spacing w:after="0" w:line="296" w:lineRule="auto"/>
        <w:rPr>
          <w:sz w:val="20"/>
          <w:szCs w:val="20"/>
          <w:color w:val="auto"/>
        </w:rPr>
      </w:pPr>
      <w:r>
        <w:rPr>
          <w:rFonts w:ascii="Arial" w:cs="Arial" w:eastAsia="Arial" w:hAnsi="Arial"/>
          <w:sz w:val="16"/>
          <w:szCs w:val="16"/>
          <w:color w:val="auto"/>
        </w:rPr>
        <w:t>Goodwill represents the excess of the cost of acquired assets over the fair value of the underlying identifiable assets at the date of acquisition. Goodwill is not amortized but is tested for impairment at least annually. We completed our most recent annual goodwill impairment assessment during the third quarter of 2021, and determined that no goodwill impairment was required. In 2020 we recorded $3.4 million of impairment expense related to our Advisory segment.</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Intangible Assets</w:t>
      </w:r>
    </w:p>
    <w:p>
      <w:pPr>
        <w:spacing w:after="0" w:line="124" w:lineRule="exact"/>
        <w:rPr>
          <w:sz w:val="20"/>
          <w:szCs w:val="20"/>
          <w:color w:val="auto"/>
        </w:rPr>
      </w:pPr>
    </w:p>
    <w:p>
      <w:pPr>
        <w:ind w:right="240" w:firstLine="470"/>
        <w:spacing w:after="0" w:line="266" w:lineRule="auto"/>
        <w:rPr>
          <w:sz w:val="20"/>
          <w:szCs w:val="20"/>
          <w:color w:val="auto"/>
        </w:rPr>
      </w:pPr>
      <w:r>
        <w:rPr>
          <w:rFonts w:ascii="Arial" w:cs="Arial" w:eastAsia="Arial" w:hAnsi="Arial"/>
          <w:sz w:val="17"/>
          <w:szCs w:val="17"/>
          <w:color w:val="auto"/>
        </w:rPr>
        <w:t>Our intangible assets represent the acquisition date fair value of acquired client relationships, trade names, non-compete agreements and internally developed software and are reflected net of amortization. In valuing these assets, we made significant estimates regarding their useful lives, growth rates and potential attrition. We periodically review intangible assets for events or circumstances that would indicate impairment. No intangible asset impairments were recorded during the three and nine months ended September 30, 2021 or September 30, 2020.</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222222"/>
        </w:rPr>
        <w:t>10. LEASES</w:t>
      </w:r>
    </w:p>
    <w:p>
      <w:pPr>
        <w:spacing w:after="0" w:line="124" w:lineRule="exact"/>
        <w:rPr>
          <w:sz w:val="20"/>
          <w:szCs w:val="20"/>
          <w:color w:val="auto"/>
        </w:rPr>
      </w:pPr>
    </w:p>
    <w:p>
      <w:pPr>
        <w:ind w:right="180" w:firstLine="470"/>
        <w:spacing w:after="0" w:line="287" w:lineRule="auto"/>
        <w:rPr>
          <w:sz w:val="20"/>
          <w:szCs w:val="20"/>
          <w:color w:val="auto"/>
        </w:rPr>
      </w:pPr>
      <w:r>
        <w:rPr>
          <w:rFonts w:ascii="Arial" w:cs="Arial" w:eastAsia="Arial" w:hAnsi="Arial"/>
          <w:sz w:val="17"/>
          <w:szCs w:val="17"/>
          <w:color w:val="auto"/>
        </w:rPr>
        <w:t>In February 2021, we sublet approximately 10,000 square feet of our Dallas, Texas office space to a third party. The agreement began in the first quarter of 2021 and provides for monthly rent of approximately $20,000 through the fourth quarter of 2025.</w:t>
      </w:r>
    </w:p>
    <w:p>
      <w:pPr>
        <w:spacing w:after="0" w:line="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 February 2021, we terminated our Toronto, Ontario office space lease, originally expiring in October 2021.</w:t>
      </w:r>
    </w:p>
    <w:p>
      <w:pPr>
        <w:spacing w:after="0" w:line="118" w:lineRule="exact"/>
        <w:rPr>
          <w:sz w:val="20"/>
          <w:szCs w:val="20"/>
          <w:color w:val="auto"/>
        </w:rPr>
      </w:pPr>
    </w:p>
    <w:p>
      <w:pPr>
        <w:ind w:right="540" w:firstLine="470"/>
        <w:spacing w:after="0" w:line="272" w:lineRule="auto"/>
        <w:rPr>
          <w:sz w:val="20"/>
          <w:szCs w:val="20"/>
          <w:color w:val="auto"/>
        </w:rPr>
      </w:pPr>
      <w:r>
        <w:rPr>
          <w:rFonts w:ascii="Arial" w:cs="Arial" w:eastAsia="Arial" w:hAnsi="Arial"/>
          <w:sz w:val="17"/>
          <w:szCs w:val="17"/>
          <w:color w:val="auto"/>
        </w:rPr>
        <w:t>As of September 30, 2021, aside from the above, there have been no material changes outside the ordinary course of business to our leases since December 31, 2020. For information regarding our leases, refer to Note 11 “Leases” in Part IV, Item 15. “Exhibits, Financial Statement Schedules” in our Annual Report on Form 10-K for the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left="340" w:right="2180"/>
        <w:spacing w:after="0" w:line="287" w:lineRule="auto"/>
        <w:rPr>
          <w:sz w:val="20"/>
          <w:szCs w:val="20"/>
          <w:color w:val="auto"/>
        </w:rPr>
      </w:pPr>
      <w:r>
        <w:rPr>
          <w:rFonts w:ascii="Arial" w:cs="Arial" w:eastAsia="Arial" w:hAnsi="Arial"/>
          <w:sz w:val="17"/>
          <w:szCs w:val="17"/>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77" w:lineRule="exact"/>
        <w:rPr>
          <w:sz w:val="20"/>
          <w:szCs w:val="20"/>
          <w:color w:val="auto"/>
        </w:rPr>
      </w:pPr>
    </w:p>
    <w:p>
      <w:pPr>
        <w:ind w:right="8740" w:firstLine="4"/>
        <w:spacing w:after="0" w:line="388" w:lineRule="auto"/>
        <w:tabs>
          <w:tab w:leader="none" w:pos="251"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Share Repurchase Program</w:t>
      </w:r>
    </w:p>
    <w:p>
      <w:pPr>
        <w:spacing w:after="0" w:line="1" w:lineRule="exact"/>
        <w:rPr>
          <w:sz w:val="20"/>
          <w:szCs w:val="20"/>
          <w:color w:val="auto"/>
        </w:rPr>
      </w:pPr>
    </w:p>
    <w:p>
      <w:pPr>
        <w:ind w:right="20" w:firstLine="470"/>
        <w:spacing w:after="0" w:line="272" w:lineRule="auto"/>
        <w:rPr>
          <w:sz w:val="20"/>
          <w:szCs w:val="20"/>
          <w:color w:val="auto"/>
        </w:rPr>
      </w:pPr>
      <w:r>
        <w:rPr>
          <w:rFonts w:ascii="Arial" w:cs="Arial" w:eastAsia="Arial" w:hAnsi="Arial"/>
          <w:sz w:val="17"/>
          <w:szCs w:val="17"/>
          <w:color w:val="auto"/>
        </w:rPr>
        <w:t>In February 2020, our Board of Directors authorized management to repurchase up to an additional $10.0 million of our outstanding common stock on the open market or in privately negotiated transactions. In April 2020, our Board of Directors authorized management to repurchase up to an additional $10.0 million of share repurchases under our share repurchase program.</w:t>
      </w:r>
    </w:p>
    <w:p>
      <w:pPr>
        <w:spacing w:after="0" w:line="66" w:lineRule="exact"/>
        <w:rPr>
          <w:sz w:val="20"/>
          <w:szCs w:val="20"/>
          <w:color w:val="auto"/>
        </w:rPr>
      </w:pPr>
    </w:p>
    <w:p>
      <w:pPr>
        <w:ind w:right="60" w:firstLine="470"/>
        <w:spacing w:after="0" w:line="266" w:lineRule="auto"/>
        <w:rPr>
          <w:sz w:val="20"/>
          <w:szCs w:val="20"/>
          <w:color w:val="auto"/>
        </w:rPr>
      </w:pPr>
      <w:r>
        <w:rPr>
          <w:rFonts w:ascii="Arial" w:cs="Arial" w:eastAsia="Arial" w:hAnsi="Arial"/>
          <w:sz w:val="17"/>
          <w:szCs w:val="17"/>
          <w:color w:val="auto"/>
        </w:rPr>
        <w:t>During the three months ended September 30, 2021, the Company repurchased 25,502 shares of our common stock at an average price of $19.57 per share, including commissions, for an aggregate purchase price of $0.5 million under our share repurchase plan. During the nine months ended September 30, 2021, the Company repurchased 136,859 shares of our common stock at an average price of $16.07 per share, including commissions, for an aggregate purchase price of $2.2 million under our share repurchase plan.</w:t>
      </w:r>
    </w:p>
    <w:p>
      <w:pPr>
        <w:spacing w:after="0" w:line="73" w:lineRule="exact"/>
        <w:rPr>
          <w:sz w:val="20"/>
          <w:szCs w:val="20"/>
          <w:color w:val="auto"/>
        </w:rPr>
      </w:pPr>
    </w:p>
    <w:p>
      <w:pPr>
        <w:jc w:val="both"/>
        <w:ind w:right="360" w:firstLine="470"/>
        <w:spacing w:after="0" w:line="272" w:lineRule="auto"/>
        <w:rPr>
          <w:sz w:val="20"/>
          <w:szCs w:val="20"/>
          <w:color w:val="auto"/>
        </w:rPr>
      </w:pPr>
      <w:r>
        <w:rPr>
          <w:rFonts w:ascii="Arial" w:cs="Arial" w:eastAsia="Arial" w:hAnsi="Arial"/>
          <w:sz w:val="17"/>
          <w:szCs w:val="17"/>
          <w:color w:val="auto"/>
        </w:rPr>
        <w:t>The Company did not repurchase any shares of our common stock during the three months ended September 30, 2020. During the nine months ended September 30, 2020, the Company repurchased 679,756 shares of our common stock at an average price of $19.05 per share, including commissions, for an aggregate purchase price of $13.0 million under our share repurchase plan.</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Return of Capital Distribution</w:t>
      </w:r>
    </w:p>
    <w:p>
      <w:pPr>
        <w:spacing w:after="0" w:line="124" w:lineRule="exact"/>
        <w:rPr>
          <w:sz w:val="20"/>
          <w:szCs w:val="20"/>
          <w:color w:val="auto"/>
        </w:rPr>
      </w:pPr>
    </w:p>
    <w:p>
      <w:pPr>
        <w:ind w:right="100" w:firstLine="470"/>
        <w:spacing w:after="0" w:line="272" w:lineRule="auto"/>
        <w:rPr>
          <w:sz w:val="20"/>
          <w:szCs w:val="20"/>
          <w:color w:val="auto"/>
        </w:rPr>
      </w:pPr>
      <w:r>
        <w:rPr>
          <w:rFonts w:ascii="Arial" w:cs="Arial" w:eastAsia="Arial" w:hAnsi="Arial"/>
          <w:sz w:val="17"/>
          <w:szCs w:val="17"/>
          <w:color w:val="auto"/>
        </w:rPr>
        <w:t>On July 27, 2021, we declared a return of capital distribution of $2.50 per common share, which was paid in August 2021. The $20.8 million distribution to shareholders was treated as a return of capital and recorded as a reduction to additional paid-in-capital in the condensed consolidated balance sheets as of September 30, 2021.</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VARIABLE INTEREST ENTITIES</w:t>
      </w:r>
    </w:p>
    <w:p>
      <w:pPr>
        <w:spacing w:after="0" w:line="124" w:lineRule="exact"/>
        <w:rPr>
          <w:sz w:val="20"/>
          <w:szCs w:val="20"/>
          <w:color w:val="auto"/>
        </w:rPr>
      </w:pPr>
    </w:p>
    <w:p>
      <w:pPr>
        <w:ind w:right="20" w:firstLine="470"/>
        <w:spacing w:after="0" w:line="266" w:lineRule="auto"/>
        <w:rPr>
          <w:sz w:val="20"/>
          <w:szCs w:val="20"/>
          <w:color w:val="auto"/>
        </w:rPr>
      </w:pPr>
      <w:r>
        <w:rPr>
          <w:rFonts w:ascii="Arial" w:cs="Arial" w:eastAsia="Arial" w:hAnsi="Arial"/>
          <w:sz w:val="17"/>
          <w:szCs w:val="17"/>
          <w:color w:val="auto"/>
        </w:rPr>
        <w:t xml:space="preserve">We evaluated (i) our relationship as sponsor of the Common Trust Funds (“CTFs”) and managing member of the private equity funds Westwood Hospitality Fund I, LLC and Westwood Technology Opportunities Fund I, LP (collectively the “Private Funds”), (ii) our advisory relationships with the Westwood Funds®, and (iii) our investments in InvestCloud and Charis discussed in Note 5 </w:t>
      </w:r>
      <w:r>
        <w:rPr>
          <w:rFonts w:ascii="Arial" w:cs="Arial" w:eastAsia="Arial" w:hAnsi="Arial"/>
          <w:sz w:val="17"/>
          <w:szCs w:val="17"/>
          <w:color w:val="222222"/>
        </w:rPr>
        <w:t>“Investments”</w:t>
      </w:r>
      <w:r>
        <w:rPr>
          <w:rFonts w:ascii="Arial" w:cs="Arial" w:eastAsia="Arial" w:hAnsi="Arial"/>
          <w:sz w:val="17"/>
          <w:szCs w:val="17"/>
          <w:color w:val="auto"/>
        </w:rPr>
        <w:t xml:space="preserve"> (“Private Equity”) to determine whether each of these entities is a variable interest entity (“VIE”) or voting ownership entity (“VOE”).</w:t>
      </w:r>
    </w:p>
    <w:p>
      <w:pPr>
        <w:spacing w:after="0" w:line="73" w:lineRule="exact"/>
        <w:rPr>
          <w:sz w:val="20"/>
          <w:szCs w:val="20"/>
          <w:color w:val="auto"/>
        </w:rPr>
      </w:pPr>
    </w:p>
    <w:p>
      <w:pPr>
        <w:ind w:right="420" w:firstLine="470"/>
        <w:spacing w:after="0" w:line="272" w:lineRule="auto"/>
        <w:rPr>
          <w:sz w:val="20"/>
          <w:szCs w:val="20"/>
          <w:color w:val="auto"/>
        </w:rPr>
      </w:pPr>
      <w:r>
        <w:rPr>
          <w:rFonts w:ascii="Arial" w:cs="Arial" w:eastAsia="Arial" w:hAnsi="Arial"/>
          <w:sz w:val="17"/>
          <w:szCs w:val="17"/>
          <w:color w:val="auto"/>
        </w:rPr>
        <w:t>Based on our analyses, we determined that the CTFs and Private Funds were VIEs, as the at-risk equity holders do not have the ability to direct the activities that most significantly impact the entities' economic performance, and the Company and its representatives have a majority control of the entities' respective boards of directors and can influence the respective entities' management and affairs.</w:t>
      </w:r>
    </w:p>
    <w:p>
      <w:pPr>
        <w:spacing w:after="0" w:line="66" w:lineRule="exact"/>
        <w:rPr>
          <w:sz w:val="20"/>
          <w:szCs w:val="20"/>
          <w:color w:val="auto"/>
        </w:rPr>
      </w:pPr>
    </w:p>
    <w:p>
      <w:pPr>
        <w:ind w:right="660" w:firstLine="470"/>
        <w:spacing w:after="0" w:line="296" w:lineRule="auto"/>
        <w:rPr>
          <w:sz w:val="20"/>
          <w:szCs w:val="20"/>
          <w:color w:val="auto"/>
        </w:rPr>
      </w:pPr>
      <w:r>
        <w:rPr>
          <w:rFonts w:ascii="Arial" w:cs="Arial" w:eastAsia="Arial" w:hAnsi="Arial"/>
          <w:sz w:val="16"/>
          <w:szCs w:val="16"/>
          <w:color w:val="auto"/>
        </w:rPr>
        <w:t>Based on our analyses, we determined the Westwood Funds® and Private Equity (i) have sufficient equity at risk to finance the entities' activities independently, (ii) have the obligation to absorb losses, the right to receive residual returns and the right to direct the activities of the entities that most significantly impact the entities' economic performance, and (iii) are not structured with disproportionate voting rights.</w:t>
      </w:r>
    </w:p>
    <w:p>
      <w:pPr>
        <w:spacing w:after="0" w:line="50" w:lineRule="exact"/>
        <w:rPr>
          <w:sz w:val="20"/>
          <w:szCs w:val="20"/>
          <w:color w:val="auto"/>
        </w:rPr>
      </w:pPr>
    </w:p>
    <w:p>
      <w:pPr>
        <w:ind w:right="240" w:firstLine="470"/>
        <w:spacing w:after="0" w:line="287" w:lineRule="auto"/>
        <w:rPr>
          <w:sz w:val="20"/>
          <w:szCs w:val="20"/>
          <w:color w:val="auto"/>
        </w:rPr>
      </w:pPr>
      <w:r>
        <w:rPr>
          <w:rFonts w:ascii="Arial" w:cs="Arial" w:eastAsia="Arial" w:hAnsi="Arial"/>
          <w:sz w:val="17"/>
          <w:szCs w:val="17"/>
          <w:color w:val="auto"/>
        </w:rPr>
        <w:t>Based on our analyses of our investments in these entities for the periods ended September 30, 2021 and December 31, 2020, we have not consolidated the CTFs or Private Funds under the VIE method or the Westwood Funds® or Private Equity under the VOE method.</w:t>
      </w:r>
    </w:p>
    <w:p>
      <w:pPr>
        <w:spacing w:after="0" w:line="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recognized fee revenue from the Westwood VIEs and Westwood VOEs as follows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920" w:type="dxa"/>
            <w:vAlign w:val="bottom"/>
            <w:gridSpan w:val="5"/>
          </w:tcPr>
          <w:p>
            <w:pPr>
              <w:ind w:left="1120"/>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Pr>
          <w:p>
            <w:pPr>
              <w:spacing w:after="0"/>
              <w:rPr>
                <w:sz w:val="17"/>
                <w:szCs w:val="17"/>
                <w:color w:val="auto"/>
              </w:rPr>
            </w:pPr>
          </w:p>
        </w:tc>
        <w:tc>
          <w:tcPr>
            <w:tcW w:w="3880" w:type="dxa"/>
            <w:vAlign w:val="bottom"/>
            <w:gridSpan w:val="4"/>
          </w:tcPr>
          <w:p>
            <w:pPr>
              <w:ind w:left="1200"/>
              <w:spacing w:after="0"/>
              <w:rPr>
                <w:sz w:val="20"/>
                <w:szCs w:val="20"/>
                <w:color w:val="auto"/>
              </w:rPr>
            </w:pPr>
            <w:r>
              <w:rPr>
                <w:rFonts w:ascii="Arial" w:cs="Arial" w:eastAsia="Arial" w:hAnsi="Arial"/>
                <w:sz w:val="16"/>
                <w:szCs w:val="16"/>
                <w:b w:val="1"/>
                <w:bCs w:val="1"/>
                <w:color w:val="auto"/>
              </w:rPr>
              <w:t>Nine Months Ended</w:t>
            </w:r>
          </w:p>
        </w:tc>
      </w:tr>
      <w:tr>
        <w:trPr>
          <w:trHeight w:val="202"/>
        </w:trPr>
        <w:tc>
          <w:tcPr>
            <w:tcW w:w="22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September 30, 2021</w:t>
            </w:r>
          </w:p>
        </w:tc>
        <w:tc>
          <w:tcPr>
            <w:tcW w:w="6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117"/>
              <w:spacing w:after="0"/>
              <w:rPr>
                <w:sz w:val="20"/>
                <w:szCs w:val="20"/>
                <w:color w:val="auto"/>
              </w:rPr>
            </w:pPr>
            <w:r>
              <w:rPr>
                <w:rFonts w:ascii="Arial" w:cs="Arial" w:eastAsia="Arial" w:hAnsi="Arial"/>
                <w:sz w:val="16"/>
                <w:szCs w:val="16"/>
                <w:b w:val="1"/>
                <w:bCs w:val="1"/>
                <w:color w:val="auto"/>
                <w:w w:val="88"/>
              </w:rPr>
              <w:t>September 30, 2020</w:t>
            </w: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September 30, 2021</w:t>
            </w:r>
          </w:p>
        </w:tc>
        <w:tc>
          <w:tcPr>
            <w:tcW w:w="6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ind w:right="117"/>
              <w:spacing w:after="0"/>
              <w:rPr>
                <w:sz w:val="20"/>
                <w:szCs w:val="20"/>
                <w:color w:val="auto"/>
              </w:rPr>
            </w:pPr>
            <w:r>
              <w:rPr>
                <w:rFonts w:ascii="Arial" w:cs="Arial" w:eastAsia="Arial" w:hAnsi="Arial"/>
                <w:sz w:val="16"/>
                <w:szCs w:val="16"/>
                <w:b w:val="1"/>
                <w:bCs w:val="1"/>
                <w:color w:val="auto"/>
                <w:w w:val="90"/>
              </w:rPr>
              <w:t>September 30, 2020</w:t>
            </w:r>
          </w:p>
        </w:tc>
      </w:tr>
      <w:tr>
        <w:trPr>
          <w:trHeight w:val="218"/>
        </w:trPr>
        <w:tc>
          <w:tcPr>
            <w:tcW w:w="220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7"/>
                <w:szCs w:val="17"/>
                <w:b w:val="1"/>
                <w:bCs w:val="1"/>
                <w:color w:val="auto"/>
              </w:rPr>
              <w:t>Fee Revenues</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tcBorders>
            <w:shd w:val="clear" w:color="auto" w:fill="CCEEFF"/>
          </w:tcPr>
          <w:p>
            <w:pPr>
              <w:ind w:left="1220"/>
              <w:spacing w:after="0"/>
              <w:rPr>
                <w:sz w:val="20"/>
                <w:szCs w:val="20"/>
                <w:color w:val="auto"/>
              </w:rPr>
            </w:pPr>
            <w:r>
              <w:rPr>
                <w:rFonts w:ascii="Arial" w:cs="Arial" w:eastAsia="Arial" w:hAnsi="Arial"/>
                <w:sz w:val="17"/>
                <w:szCs w:val="17"/>
                <w:color w:val="auto"/>
              </w:rPr>
              <w:t>15.8</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ind w:left="340" w:right="2180"/>
        <w:spacing w:after="0" w:line="287" w:lineRule="auto"/>
        <w:rPr>
          <w:sz w:val="20"/>
          <w:szCs w:val="20"/>
          <w:color w:val="auto"/>
        </w:rPr>
      </w:pPr>
      <w:r>
        <w:rPr>
          <w:rFonts w:ascii="Arial" w:cs="Arial" w:eastAsia="Arial" w:hAnsi="Arial"/>
          <w:sz w:val="17"/>
          <w:szCs w:val="17"/>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8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displays the AUM and the risk of loss in each vehicle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6"/>
                <w:szCs w:val="16"/>
                <w:b w:val="1"/>
                <w:bCs w:val="1"/>
                <w:color w:val="auto"/>
                <w:w w:val="87"/>
              </w:rPr>
              <w:t>As of September 30, 2021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6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ind w:left="300"/>
              <w:spacing w:after="0" w:line="153" w:lineRule="exact"/>
              <w:rPr>
                <w:sz w:val="20"/>
                <w:szCs w:val="20"/>
                <w:color w:val="auto"/>
              </w:rPr>
            </w:pPr>
            <w:r>
              <w:rPr>
                <w:rFonts w:ascii="Arial" w:cs="Arial" w:eastAsia="Arial" w:hAnsi="Arial"/>
                <w:sz w:val="16"/>
                <w:szCs w:val="16"/>
                <w:b w:val="1"/>
                <w:bCs w:val="1"/>
                <w:color w:val="auto"/>
                <w:w w:val="79"/>
              </w:rPr>
              <w:t>Assets</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3"/>
            <w:vMerge w:val="restart"/>
          </w:tcPr>
          <w:p>
            <w:pPr>
              <w:ind w:left="580"/>
              <w:spacing w:after="0"/>
              <w:rPr>
                <w:sz w:val="20"/>
                <w:szCs w:val="20"/>
                <w:color w:val="auto"/>
              </w:rPr>
            </w:pPr>
            <w:r>
              <w:rPr>
                <w:rFonts w:ascii="Arial" w:cs="Arial" w:eastAsia="Arial" w:hAnsi="Arial"/>
                <w:sz w:val="16"/>
                <w:szCs w:val="16"/>
                <w:b w:val="1"/>
                <w:bCs w:val="1"/>
                <w:color w:val="auto"/>
              </w:rPr>
              <w:t>Corporate</w:t>
            </w:r>
          </w:p>
        </w:tc>
        <w:tc>
          <w:tcPr>
            <w:tcW w:w="106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Amount at</w:t>
            </w:r>
          </w:p>
        </w:tc>
        <w:tc>
          <w:tcPr>
            <w:tcW w:w="0" w:type="dxa"/>
            <w:vAlign w:val="bottom"/>
          </w:tcPr>
          <w:p>
            <w:pPr>
              <w:spacing w:after="0"/>
              <w:rPr>
                <w:sz w:val="1"/>
                <w:szCs w:val="1"/>
                <w:color w:val="auto"/>
              </w:rPr>
            </w:pPr>
          </w:p>
        </w:tc>
      </w:tr>
      <w:tr>
        <w:trPr>
          <w:trHeight w:val="157"/>
        </w:trPr>
        <w:tc>
          <w:tcPr>
            <w:tcW w:w="6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ind w:left="60"/>
              <w:spacing w:after="0" w:line="157" w:lineRule="exact"/>
              <w:rPr>
                <w:sz w:val="20"/>
                <w:szCs w:val="20"/>
                <w:color w:val="auto"/>
              </w:rPr>
            </w:pPr>
            <w:r>
              <w:rPr>
                <w:rFonts w:ascii="Arial" w:cs="Arial" w:eastAsia="Arial" w:hAnsi="Arial"/>
                <w:sz w:val="16"/>
                <w:szCs w:val="16"/>
                <w:b w:val="1"/>
                <w:bCs w:val="1"/>
                <w:color w:val="auto"/>
              </w:rPr>
              <w:t>Under</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3"/>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6460" w:type="dxa"/>
            <w:vAlign w:val="bottom"/>
          </w:tcPr>
          <w:p>
            <w:pPr>
              <w:spacing w:after="0"/>
              <w:rPr>
                <w:sz w:val="17"/>
                <w:szCs w:val="17"/>
                <w:color w:val="auto"/>
              </w:rPr>
            </w:pPr>
          </w:p>
        </w:tc>
        <w:tc>
          <w:tcPr>
            <w:tcW w:w="1380" w:type="dxa"/>
            <w:vAlign w:val="bottom"/>
            <w:gridSpan w:val="2"/>
          </w:tcPr>
          <w:p>
            <w:pPr>
              <w:ind w:left="480"/>
              <w:spacing w:after="0"/>
              <w:rPr>
                <w:sz w:val="20"/>
                <w:szCs w:val="20"/>
                <w:color w:val="auto"/>
              </w:rPr>
            </w:pPr>
            <w:r>
              <w:rPr>
                <w:rFonts w:ascii="Arial" w:cs="Arial" w:eastAsia="Arial" w:hAnsi="Arial"/>
                <w:sz w:val="16"/>
                <w:szCs w:val="16"/>
                <w:b w:val="1"/>
                <w:bCs w:val="1"/>
                <w:color w:val="auto"/>
                <w:w w:val="89"/>
              </w:rPr>
              <w:t>Management</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89"/>
              </w:rPr>
              <w:t>Investment</w:t>
            </w:r>
          </w:p>
        </w:tc>
        <w:tc>
          <w:tcPr>
            <w:tcW w:w="1060" w:type="dxa"/>
            <w:vAlign w:val="bottom"/>
          </w:tcPr>
          <w:p>
            <w:pPr>
              <w:jc w:val="right"/>
              <w:ind w:right="442"/>
              <w:spacing w:after="0"/>
              <w:rPr>
                <w:sz w:val="20"/>
                <w:szCs w:val="20"/>
                <w:color w:val="auto"/>
              </w:rPr>
            </w:pPr>
            <w:r>
              <w:rPr>
                <w:rFonts w:ascii="Arial" w:cs="Arial" w:eastAsia="Arial" w:hAnsi="Arial"/>
                <w:sz w:val="16"/>
                <w:szCs w:val="16"/>
                <w:b w:val="1"/>
                <w:bCs w:val="1"/>
                <w:color w:val="auto"/>
              </w:rPr>
              <w:t>Risk</w:t>
            </w:r>
          </w:p>
        </w:tc>
        <w:tc>
          <w:tcPr>
            <w:tcW w:w="0" w:type="dxa"/>
            <w:vAlign w:val="bottom"/>
          </w:tcPr>
          <w:p>
            <w:pPr>
              <w:spacing w:after="0"/>
              <w:rPr>
                <w:sz w:val="1"/>
                <w:szCs w:val="1"/>
                <w:color w:val="auto"/>
              </w:rPr>
            </w:pPr>
          </w:p>
        </w:tc>
      </w:tr>
      <w:tr>
        <w:trPr>
          <w:trHeight w:val="205"/>
        </w:trPr>
        <w:tc>
          <w:tcPr>
            <w:tcW w:w="64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VIEs/VOEs:</w:t>
            </w:r>
          </w:p>
        </w:tc>
        <w:tc>
          <w:tcPr>
            <w:tcW w:w="6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460" w:type="dxa"/>
            <w:vAlign w:val="bottom"/>
          </w:tcPr>
          <w:p>
            <w:pPr>
              <w:ind w:left="800"/>
              <w:spacing w:after="0"/>
              <w:rPr>
                <w:sz w:val="20"/>
                <w:szCs w:val="20"/>
                <w:color w:val="auto"/>
              </w:rPr>
            </w:pPr>
            <w:r>
              <w:rPr>
                <w:rFonts w:ascii="Arial" w:cs="Arial" w:eastAsia="Arial" w:hAnsi="Arial"/>
                <w:sz w:val="17"/>
                <w:szCs w:val="17"/>
                <w:color w:val="auto"/>
              </w:rPr>
              <w:t>Westwood Funds®</w:t>
            </w:r>
          </w:p>
        </w:tc>
        <w:tc>
          <w:tcPr>
            <w:tcW w:w="640" w:type="dxa"/>
            <w:vAlign w:val="bottom"/>
          </w:tcPr>
          <w:p>
            <w:pPr>
              <w:ind w:left="50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89"/>
              </w:rPr>
              <w:t>2,863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460" w:type="dxa"/>
            <w:vAlign w:val="bottom"/>
            <w:shd w:val="clear" w:color="auto" w:fill="CCEEFF"/>
          </w:tcPr>
          <w:p>
            <w:pPr>
              <w:ind w:left="800"/>
              <w:spacing w:after="0"/>
              <w:rPr>
                <w:sz w:val="20"/>
                <w:szCs w:val="20"/>
                <w:color w:val="auto"/>
              </w:rPr>
            </w:pPr>
            <w:r>
              <w:rPr>
                <w:rFonts w:ascii="Arial" w:cs="Arial" w:eastAsia="Arial" w:hAnsi="Arial"/>
                <w:sz w:val="17"/>
                <w:szCs w:val="17"/>
                <w:color w:val="auto"/>
              </w:rPr>
              <w:t>Common Trust Funds</w:t>
            </w:r>
          </w:p>
        </w:tc>
        <w:tc>
          <w:tcPr>
            <w:tcW w:w="6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460" w:type="dxa"/>
            <w:vAlign w:val="bottom"/>
          </w:tcPr>
          <w:p>
            <w:pPr>
              <w:ind w:left="800"/>
              <w:spacing w:after="0"/>
              <w:rPr>
                <w:sz w:val="20"/>
                <w:szCs w:val="20"/>
                <w:color w:val="auto"/>
              </w:rPr>
            </w:pPr>
            <w:r>
              <w:rPr>
                <w:rFonts w:ascii="Arial" w:cs="Arial" w:eastAsia="Arial" w:hAnsi="Arial"/>
                <w:sz w:val="17"/>
                <w:szCs w:val="17"/>
                <w:color w:val="auto"/>
              </w:rPr>
              <w:t>Private Funds</w:t>
            </w: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w:t>
            </w:r>
          </w:p>
        </w:tc>
        <w:tc>
          <w:tcPr>
            <w:tcW w:w="1520" w:type="dxa"/>
            <w:vAlign w:val="bottom"/>
            <w:gridSpan w:val="3"/>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22"/>
        </w:trPr>
        <w:tc>
          <w:tcPr>
            <w:tcW w:w="6460" w:type="dxa"/>
            <w:vAlign w:val="bottom"/>
            <w:shd w:val="clear" w:color="auto" w:fill="CCEEFF"/>
          </w:tcPr>
          <w:p>
            <w:pPr>
              <w:ind w:left="800"/>
              <w:spacing w:after="0"/>
              <w:rPr>
                <w:sz w:val="20"/>
                <w:szCs w:val="20"/>
                <w:color w:val="auto"/>
              </w:rPr>
            </w:pPr>
            <w:r>
              <w:rPr>
                <w:rFonts w:ascii="Arial" w:cs="Arial" w:eastAsia="Arial" w:hAnsi="Arial"/>
                <w:sz w:val="17"/>
                <w:szCs w:val="17"/>
                <w:color w:val="auto"/>
              </w:rPr>
              <w:t>Private Equity</w:t>
            </w:r>
          </w:p>
        </w:tc>
        <w:tc>
          <w:tcPr>
            <w:tcW w:w="6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22"/>
        </w:trPr>
        <w:tc>
          <w:tcPr>
            <w:tcW w:w="6460" w:type="dxa"/>
            <w:vAlign w:val="bottom"/>
          </w:tcPr>
          <w:p>
            <w:pPr>
              <w:ind w:left="500"/>
              <w:spacing w:after="0"/>
              <w:rPr>
                <w:sz w:val="20"/>
                <w:szCs w:val="20"/>
                <w:color w:val="auto"/>
              </w:rPr>
            </w:pPr>
            <w:r>
              <w:rPr>
                <w:rFonts w:ascii="Arial" w:cs="Arial" w:eastAsia="Arial" w:hAnsi="Arial"/>
                <w:sz w:val="17"/>
                <w:szCs w:val="17"/>
                <w:color w:val="auto"/>
              </w:rPr>
              <w:t>All other assets:</w:t>
            </w: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460" w:type="dxa"/>
            <w:vAlign w:val="bottom"/>
            <w:shd w:val="clear" w:color="auto" w:fill="CCEEFF"/>
          </w:tcPr>
          <w:p>
            <w:pPr>
              <w:ind w:left="800"/>
              <w:spacing w:after="0"/>
              <w:rPr>
                <w:sz w:val="20"/>
                <w:szCs w:val="20"/>
                <w:color w:val="auto"/>
              </w:rPr>
            </w:pPr>
            <w:r>
              <w:rPr>
                <w:rFonts w:ascii="Arial" w:cs="Arial" w:eastAsia="Arial" w:hAnsi="Arial"/>
                <w:sz w:val="17"/>
                <w:szCs w:val="17"/>
                <w:color w:val="auto"/>
              </w:rPr>
              <w:t>Wealth Management</w:t>
            </w:r>
          </w:p>
        </w:tc>
        <w:tc>
          <w:tcPr>
            <w:tcW w:w="6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3,340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460" w:type="dxa"/>
            <w:vAlign w:val="bottom"/>
            <w:tcBorders>
              <w:bottom w:val="single" w:sz="8" w:color="CCEEFF"/>
            </w:tcBorders>
          </w:tcPr>
          <w:p>
            <w:pPr>
              <w:ind w:left="800"/>
              <w:spacing w:after="0"/>
              <w:rPr>
                <w:sz w:val="20"/>
                <w:szCs w:val="20"/>
                <w:color w:val="auto"/>
              </w:rPr>
            </w:pPr>
            <w:r>
              <w:rPr>
                <w:rFonts w:ascii="Arial" w:cs="Arial" w:eastAsia="Arial" w:hAnsi="Arial"/>
                <w:sz w:val="17"/>
                <w:szCs w:val="17"/>
                <w:color w:val="auto"/>
              </w:rPr>
              <w:t>Institutional</w:t>
            </w:r>
          </w:p>
        </w:tc>
        <w:tc>
          <w:tcPr>
            <w:tcW w:w="6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6,701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Total Assets Under Management</w:t>
            </w:r>
          </w:p>
        </w:tc>
        <w:tc>
          <w:tcPr>
            <w:tcW w:w="6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13,800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222222"/>
        </w:rPr>
        <w:t>13. RELATED PARTY TRANSACTIONS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5"/>
          <w:szCs w:val="15"/>
          <w:color w:val="auto"/>
        </w:rPr>
        <w:t>Some of our directors, executive officers and their affiliates invest personal funds directly in trust accounts that we manage. For both of the three months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ended September 30, 2021 and September 30, 2020, we recorded trust fees from these accounts of $0.1 million. For both of the nine months ended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2021 and September 30, 2020, we recorded trust fees from these accounts of $0.3 million. There were no amounts due from these accounts as of</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2021, and there was $0.1 million due from these accounts as of December 31, 2020.</w:t>
      </w:r>
    </w:p>
    <w:p>
      <w:pPr>
        <w:spacing w:after="0" w:line="106" w:lineRule="exact"/>
        <w:rPr>
          <w:sz w:val="20"/>
          <w:szCs w:val="20"/>
          <w:color w:val="auto"/>
        </w:rPr>
      </w:pPr>
    </w:p>
    <w:p>
      <w:pPr>
        <w:ind w:right="80" w:firstLine="470"/>
        <w:spacing w:after="0" w:line="287" w:lineRule="auto"/>
        <w:rPr>
          <w:sz w:val="20"/>
          <w:szCs w:val="20"/>
          <w:color w:val="auto"/>
        </w:rPr>
      </w:pPr>
      <w:r>
        <w:rPr>
          <w:rFonts w:ascii="Arial" w:cs="Arial" w:eastAsia="Arial" w:hAnsi="Arial"/>
          <w:sz w:val="17"/>
          <w:szCs w:val="17"/>
          <w:color w:val="auto"/>
        </w:rPr>
        <w:t>One of our directors serves as a consultant to the Company under a consulting agreement. We recorded expenses of $0.1 million related to this agreement for both of the nine months ended September 30, 2021 and September 30, 2020.</w:t>
      </w:r>
    </w:p>
    <w:p>
      <w:pPr>
        <w:spacing w:after="0" w:line="55" w:lineRule="exact"/>
        <w:rPr>
          <w:sz w:val="20"/>
          <w:szCs w:val="20"/>
          <w:color w:val="auto"/>
        </w:rPr>
      </w:pPr>
    </w:p>
    <w:p>
      <w:pPr>
        <w:ind w:right="40" w:firstLine="470"/>
        <w:spacing w:after="0" w:line="307" w:lineRule="auto"/>
        <w:rPr>
          <w:sz w:val="20"/>
          <w:szCs w:val="20"/>
          <w:color w:val="auto"/>
        </w:rPr>
      </w:pPr>
      <w:r>
        <w:rPr>
          <w:rFonts w:ascii="Arial" w:cs="Arial" w:eastAsia="Arial" w:hAnsi="Arial"/>
          <w:sz w:val="15"/>
          <w:szCs w:val="15"/>
          <w:color w:val="auto"/>
        </w:rPr>
        <w:t>The Company engages in transactions with its affiliates in the ordinary course of business. Westwood International Advisors (prior to its closure, effective September 30, 2020) and Westwood Management provide investment advisory services to the UCITS Fund and the Westwood Funds®. Certain members of our management served on the board of directors of the UCITS Fund (liquidated as of June 2020). Under the terms of the investment advisory agreements, the Company earns quarterly fees paid by clients of the fund or by the funds directly. The fees are based on negotiated fee schedules applied to AUM. The Company earned no fees from the affiliated funds for the three months ended September 30, 2020, and $0.6 million in fees for the nine months ended September 30, 2020.</w:t>
      </w:r>
    </w:p>
    <w:p>
      <w:pPr>
        <w:spacing w:after="0" w:line="196" w:lineRule="exact"/>
        <w:rPr>
          <w:sz w:val="20"/>
          <w:szCs w:val="20"/>
          <w:color w:val="auto"/>
        </w:rPr>
      </w:pPr>
    </w:p>
    <w:p>
      <w:pPr>
        <w:ind w:left="480" w:right="9060" w:hanging="476"/>
        <w:spacing w:after="0" w:line="388" w:lineRule="auto"/>
        <w:tabs>
          <w:tab w:leader="none" w:pos="271"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SUBSEQUENT EVENTS </w:t>
      </w:r>
      <w:r>
        <w:rPr>
          <w:rFonts w:ascii="Arial" w:cs="Arial" w:eastAsia="Arial" w:hAnsi="Arial"/>
          <w:sz w:val="17"/>
          <w:szCs w:val="17"/>
          <w:i w:val="1"/>
          <w:iCs w:val="1"/>
          <w:color w:val="auto"/>
        </w:rPr>
        <w:t>Dividends Declared</w:t>
      </w:r>
    </w:p>
    <w:p>
      <w:pPr>
        <w:spacing w:after="0" w:line="1" w:lineRule="exact"/>
        <w:rPr>
          <w:sz w:val="20"/>
          <w:szCs w:val="20"/>
          <w:color w:val="auto"/>
        </w:rPr>
      </w:pPr>
    </w:p>
    <w:p>
      <w:pPr>
        <w:ind w:right="540" w:firstLine="470"/>
        <w:spacing w:after="0" w:line="287" w:lineRule="auto"/>
        <w:rPr>
          <w:sz w:val="20"/>
          <w:szCs w:val="20"/>
          <w:color w:val="auto"/>
        </w:rPr>
      </w:pPr>
      <w:r>
        <w:rPr>
          <w:rFonts w:ascii="Arial" w:cs="Arial" w:eastAsia="Arial" w:hAnsi="Arial"/>
          <w:sz w:val="17"/>
          <w:szCs w:val="17"/>
          <w:color w:val="auto"/>
        </w:rPr>
        <w:t>On October 27, 2021, the Board of Directors declared a quarterly cash dividend of $0.15 per share of common stock payable on January 3, 2022 to stockholders of record on December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right="1400"/>
        <w:spacing w:after="0" w:line="388" w:lineRule="auto"/>
        <w:rPr>
          <w:sz w:val="20"/>
          <w:szCs w:val="20"/>
          <w:color w:val="auto"/>
        </w:rPr>
      </w:pPr>
      <w:r>
        <w:rPr>
          <w:rFonts w:ascii="Arial" w:cs="Arial" w:eastAsia="Arial" w:hAnsi="Arial"/>
          <w:sz w:val="17"/>
          <w:szCs w:val="17"/>
          <w:b w:val="1"/>
          <w:bCs w:val="1"/>
          <w:color w:val="auto"/>
        </w:rPr>
        <w:t xml:space="preserve">ITEM 2. MANAGEMENT’S DISCUSSION AND ANALYSIS OF FINANCIAL CONDITION AND RESULTS OF OPERATIONS </w:t>
      </w:r>
      <w:r>
        <w:rPr>
          <w:rFonts w:ascii="Arial" w:cs="Arial" w:eastAsia="Arial" w:hAnsi="Arial"/>
          <w:sz w:val="17"/>
          <w:szCs w:val="17"/>
          <w:b w:val="1"/>
          <w:bCs w:val="1"/>
          <w:u w:val="single" w:color="auto"/>
          <w:color w:val="auto"/>
        </w:rPr>
        <w:t>Forward-Looking Statements</w:t>
      </w:r>
    </w:p>
    <w:p>
      <w:pPr>
        <w:spacing w:after="0" w:line="1" w:lineRule="exact"/>
        <w:rPr>
          <w:sz w:val="20"/>
          <w:szCs w:val="20"/>
          <w:color w:val="auto"/>
        </w:rPr>
      </w:pPr>
    </w:p>
    <w:p>
      <w:pPr>
        <w:ind w:firstLine="470"/>
        <w:spacing w:after="0" w:line="261" w:lineRule="auto"/>
        <w:rPr>
          <w:sz w:val="20"/>
          <w:szCs w:val="20"/>
          <w:color w:val="auto"/>
        </w:rPr>
      </w:pPr>
      <w:r>
        <w:rPr>
          <w:rFonts w:ascii="Arial" w:cs="Arial" w:eastAsia="Arial" w:hAnsi="Arial"/>
          <w:sz w:val="17"/>
          <w:szCs w:val="17"/>
          <w:color w:val="auto"/>
        </w:rPr>
        <w:t>Statements in this report and the Annual Report to Stockholders that are not purely historical facts, including, without limitation, statements about our expected future financial position, results of operations or cash flows, as well as other statements including, without limitation, words such as “anticipate,” “believe,” “plan,” “estimate,” “expect,” “intend,” “should,” “could,” “goal,” “potentially,” “may,” “designed”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risks described under “Risk Factors” in our Annual Report on Form 10-K for the year ended December 31, 2020, filed with the SEC, and those risks set forth below:</w:t>
      </w:r>
    </w:p>
    <w:p>
      <w:pPr>
        <w:spacing w:after="0" w:line="78" w:lineRule="exact"/>
        <w:rPr>
          <w:sz w:val="20"/>
          <w:szCs w:val="20"/>
          <w:color w:val="auto"/>
        </w:rPr>
      </w:pPr>
    </w:p>
    <w:p>
      <w:pPr>
        <w:ind w:left="940" w:hanging="309"/>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composition and market value of our AUM;</w:t>
      </w:r>
    </w:p>
    <w:p>
      <w:pPr>
        <w:spacing w:after="0" w:line="117" w:lineRule="exact"/>
        <w:rPr>
          <w:rFonts w:ascii="Arial" w:cs="Arial" w:eastAsia="Arial" w:hAnsi="Arial"/>
          <w:sz w:val="17"/>
          <w:szCs w:val="17"/>
          <w:color w:val="auto"/>
        </w:rPr>
      </w:pPr>
    </w:p>
    <w:p>
      <w:pPr>
        <w:ind w:left="940" w:hanging="309"/>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maintain our fee structure in light of competitive fee pressures;</w:t>
      </w:r>
    </w:p>
    <w:p>
      <w:pPr>
        <w:spacing w:after="0" w:line="117" w:lineRule="exact"/>
        <w:rPr>
          <w:rFonts w:ascii="Arial" w:cs="Arial" w:eastAsia="Arial" w:hAnsi="Arial"/>
          <w:sz w:val="17"/>
          <w:szCs w:val="17"/>
          <w:color w:val="auto"/>
        </w:rPr>
      </w:pPr>
    </w:p>
    <w:p>
      <w:pPr>
        <w:ind w:left="940" w:hanging="309"/>
        <w:spacing w:after="0"/>
        <w:tabs>
          <w:tab w:leader="none" w:pos="9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stockholder rights agreement may make it more difficult for others to obtain control over us, even if it would be beneficial to our stockholders;</w:t>
      </w:r>
    </w:p>
    <w:p>
      <w:pPr>
        <w:spacing w:after="0" w:line="129" w:lineRule="exact"/>
        <w:rPr>
          <w:rFonts w:ascii="Arial" w:cs="Arial" w:eastAsia="Arial" w:hAnsi="Arial"/>
          <w:sz w:val="16"/>
          <w:szCs w:val="16"/>
          <w:color w:val="auto"/>
        </w:rPr>
      </w:pPr>
    </w:p>
    <w:p>
      <w:pPr>
        <w:ind w:left="940" w:hanging="309"/>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risks associated with actions of activist stockholders;</w:t>
      </w:r>
    </w:p>
    <w:p>
      <w:pPr>
        <w:spacing w:after="0" w:line="117" w:lineRule="exact"/>
        <w:rPr>
          <w:rFonts w:ascii="Arial" w:cs="Arial" w:eastAsia="Arial" w:hAnsi="Arial"/>
          <w:sz w:val="17"/>
          <w:szCs w:val="17"/>
          <w:color w:val="auto"/>
        </w:rPr>
      </w:pPr>
    </w:p>
    <w:p>
      <w:pPr>
        <w:ind w:left="940" w:hanging="309"/>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distributions to our common stockholders have included and may in the future include a return of capital;</w:t>
      </w:r>
    </w:p>
    <w:p>
      <w:pPr>
        <w:spacing w:after="0" w:line="117" w:lineRule="exact"/>
        <w:rPr>
          <w:rFonts w:ascii="Arial" w:cs="Arial" w:eastAsia="Arial" w:hAnsi="Arial"/>
          <w:sz w:val="17"/>
          <w:szCs w:val="17"/>
          <w:color w:val="auto"/>
        </w:rPr>
      </w:pPr>
    </w:p>
    <w:p>
      <w:pPr>
        <w:ind w:left="940" w:hanging="309"/>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inclusion of foreign company investments in our AUM;</w:t>
      </w:r>
    </w:p>
    <w:p>
      <w:pPr>
        <w:spacing w:after="0" w:line="117" w:lineRule="exact"/>
        <w:rPr>
          <w:rFonts w:ascii="Arial" w:cs="Arial" w:eastAsia="Arial" w:hAnsi="Arial"/>
          <w:sz w:val="17"/>
          <w:szCs w:val="17"/>
          <w:color w:val="auto"/>
        </w:rPr>
      </w:pPr>
    </w:p>
    <w:p>
      <w:pPr>
        <w:ind w:left="940" w:hanging="309"/>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regulations adversely affecting the financial services industry;</w:t>
      </w:r>
    </w:p>
    <w:p>
      <w:pPr>
        <w:spacing w:after="0" w:line="117" w:lineRule="exact"/>
        <w:rPr>
          <w:rFonts w:ascii="Arial" w:cs="Arial" w:eastAsia="Arial" w:hAnsi="Arial"/>
          <w:sz w:val="17"/>
          <w:szCs w:val="17"/>
          <w:color w:val="auto"/>
        </w:rPr>
      </w:pPr>
    </w:p>
    <w:p>
      <w:pPr>
        <w:ind w:left="940" w:hanging="309"/>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maintain effective cyber security;</w:t>
      </w:r>
    </w:p>
    <w:p>
      <w:pPr>
        <w:spacing w:after="0" w:line="117" w:lineRule="exact"/>
        <w:rPr>
          <w:rFonts w:ascii="Arial" w:cs="Arial" w:eastAsia="Arial" w:hAnsi="Arial"/>
          <w:sz w:val="17"/>
          <w:szCs w:val="17"/>
          <w:color w:val="auto"/>
        </w:rPr>
      </w:pPr>
    </w:p>
    <w:p>
      <w:pPr>
        <w:ind w:left="940" w:hanging="309"/>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litigation risks;</w:t>
      </w:r>
    </w:p>
    <w:p>
      <w:pPr>
        <w:spacing w:after="0" w:line="117" w:lineRule="exact"/>
        <w:rPr>
          <w:rFonts w:ascii="Arial" w:cs="Arial" w:eastAsia="Arial" w:hAnsi="Arial"/>
          <w:sz w:val="17"/>
          <w:szCs w:val="17"/>
          <w:color w:val="auto"/>
        </w:rPr>
      </w:pPr>
    </w:p>
    <w:p>
      <w:pPr>
        <w:ind w:left="940" w:hanging="309"/>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develop and market new investment strategies successfully;</w:t>
      </w:r>
    </w:p>
    <w:p>
      <w:pPr>
        <w:spacing w:after="0" w:line="117" w:lineRule="exact"/>
        <w:rPr>
          <w:rFonts w:ascii="Arial" w:cs="Arial" w:eastAsia="Arial" w:hAnsi="Arial"/>
          <w:sz w:val="17"/>
          <w:szCs w:val="17"/>
          <w:color w:val="auto"/>
        </w:rPr>
      </w:pPr>
    </w:p>
    <w:p>
      <w:pPr>
        <w:ind w:left="940" w:hanging="309"/>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reputation and our relationships with current and potential customers;</w:t>
      </w:r>
    </w:p>
    <w:p>
      <w:pPr>
        <w:spacing w:after="0" w:line="117" w:lineRule="exact"/>
        <w:rPr>
          <w:rFonts w:ascii="Arial" w:cs="Arial" w:eastAsia="Arial" w:hAnsi="Arial"/>
          <w:sz w:val="17"/>
          <w:szCs w:val="17"/>
          <w:color w:val="auto"/>
        </w:rPr>
      </w:pPr>
    </w:p>
    <w:p>
      <w:pPr>
        <w:ind w:left="940" w:hanging="309"/>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attract and retain qualified personnel;</w:t>
      </w:r>
    </w:p>
    <w:p>
      <w:pPr>
        <w:spacing w:after="0" w:line="117" w:lineRule="exact"/>
        <w:rPr>
          <w:rFonts w:ascii="Arial" w:cs="Arial" w:eastAsia="Arial" w:hAnsi="Arial"/>
          <w:sz w:val="17"/>
          <w:szCs w:val="17"/>
          <w:color w:val="auto"/>
        </w:rPr>
      </w:pPr>
    </w:p>
    <w:p>
      <w:pPr>
        <w:ind w:left="940" w:hanging="309"/>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perform operational tasks;</w:t>
      </w:r>
    </w:p>
    <w:p>
      <w:pPr>
        <w:spacing w:after="0" w:line="117" w:lineRule="exact"/>
        <w:rPr>
          <w:rFonts w:ascii="Arial" w:cs="Arial" w:eastAsia="Arial" w:hAnsi="Arial"/>
          <w:sz w:val="17"/>
          <w:szCs w:val="17"/>
          <w:color w:val="auto"/>
        </w:rPr>
      </w:pPr>
    </w:p>
    <w:p>
      <w:pPr>
        <w:ind w:left="940" w:hanging="309"/>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select and oversee third-party vendors;</w:t>
      </w:r>
    </w:p>
    <w:p>
      <w:pPr>
        <w:spacing w:after="0" w:line="117" w:lineRule="exact"/>
        <w:rPr>
          <w:rFonts w:ascii="Arial" w:cs="Arial" w:eastAsia="Arial" w:hAnsi="Arial"/>
          <w:sz w:val="17"/>
          <w:szCs w:val="17"/>
          <w:color w:val="auto"/>
        </w:rPr>
      </w:pPr>
    </w:p>
    <w:p>
      <w:pPr>
        <w:ind w:left="940" w:hanging="309"/>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dependence on the operations and funds of our subsidiaries;</w:t>
      </w:r>
    </w:p>
    <w:p>
      <w:pPr>
        <w:spacing w:after="0" w:line="117" w:lineRule="exact"/>
        <w:rPr>
          <w:rFonts w:ascii="Arial" w:cs="Arial" w:eastAsia="Arial" w:hAnsi="Arial"/>
          <w:sz w:val="17"/>
          <w:szCs w:val="17"/>
          <w:color w:val="auto"/>
        </w:rPr>
      </w:pPr>
    </w:p>
    <w:p>
      <w:pPr>
        <w:ind w:left="940" w:hanging="309"/>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maintain effective information systems;</w:t>
      </w:r>
    </w:p>
    <w:p>
      <w:pPr>
        <w:spacing w:after="0" w:line="117" w:lineRule="exact"/>
        <w:rPr>
          <w:rFonts w:ascii="Arial" w:cs="Arial" w:eastAsia="Arial" w:hAnsi="Arial"/>
          <w:sz w:val="17"/>
          <w:szCs w:val="17"/>
          <w:color w:val="auto"/>
        </w:rPr>
      </w:pPr>
    </w:p>
    <w:p>
      <w:pPr>
        <w:ind w:left="940" w:right="540" w:hanging="309"/>
        <w:spacing w:after="0" w:line="287" w:lineRule="auto"/>
        <w:tabs>
          <w:tab w:leader="none" w:pos="936"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prevent misuse of assets and information in the possession of our employees and third-party vendors, which could damage our reputation and result in costly litigation and liability for our clients and us;</w:t>
      </w:r>
    </w:p>
    <w:p>
      <w:pPr>
        <w:spacing w:after="0" w:line="54" w:lineRule="exact"/>
        <w:rPr>
          <w:rFonts w:ascii="Arial" w:cs="Arial" w:eastAsia="Arial" w:hAnsi="Arial"/>
          <w:sz w:val="17"/>
          <w:szCs w:val="17"/>
          <w:color w:val="auto"/>
        </w:rPr>
      </w:pPr>
    </w:p>
    <w:p>
      <w:pPr>
        <w:ind w:left="940" w:hanging="309"/>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stock is thinly traded and may be subject to volatility;</w:t>
      </w:r>
    </w:p>
    <w:p>
      <w:pPr>
        <w:spacing w:after="0" w:line="117" w:lineRule="exact"/>
        <w:rPr>
          <w:rFonts w:ascii="Arial" w:cs="Arial" w:eastAsia="Arial" w:hAnsi="Arial"/>
          <w:sz w:val="17"/>
          <w:szCs w:val="17"/>
          <w:color w:val="auto"/>
        </w:rPr>
      </w:pPr>
    </w:p>
    <w:p>
      <w:pPr>
        <w:ind w:left="940" w:right="340" w:hanging="309"/>
        <w:spacing w:after="0" w:line="287" w:lineRule="auto"/>
        <w:tabs>
          <w:tab w:leader="none" w:pos="936"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addition to our stockholder rights agreement, our organizational documents contain provisions that may prevent or deter another group from paying a premium over the market price to our stockholders to acquire our stock;</w:t>
      </w:r>
    </w:p>
    <w:p>
      <w:pPr>
        <w:spacing w:after="0" w:line="54" w:lineRule="exact"/>
        <w:rPr>
          <w:rFonts w:ascii="Arial" w:cs="Arial" w:eastAsia="Arial" w:hAnsi="Arial"/>
          <w:sz w:val="17"/>
          <w:szCs w:val="17"/>
          <w:color w:val="auto"/>
        </w:rPr>
      </w:pPr>
    </w:p>
    <w:p>
      <w:pPr>
        <w:ind w:left="940" w:hanging="309"/>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competition in the investment management industry;</w:t>
      </w:r>
    </w:p>
    <w:p>
      <w:pPr>
        <w:spacing w:after="0" w:line="117" w:lineRule="exact"/>
        <w:rPr>
          <w:rFonts w:ascii="Arial" w:cs="Arial" w:eastAsia="Arial" w:hAnsi="Arial"/>
          <w:sz w:val="17"/>
          <w:szCs w:val="17"/>
          <w:color w:val="auto"/>
        </w:rPr>
      </w:pPr>
    </w:p>
    <w:p>
      <w:pPr>
        <w:ind w:left="940" w:hanging="309"/>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avoid termination of client agreements and the related investment redemptions;</w:t>
      </w:r>
    </w:p>
    <w:p>
      <w:pPr>
        <w:spacing w:after="0" w:line="117" w:lineRule="exact"/>
        <w:rPr>
          <w:rFonts w:ascii="Arial" w:cs="Arial" w:eastAsia="Arial" w:hAnsi="Arial"/>
          <w:sz w:val="17"/>
          <w:szCs w:val="17"/>
          <w:color w:val="auto"/>
        </w:rPr>
      </w:pPr>
    </w:p>
    <w:p>
      <w:pPr>
        <w:ind w:left="940" w:hanging="309"/>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significant concentration of our revenues in a small number of customers;</w:t>
      </w:r>
    </w:p>
    <w:p>
      <w:pPr>
        <w:spacing w:after="0" w:line="117" w:lineRule="exact"/>
        <w:rPr>
          <w:rFonts w:ascii="Arial" w:cs="Arial" w:eastAsia="Arial" w:hAnsi="Arial"/>
          <w:sz w:val="17"/>
          <w:szCs w:val="17"/>
          <w:color w:val="auto"/>
        </w:rPr>
      </w:pPr>
    </w:p>
    <w:p>
      <w:pPr>
        <w:ind w:left="940" w:hanging="309"/>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relationships with investment consulting firms;</w:t>
      </w:r>
    </w:p>
    <w:p>
      <w:pPr>
        <w:spacing w:after="0" w:line="117" w:lineRule="exact"/>
        <w:rPr>
          <w:rFonts w:ascii="Arial" w:cs="Arial" w:eastAsia="Arial" w:hAnsi="Arial"/>
          <w:sz w:val="17"/>
          <w:szCs w:val="17"/>
          <w:color w:val="auto"/>
        </w:rPr>
      </w:pPr>
    </w:p>
    <w:p>
      <w:pPr>
        <w:ind w:left="940" w:hanging="309"/>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impact of the COVID-19 pandemic;</w:t>
      </w:r>
    </w:p>
    <w:p>
      <w:pPr>
        <w:spacing w:after="0" w:line="117" w:lineRule="exact"/>
        <w:rPr>
          <w:rFonts w:ascii="Arial" w:cs="Arial" w:eastAsia="Arial" w:hAnsi="Arial"/>
          <w:sz w:val="17"/>
          <w:szCs w:val="17"/>
          <w:color w:val="auto"/>
        </w:rPr>
      </w:pPr>
    </w:p>
    <w:p>
      <w:pPr>
        <w:ind w:left="940" w:hanging="309"/>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identify and execute on our strategic initiatives;</w:t>
      </w:r>
    </w:p>
    <w:p>
      <w:pPr>
        <w:spacing w:after="0" w:line="117" w:lineRule="exact"/>
        <w:rPr>
          <w:rFonts w:ascii="Arial" w:cs="Arial" w:eastAsia="Arial" w:hAnsi="Arial"/>
          <w:sz w:val="17"/>
          <w:szCs w:val="17"/>
          <w:color w:val="auto"/>
        </w:rPr>
      </w:pPr>
    </w:p>
    <w:p>
      <w:pPr>
        <w:ind w:left="940" w:hanging="309"/>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declare and pay dividends;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061" w:right="359" w:bottom="1440" w:gutter="0" w:footer="0" w:header="0"/>
        </w:sectPr>
      </w:pPr>
    </w:p>
    <w:bookmarkStart w:id="18" w:name="page19"/>
    <w:bookmarkEnd w:id="18"/>
    <w:p>
      <w:pPr>
        <w:ind w:left="940" w:hanging="309"/>
        <w:spacing w:after="0"/>
        <w:tabs>
          <w:tab w:leader="none" w:pos="9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fund future capital requirements on favorable terms;</w:t>
      </w:r>
    </w:p>
    <w:p>
      <w:pPr>
        <w:spacing w:after="0" w:line="117" w:lineRule="exact"/>
        <w:rPr>
          <w:rFonts w:ascii="Arial" w:cs="Arial" w:eastAsia="Arial" w:hAnsi="Arial"/>
          <w:sz w:val="17"/>
          <w:szCs w:val="17"/>
          <w:color w:val="auto"/>
        </w:rPr>
      </w:pPr>
    </w:p>
    <w:p>
      <w:pPr>
        <w:ind w:left="940" w:hanging="309"/>
        <w:spacing w:after="0"/>
        <w:tabs>
          <w:tab w:leader="none" w:pos="9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properly address conflicts of interest;</w:t>
      </w:r>
    </w:p>
    <w:p>
      <w:pPr>
        <w:spacing w:after="0" w:line="117" w:lineRule="exact"/>
        <w:rPr>
          <w:rFonts w:ascii="Arial" w:cs="Arial" w:eastAsia="Arial" w:hAnsi="Arial"/>
          <w:sz w:val="17"/>
          <w:szCs w:val="17"/>
          <w:color w:val="auto"/>
        </w:rPr>
      </w:pPr>
    </w:p>
    <w:p>
      <w:pPr>
        <w:ind w:left="940" w:hanging="309"/>
        <w:spacing w:after="0"/>
        <w:tabs>
          <w:tab w:leader="none" w:pos="9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maintain adequate insurance coverage; and</w:t>
      </w:r>
    </w:p>
    <w:p>
      <w:pPr>
        <w:spacing w:after="0" w:line="117" w:lineRule="exact"/>
        <w:rPr>
          <w:rFonts w:ascii="Arial" w:cs="Arial" w:eastAsia="Arial" w:hAnsi="Arial"/>
          <w:sz w:val="17"/>
          <w:szCs w:val="17"/>
          <w:color w:val="auto"/>
        </w:rPr>
      </w:pPr>
    </w:p>
    <w:p>
      <w:pPr>
        <w:ind w:left="940" w:hanging="309"/>
        <w:spacing w:after="0"/>
        <w:tabs>
          <w:tab w:leader="none" w:pos="9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maintain an effective system of internal controls.</w:t>
      </w:r>
    </w:p>
    <w:p>
      <w:pPr>
        <w:spacing w:after="0" w:line="118" w:lineRule="exact"/>
        <w:rPr>
          <w:sz w:val="20"/>
          <w:szCs w:val="20"/>
          <w:color w:val="auto"/>
        </w:rPr>
      </w:pPr>
    </w:p>
    <w:p>
      <w:pPr>
        <w:ind w:right="20" w:firstLine="470"/>
        <w:spacing w:after="0" w:line="272" w:lineRule="auto"/>
        <w:rPr>
          <w:sz w:val="20"/>
          <w:szCs w:val="20"/>
          <w:color w:val="auto"/>
        </w:rPr>
      </w:pPr>
      <w:r>
        <w:rPr>
          <w:rFonts w:ascii="Arial" w:cs="Arial" w:eastAsia="Arial" w:hAnsi="Arial"/>
          <w:sz w:val="17"/>
          <w:szCs w:val="17"/>
          <w:color w:val="auto"/>
        </w:rPr>
        <w:t>You should not unduly rely on these forward-looking statements, which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Overview</w:t>
      </w:r>
    </w:p>
    <w:p>
      <w:pPr>
        <w:spacing w:after="0" w:line="124" w:lineRule="exact"/>
        <w:rPr>
          <w:sz w:val="20"/>
          <w:szCs w:val="20"/>
          <w:color w:val="auto"/>
        </w:rPr>
      </w:pPr>
    </w:p>
    <w:p>
      <w:pPr>
        <w:ind w:right="480" w:firstLine="470"/>
        <w:spacing w:after="0" w:line="288" w:lineRule="auto"/>
        <w:rPr>
          <w:sz w:val="20"/>
          <w:szCs w:val="20"/>
          <w:color w:val="auto"/>
        </w:rPr>
      </w:pPr>
      <w:r>
        <w:rPr>
          <w:rFonts w:ascii="Arial" w:cs="Arial" w:eastAsia="Arial" w:hAnsi="Arial"/>
          <w:sz w:val="16"/>
          <w:szCs w:val="16"/>
          <w:color w:val="auto"/>
        </w:rPr>
        <w:t>We manage investment assets and provide services for our clients through our subsidiaries, Westwood Management Corp. and Westwood Advisors, L.L.C. (each of which is an SEC-registered investment advisor and referred to hereinafter together as “Westwood Management”), Westwood International Advisors Inc. (“Westwood International Advisors”) and Westwood Trust. Westwood Management provides investment advisory services to institutional investors, a family of mutual funds called the Westwood Funds®, other mutual funds, individuals and clients of Westwood Trust.</w:t>
      </w:r>
    </w:p>
    <w:p>
      <w:pPr>
        <w:spacing w:after="0" w:line="5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On July 27, 2020, our Board of Directors approved the closure of Westwood International Advisors and Westwood’s office in Toronto, Canada.</w:t>
      </w:r>
    </w:p>
    <w:p>
      <w:pPr>
        <w:spacing w:after="0" w:line="118" w:lineRule="exact"/>
        <w:rPr>
          <w:sz w:val="20"/>
          <w:szCs w:val="20"/>
          <w:color w:val="auto"/>
        </w:rPr>
      </w:pPr>
    </w:p>
    <w:p>
      <w:pPr>
        <w:ind w:right="20" w:firstLine="470"/>
        <w:spacing w:after="0" w:line="266" w:lineRule="auto"/>
        <w:rPr>
          <w:sz w:val="20"/>
          <w:szCs w:val="20"/>
          <w:color w:val="auto"/>
        </w:rPr>
      </w:pPr>
      <w:r>
        <w:rPr>
          <w:rFonts w:ascii="Arial" w:cs="Arial" w:eastAsia="Arial" w:hAnsi="Arial"/>
          <w:sz w:val="17"/>
          <w:szCs w:val="17"/>
          <w:color w:val="auto"/>
        </w:rPr>
        <w:t>Westwood Trust provides trust and custodial services and participation in common trust funds to institutions and high net worth individuals. Our revenues are generally derived from fees based on a percentage of AUM. Westwood International Advisors provided investment advisory services to an Irish investment company authorized pursuant to the European Communities (Undertakings for Collective Investment in Transferable Securities) Regulation 2011 (as amended) (the “UCITS Fund”), which was liquidated in June 2020.</w:t>
      </w:r>
    </w:p>
    <w:p>
      <w:pPr>
        <w:spacing w:after="0" w:line="73" w:lineRule="exact"/>
        <w:rPr>
          <w:sz w:val="20"/>
          <w:szCs w:val="20"/>
          <w:color w:val="auto"/>
        </w:rPr>
      </w:pPr>
    </w:p>
    <w:p>
      <w:pPr>
        <w:ind w:right="80" w:firstLine="470"/>
        <w:spacing w:after="0" w:line="262" w:lineRule="auto"/>
        <w:rPr>
          <w:sz w:val="20"/>
          <w:szCs w:val="20"/>
          <w:color w:val="auto"/>
        </w:rPr>
      </w:pPr>
      <w:r>
        <w:rPr>
          <w:rFonts w:ascii="Arial" w:cs="Arial" w:eastAsia="Arial" w:hAnsi="Arial"/>
          <w:sz w:val="17"/>
          <w:szCs w:val="17"/>
          <w:color w:val="auto"/>
        </w:rPr>
        <w:t>We continue to closely monitor the impact of the COVID-19 pandemic on all aspects of our business, particularly the impact on global stock markets. Beginning in 2020, we have taken a number of precautionary measures designed to help minimize the risk of spreading the virus to our employees, including encouraging our employees to work remotely. The investments we have made in technology over the past several years, particularly our significant investments in cloud-based systems and business continuity planning, have allowed our team to serve our clients interchangeably from their homes or our offices. While our ability to meet with clients declined at the beginning of the pandemic, subsequently we were able to restore our communications to pre-pandemic levels as our clients embraced digital interactions.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Revenues</w:t>
      </w:r>
    </w:p>
    <w:p>
      <w:pPr>
        <w:spacing w:after="0" w:line="118" w:lineRule="exact"/>
        <w:rPr>
          <w:sz w:val="20"/>
          <w:szCs w:val="20"/>
          <w:color w:val="auto"/>
        </w:rPr>
      </w:pPr>
    </w:p>
    <w:p>
      <w:pPr>
        <w:ind w:firstLine="470"/>
        <w:spacing w:after="0" w:line="278" w:lineRule="auto"/>
        <w:rPr>
          <w:sz w:val="20"/>
          <w:szCs w:val="20"/>
          <w:color w:val="auto"/>
        </w:rPr>
      </w:pPr>
      <w:r>
        <w:rPr>
          <w:rFonts w:ascii="Arial" w:cs="Arial" w:eastAsia="Arial" w:hAnsi="Arial"/>
          <w:sz w:val="16"/>
          <w:szCs w:val="16"/>
          <w:color w:val="auto"/>
        </w:rPr>
        <w:t>We derive our revenues from investment advisory fees, trust fees and other revenues. Our advisory fees are generated by Westwood Management and Westwood International Advisors (prior to its closure, effective September 30, 2020), which manage client accounts under investment advisory and subadvisory agreements. Advisory fees are typically calculated based on a percentage of AUM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Certain of our clients have a contractual performance-based fee component in their contracts, which generates additional revenues if we outperform a specified index over a specific period of time. We record revenue for performance-based fees at the end of the measurement period. Since our advance paying clients’ billing periods coincide with the calendar quarter to which such payments relate, revenue is recognized within the quarter, and our Condensed Consolidated Financial Statements contain no deferred advisory fee revenues.</w:t>
      </w:r>
    </w:p>
    <w:p>
      <w:pPr>
        <w:spacing w:after="0" w:line="66" w:lineRule="exact"/>
        <w:rPr>
          <w:sz w:val="20"/>
          <w:szCs w:val="20"/>
          <w:color w:val="auto"/>
        </w:rPr>
      </w:pPr>
    </w:p>
    <w:p>
      <w:pPr>
        <w:ind w:right="120" w:firstLine="470"/>
        <w:spacing w:after="0" w:line="264" w:lineRule="auto"/>
        <w:rPr>
          <w:sz w:val="20"/>
          <w:szCs w:val="20"/>
          <w:color w:val="auto"/>
        </w:rPr>
      </w:pPr>
      <w:r>
        <w:rPr>
          <w:rFonts w:ascii="Arial" w:cs="Arial" w:eastAsia="Arial" w:hAnsi="Arial"/>
          <w:sz w:val="17"/>
          <w:szCs w:val="17"/>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Trust fees are primarily calculated quarterly in arrears based on a daily average of AUM for the quarter. Since billing periods for most of Westwood Trust's clients coincide with the calendar quarter, revenue is fully recognized within the quarter, and our Condensed Consolidated Financial Statements contain no deferred advisory fee revenues.</w:t>
      </w:r>
    </w:p>
    <w:p>
      <w:pPr>
        <w:spacing w:after="0" w:line="74" w:lineRule="exact"/>
        <w:rPr>
          <w:sz w:val="20"/>
          <w:szCs w:val="20"/>
          <w:color w:val="auto"/>
        </w:rPr>
      </w:pPr>
    </w:p>
    <w:p>
      <w:pPr>
        <w:ind w:right="2040" w:firstLine="470"/>
        <w:spacing w:after="0" w:line="416" w:lineRule="auto"/>
        <w:rPr>
          <w:sz w:val="20"/>
          <w:szCs w:val="20"/>
          <w:color w:val="auto"/>
        </w:rPr>
      </w:pPr>
      <w:r>
        <w:rPr>
          <w:rFonts w:ascii="Arial" w:cs="Arial" w:eastAsia="Arial" w:hAnsi="Arial"/>
          <w:sz w:val="17"/>
          <w:szCs w:val="17"/>
          <w:color w:val="auto"/>
        </w:rPr>
        <w:t xml:space="preserve">Our other revenues primarily consist of investment income from our seed money investments into new investment strategies. </w:t>
      </w:r>
      <w:r>
        <w:rPr>
          <w:rFonts w:ascii="Arial" w:cs="Arial" w:eastAsia="Arial" w:hAnsi="Arial"/>
          <w:sz w:val="17"/>
          <w:szCs w:val="17"/>
          <w:i w:val="1"/>
          <w:iCs w:val="1"/>
          <w:color w:val="auto"/>
        </w:rPr>
        <w:t>Employee Compensation and Benefits</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71" w:right="359" w:bottom="1440" w:gutter="0" w:footer="0" w:header="0"/>
        </w:sectPr>
      </w:pPr>
    </w:p>
    <w:bookmarkStart w:id="19" w:name="page20"/>
    <w:bookmarkEnd w:id="19"/>
    <w:p>
      <w:pPr>
        <w:ind w:left="480"/>
        <w:spacing w:after="0"/>
        <w:rPr>
          <w:sz w:val="20"/>
          <w:szCs w:val="20"/>
          <w:color w:val="auto"/>
        </w:rPr>
      </w:pPr>
      <w:r>
        <w:rPr>
          <w:rFonts w:ascii="Arial" w:cs="Arial" w:eastAsia="Arial" w:hAnsi="Arial"/>
          <w:sz w:val="16"/>
          <w:szCs w:val="16"/>
          <w:color w:val="auto"/>
        </w:rPr>
        <w:t>Employee compensation and benefits expenses generally consist of salaries, incentive compensation, equity-based compensation and benefits.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Sales and marketing expenses relate to our marketing efforts, including travel and entertainment, direct marketing and advertising costs.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Westwood Mutual Funds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Westwood Mutual Funds expenses relate to our marketing, distribution and administration of the Westwood Funds</w:t>
      </w:r>
      <w:r>
        <w:rPr>
          <w:rFonts w:ascii="Arial" w:cs="Arial" w:eastAsia="Arial" w:hAnsi="Arial"/>
          <w:sz w:val="17"/>
          <w:szCs w:val="17"/>
          <w:b w:val="1"/>
          <w:bCs w:val="1"/>
          <w:i w:val="1"/>
          <w:iCs w:val="1"/>
          <w:color w:val="auto"/>
        </w:rPr>
        <w:t>®</w:t>
      </w:r>
      <w:r>
        <w:rPr>
          <w:rFonts w:ascii="Arial" w:cs="Arial" w:eastAsia="Arial" w:hAnsi="Arial"/>
          <w:sz w:val="17"/>
          <w:szCs w:val="17"/>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Information Technology</w:t>
      </w:r>
    </w:p>
    <w:p>
      <w:pPr>
        <w:spacing w:after="0" w:line="118" w:lineRule="exact"/>
        <w:rPr>
          <w:sz w:val="20"/>
          <w:szCs w:val="20"/>
          <w:color w:val="auto"/>
        </w:rPr>
      </w:pPr>
    </w:p>
    <w:p>
      <w:pPr>
        <w:ind w:right="680" w:firstLine="470"/>
        <w:spacing w:after="0" w:line="287" w:lineRule="auto"/>
        <w:rPr>
          <w:sz w:val="20"/>
          <w:szCs w:val="20"/>
          <w:color w:val="auto"/>
        </w:rPr>
      </w:pPr>
      <w:r>
        <w:rPr>
          <w:rFonts w:ascii="Arial" w:cs="Arial" w:eastAsia="Arial" w:hAnsi="Arial"/>
          <w:sz w:val="17"/>
          <w:szCs w:val="17"/>
          <w:color w:val="auto"/>
        </w:rPr>
        <w:t>Information technology expenses are generally costs associated with proprietary investment research tools, maintenance and support, computing hardware, software licenses, telecommunications and other related costs.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Professional Services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Professional services expenses generally consist of costs associated with subadvisory fees, audit, tax, legal and other professional services.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118" w:lineRule="exact"/>
        <w:rPr>
          <w:sz w:val="20"/>
          <w:szCs w:val="20"/>
          <w:color w:val="auto"/>
        </w:rPr>
      </w:pPr>
    </w:p>
    <w:p>
      <w:pPr>
        <w:ind w:right="260" w:firstLine="470"/>
        <w:spacing w:after="0" w:line="287" w:lineRule="auto"/>
        <w:rPr>
          <w:sz w:val="20"/>
          <w:szCs w:val="20"/>
          <w:color w:val="auto"/>
        </w:rPr>
      </w:pPr>
      <w:r>
        <w:rPr>
          <w:rFonts w:ascii="Arial" w:cs="Arial" w:eastAsia="Arial" w:hAnsi="Arial"/>
          <w:sz w:val="17"/>
          <w:szCs w:val="17"/>
          <w:color w:val="auto"/>
        </w:rPr>
        <w:t>General and administrative expenses generally consist of costs associated with the lease of office space, amortization, depreciation, insurance, custody expense, Board of Directors' fees, investor relations, licenses and fees, office supplies and other miscellaneous expenses.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Impairment Expense</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Impairment expense consists of long-lived asset impairments, generally goodwill or intangible assets.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Gain (Loss) on Foreign Currency Transactions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Gain (loss) on foreign currency transactions consists of foreign currency transactions primarily related to Westwood International Advisors.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Realized Gains on Private Investments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5"/>
          <w:szCs w:val="15"/>
          <w:color w:val="auto"/>
        </w:rPr>
        <w:t>Realized gains on private investments includes amounts by which the net proceeds from the sale or redemption of our private investments exceeded costs.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change in unrealized appreciation (depreciation) on Private Investments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Net change in unrealized appreciation (depreciation) on private investments includes changes in the value of our private equity investments.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 Income</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Investment income primarily includes interest and dividend income on fixed income securities and money market funds.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Other income primarily consists of income from the sublease of a portion of our corporate offices.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translation adjustments to net income (loss) upon liquidation of a foreign subsidiary</w:t>
      </w:r>
    </w:p>
    <w:p>
      <w:pPr>
        <w:spacing w:after="0" w:line="118" w:lineRule="exact"/>
        <w:rPr>
          <w:sz w:val="20"/>
          <w:szCs w:val="20"/>
          <w:color w:val="auto"/>
        </w:rPr>
      </w:pPr>
    </w:p>
    <w:p>
      <w:pPr>
        <w:ind w:right="320" w:firstLine="470"/>
        <w:spacing w:after="0" w:line="287" w:lineRule="auto"/>
        <w:rPr>
          <w:sz w:val="20"/>
          <w:szCs w:val="20"/>
          <w:color w:val="auto"/>
        </w:rPr>
      </w:pPr>
      <w:r>
        <w:rPr>
          <w:rFonts w:ascii="Arial" w:cs="Arial" w:eastAsia="Arial" w:hAnsi="Arial"/>
          <w:sz w:val="17"/>
          <w:szCs w:val="17"/>
          <w:color w:val="auto"/>
        </w:rPr>
        <w:t>Foreign currency translation adjustments to net income (loss) upon liquidation of a foreign subsidiary includes a cumulative adjustment following the substantially completed liquidation of a foreign subsidiary, Westwood International Advisors.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Assets Under Management</w:t>
      </w:r>
    </w:p>
    <w:p>
      <w:pPr>
        <w:spacing w:after="0" w:line="176" w:lineRule="exact"/>
        <w:rPr>
          <w:sz w:val="20"/>
          <w:szCs w:val="20"/>
          <w:color w:val="auto"/>
        </w:rPr>
      </w:pPr>
    </w:p>
    <w:p>
      <w:pPr>
        <w:ind w:right="260" w:firstLine="470"/>
        <w:spacing w:after="0" w:line="287" w:lineRule="auto"/>
        <w:rPr>
          <w:sz w:val="20"/>
          <w:szCs w:val="20"/>
          <w:color w:val="auto"/>
        </w:rPr>
      </w:pPr>
      <w:r>
        <w:rPr>
          <w:rFonts w:ascii="Arial" w:cs="Arial" w:eastAsia="Arial" w:hAnsi="Arial"/>
          <w:sz w:val="17"/>
          <w:szCs w:val="17"/>
          <w:color w:val="auto"/>
        </w:rPr>
        <w:t>AUM increased $1.8 billion to $13.8 billion at September 30, 2021 compared with $12.0 billion at September 30, 2020. The average of beginning and ending AUM for the third quarter of 2021 was $14.1 billion compared to $11.9 billion for the third quarter of 2020.</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71" w:right="379" w:bottom="1440" w:gutter="0" w:footer="0" w:header="0"/>
        </w:sectPr>
      </w:pPr>
    </w:p>
    <w:bookmarkStart w:id="20" w:name="page21"/>
    <w:bookmarkEnd w:id="20"/>
    <w:p>
      <w:pPr>
        <w:ind w:left="480"/>
        <w:spacing w:after="0"/>
        <w:rPr>
          <w:sz w:val="20"/>
          <w:szCs w:val="20"/>
          <w:color w:val="auto"/>
        </w:rPr>
      </w:pPr>
      <w:r>
        <w:rPr>
          <w:rFonts w:ascii="Arial" w:cs="Arial" w:eastAsia="Arial" w:hAnsi="Arial"/>
          <w:sz w:val="17"/>
          <w:szCs w:val="17"/>
          <w:color w:val="auto"/>
        </w:rPr>
        <w:t>The following table displays AUM as of September 30, 2021 and 2020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September 30,</w:t>
            </w: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2"/>
        </w:trPr>
        <w:tc>
          <w:tcPr>
            <w:tcW w:w="60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17"/>
                <w:szCs w:val="17"/>
                <w:color w:val="auto"/>
              </w:rPr>
            </w:pPr>
          </w:p>
        </w:tc>
      </w:tr>
      <w:tr>
        <w:trPr>
          <w:trHeight w:val="218"/>
        </w:trPr>
        <w:tc>
          <w:tcPr>
            <w:tcW w:w="6080" w:type="dxa"/>
            <w:vAlign w:val="bottom"/>
            <w:shd w:val="clear" w:color="auto" w:fill="CCEEFF"/>
          </w:tcPr>
          <w:p>
            <w:pPr>
              <w:ind w:left="500"/>
              <w:spacing w:after="0" w:line="218" w:lineRule="exact"/>
              <w:rPr>
                <w:sz w:val="20"/>
                <w:szCs w:val="20"/>
                <w:color w:val="auto"/>
              </w:rPr>
            </w:pPr>
            <w:r>
              <w:rPr>
                <w:rFonts w:ascii="Arial" w:cs="Arial" w:eastAsia="Arial" w:hAnsi="Arial"/>
                <w:sz w:val="17"/>
                <w:szCs w:val="17"/>
                <w:color w:val="auto"/>
              </w:rPr>
              <w:t>Institutional</w:t>
            </w:r>
            <w:r>
              <w:rPr>
                <w:rFonts w:ascii="Arial" w:cs="Arial" w:eastAsia="Arial" w:hAnsi="Arial"/>
                <w:sz w:val="22"/>
                <w:szCs w:val="22"/>
                <w:color w:val="auto"/>
                <w:vertAlign w:val="superscript"/>
              </w:rPr>
              <w:t>(1)</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6,044</w:t>
            </w:r>
          </w:p>
        </w:tc>
        <w:tc>
          <w:tcPr>
            <w:tcW w:w="1460" w:type="dxa"/>
            <w:vAlign w:val="bottom"/>
            <w:gridSpan w:val="2"/>
            <w:shd w:val="clear" w:color="auto" w:fill="CCEEFF"/>
          </w:tcPr>
          <w:p>
            <w:pPr>
              <w:jc w:val="right"/>
              <w:ind w:right="350"/>
              <w:spacing w:after="0"/>
              <w:rPr>
                <w:sz w:val="20"/>
                <w:szCs w:val="20"/>
                <w:color w:val="auto"/>
              </w:rPr>
            </w:pPr>
            <w:r>
              <w:rPr>
                <w:rFonts w:ascii="Arial" w:cs="Arial" w:eastAsia="Arial" w:hAnsi="Arial"/>
                <w:sz w:val="17"/>
                <w:szCs w:val="17"/>
                <w:color w:val="auto"/>
              </w:rPr>
              <w:t>11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080" w:type="dxa"/>
            <w:vAlign w:val="bottom"/>
          </w:tcPr>
          <w:p>
            <w:pPr>
              <w:ind w:left="500"/>
              <w:spacing w:after="0" w:line="222" w:lineRule="exact"/>
              <w:rPr>
                <w:sz w:val="20"/>
                <w:szCs w:val="20"/>
                <w:color w:val="auto"/>
              </w:rPr>
            </w:pPr>
            <w:r>
              <w:rPr>
                <w:rFonts w:ascii="Arial" w:cs="Arial" w:eastAsia="Arial" w:hAnsi="Arial"/>
                <w:sz w:val="17"/>
                <w:szCs w:val="17"/>
                <w:color w:val="auto"/>
              </w:rPr>
              <w:t>Wealth Management</w:t>
            </w:r>
            <w:r>
              <w:rPr>
                <w:rFonts w:ascii="Arial" w:cs="Arial" w:eastAsia="Arial" w:hAnsi="Arial"/>
                <w:sz w:val="22"/>
                <w:szCs w:val="22"/>
                <w:color w:val="auto"/>
                <w:vertAlign w:val="superscript"/>
              </w:rPr>
              <w:t>(2)</w:t>
            </w:r>
          </w:p>
        </w:tc>
        <w:tc>
          <w:tcPr>
            <w:tcW w:w="7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4,236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4,094</w:t>
            </w:r>
          </w:p>
        </w:tc>
        <w:tc>
          <w:tcPr>
            <w:tcW w:w="1460" w:type="dxa"/>
            <w:vAlign w:val="bottom"/>
            <w:gridSpan w:val="2"/>
          </w:tcPr>
          <w:p>
            <w:pPr>
              <w:jc w:val="right"/>
              <w:ind w:right="350"/>
              <w:spacing w:after="0"/>
              <w:rPr>
                <w:sz w:val="20"/>
                <w:szCs w:val="20"/>
                <w:color w:val="auto"/>
              </w:rPr>
            </w:pPr>
            <w:r>
              <w:rPr>
                <w:rFonts w:ascii="Arial" w:cs="Arial" w:eastAsia="Arial" w:hAnsi="Arial"/>
                <w:sz w:val="17"/>
                <w:szCs w:val="17"/>
                <w:color w:val="auto"/>
              </w:rPr>
              <w:t>3</w:t>
            </w:r>
          </w:p>
        </w:tc>
        <w:tc>
          <w:tcPr>
            <w:tcW w:w="240" w:type="dxa"/>
            <w:vAlign w:val="bottom"/>
          </w:tcPr>
          <w:p>
            <w:pPr>
              <w:spacing w:after="0"/>
              <w:rPr>
                <w:sz w:val="19"/>
                <w:szCs w:val="19"/>
                <w:color w:val="auto"/>
              </w:rPr>
            </w:pPr>
          </w:p>
        </w:tc>
      </w:tr>
      <w:tr>
        <w:trPr>
          <w:trHeight w:val="222"/>
        </w:trPr>
        <w:tc>
          <w:tcPr>
            <w:tcW w:w="6080" w:type="dxa"/>
            <w:vAlign w:val="bottom"/>
            <w:shd w:val="clear" w:color="auto" w:fill="CCEEFF"/>
          </w:tcPr>
          <w:p>
            <w:pPr>
              <w:ind w:left="500"/>
              <w:spacing w:after="0" w:line="222" w:lineRule="exact"/>
              <w:rPr>
                <w:sz w:val="20"/>
                <w:szCs w:val="20"/>
                <w:color w:val="auto"/>
              </w:rPr>
            </w:pPr>
            <w:r>
              <w:rPr>
                <w:rFonts w:ascii="Arial" w:cs="Arial" w:eastAsia="Arial" w:hAnsi="Arial"/>
                <w:sz w:val="17"/>
                <w:szCs w:val="17"/>
                <w:color w:val="auto"/>
              </w:rPr>
              <w:t>Mutual Funds</w:t>
            </w:r>
            <w:r>
              <w:rPr>
                <w:rFonts w:ascii="Arial" w:cs="Arial" w:eastAsia="Arial" w:hAnsi="Arial"/>
                <w:sz w:val="22"/>
                <w:szCs w:val="22"/>
                <w:color w:val="auto"/>
                <w:vertAlign w:val="superscript"/>
              </w:rPr>
              <w:t>(3)</w:t>
            </w:r>
          </w:p>
        </w:tc>
        <w:tc>
          <w:tcPr>
            <w:tcW w:w="7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2,863</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1,824</w:t>
            </w:r>
          </w:p>
        </w:tc>
        <w:tc>
          <w:tcPr>
            <w:tcW w:w="1460" w:type="dxa"/>
            <w:vAlign w:val="bottom"/>
            <w:gridSpan w:val="2"/>
            <w:shd w:val="clear" w:color="auto" w:fill="CCEEFF"/>
          </w:tcPr>
          <w:p>
            <w:pPr>
              <w:jc w:val="right"/>
              <w:ind w:right="350"/>
              <w:spacing w:after="0"/>
              <w:rPr>
                <w:sz w:val="20"/>
                <w:szCs w:val="20"/>
                <w:color w:val="auto"/>
              </w:rPr>
            </w:pPr>
            <w:r>
              <w:rPr>
                <w:rFonts w:ascii="Arial" w:cs="Arial" w:eastAsia="Arial" w:hAnsi="Arial"/>
                <w:sz w:val="17"/>
                <w:szCs w:val="17"/>
                <w:color w:val="auto"/>
              </w:rPr>
              <w:t>57</w:t>
            </w:r>
          </w:p>
        </w:tc>
        <w:tc>
          <w:tcPr>
            <w:tcW w:w="240" w:type="dxa"/>
            <w:vAlign w:val="bottom"/>
            <w:shd w:val="clear" w:color="auto" w:fill="CCEEFF"/>
          </w:tcPr>
          <w:p>
            <w:pPr>
              <w:spacing w:after="0"/>
              <w:rPr>
                <w:sz w:val="19"/>
                <w:szCs w:val="19"/>
                <w:color w:val="auto"/>
              </w:rPr>
            </w:pPr>
          </w:p>
        </w:tc>
      </w:tr>
      <w:tr>
        <w:trPr>
          <w:trHeight w:val="215"/>
        </w:trPr>
        <w:tc>
          <w:tcPr>
            <w:tcW w:w="6080" w:type="dxa"/>
            <w:vAlign w:val="bottom"/>
          </w:tcPr>
          <w:p>
            <w:pPr>
              <w:ind w:left="500"/>
              <w:spacing w:after="0"/>
              <w:rPr>
                <w:sz w:val="20"/>
                <w:szCs w:val="20"/>
                <w:color w:val="auto"/>
              </w:rPr>
            </w:pPr>
            <w:r>
              <w:rPr>
                <w:rFonts w:ascii="Arial" w:cs="Arial" w:eastAsia="Arial" w:hAnsi="Arial"/>
                <w:sz w:val="17"/>
                <w:szCs w:val="17"/>
                <w:b w:val="1"/>
                <w:bCs w:val="1"/>
                <w:color w:val="auto"/>
              </w:rPr>
              <w:t>Total AUM</w:t>
            </w:r>
            <w:r>
              <w:rPr>
                <w:rFonts w:ascii="Arial" w:cs="Arial" w:eastAsia="Arial" w:hAnsi="Arial"/>
                <w:sz w:val="9"/>
                <w:szCs w:val="9"/>
                <w:b w:val="1"/>
                <w:bCs w:val="1"/>
                <w:color w:val="auto"/>
              </w:rPr>
              <w:t>(4)</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13,800</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11,962</w:t>
            </w:r>
          </w:p>
        </w:tc>
        <w:tc>
          <w:tcPr>
            <w:tcW w:w="1460" w:type="dxa"/>
            <w:vAlign w:val="bottom"/>
            <w:gridSpan w:val="2"/>
          </w:tcPr>
          <w:p>
            <w:pPr>
              <w:jc w:val="right"/>
              <w:ind w:right="350"/>
              <w:spacing w:after="0"/>
              <w:rPr>
                <w:sz w:val="20"/>
                <w:szCs w:val="20"/>
                <w:color w:val="auto"/>
              </w:rPr>
            </w:pPr>
            <w:r>
              <w:rPr>
                <w:rFonts w:ascii="Arial" w:cs="Arial" w:eastAsia="Arial" w:hAnsi="Arial"/>
                <w:sz w:val="17"/>
                <w:szCs w:val="17"/>
                <w:color w:val="auto"/>
              </w:rPr>
              <w:t>15</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60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08" w:lineRule="exact"/>
        <w:rPr>
          <w:sz w:val="20"/>
          <w:szCs w:val="20"/>
          <w:color w:val="auto"/>
        </w:rPr>
      </w:pPr>
    </w:p>
    <w:p>
      <w:pPr>
        <w:jc w:val="both"/>
        <w:ind w:left="320" w:hanging="316"/>
        <w:spacing w:after="0" w:line="237" w:lineRule="auto"/>
        <w:tabs>
          <w:tab w:leader="none" w:pos="312"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Institutional includes (i) separate accounts of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the UCITS Fund and collective investment trusts; and (iv) managed account relationships with brokerage firms and other registered investment advisors that offer Westwood products to their customers. The UCITS Fund was liquidated in June 2020.</w:t>
      </w:r>
    </w:p>
    <w:p>
      <w:pPr>
        <w:spacing w:after="0" w:line="2" w:lineRule="exact"/>
        <w:rPr>
          <w:rFonts w:ascii="Arial" w:cs="Arial" w:eastAsia="Arial" w:hAnsi="Arial"/>
          <w:sz w:val="14"/>
          <w:szCs w:val="14"/>
          <w:color w:val="auto"/>
        </w:rPr>
      </w:pPr>
    </w:p>
    <w:p>
      <w:pPr>
        <w:jc w:val="both"/>
        <w:ind w:left="320" w:hanging="316"/>
        <w:spacing w:after="0" w:line="233" w:lineRule="auto"/>
        <w:tabs>
          <w:tab w:leader="none" w:pos="312"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Wealth Management includes assets for which Westwood Trust provides trust and custodial services and participation in common trust funds that it sponsors to institutions and high net worth individuals pursuant to trust or agency agreements and assets for which Westwood Advisors, L.L.C. provides advisory services to high net worth individuals. Investment subadvisory services are provided for the common trust funds by Westwood Management, Westwood International Advisors (prior to its closure, effective September 30, 2020) and external unaffiliated subadvisors. For certain assets in this category Westwood Trust currently provides limited custodial services for a minimal or no fee, viewing these assets as potentially converting to fee-generating managed assets in the future.</w:t>
      </w:r>
    </w:p>
    <w:p>
      <w:pPr>
        <w:spacing w:after="0" w:line="1" w:lineRule="exact"/>
        <w:rPr>
          <w:rFonts w:ascii="Arial" w:cs="Arial" w:eastAsia="Arial" w:hAnsi="Arial"/>
          <w:sz w:val="14"/>
          <w:szCs w:val="14"/>
          <w:color w:val="auto"/>
        </w:rPr>
      </w:pPr>
    </w:p>
    <w:p>
      <w:pPr>
        <w:ind w:left="320" w:hanging="316"/>
        <w:spacing w:after="0" w:line="233" w:lineRule="auto"/>
        <w:tabs>
          <w:tab w:leader="none" w:pos="312" w:val="left"/>
        </w:tabs>
        <w:numPr>
          <w:ilvl w:val="0"/>
          <w:numId w:val="11"/>
        </w:numPr>
        <w:rPr>
          <w:rFonts w:ascii="Arial" w:cs="Arial" w:eastAsia="Arial" w:hAnsi="Arial"/>
          <w:sz w:val="14"/>
          <w:szCs w:val="14"/>
          <w:color w:val="auto"/>
        </w:rPr>
      </w:pPr>
      <w:r>
        <w:rPr>
          <w:rFonts w:ascii="Arial" w:cs="Arial" w:eastAsia="Arial" w:hAnsi="Arial"/>
          <w:sz w:val="14"/>
          <w:szCs w:val="14"/>
          <w:color w:val="auto"/>
        </w:rPr>
        <w:t>Mutual Funds include the Westwood Funds®, a family of mutual funds for which Westwood Management serves as advisor. These funds are available to individual investors, institutional investors and wealth management accounts.</w:t>
      </w:r>
    </w:p>
    <w:p>
      <w:pPr>
        <w:ind w:left="320" w:hanging="316"/>
        <w:spacing w:after="0"/>
        <w:tabs>
          <w:tab w:leader="none" w:pos="312" w:val="left"/>
        </w:tabs>
        <w:numPr>
          <w:ilvl w:val="0"/>
          <w:numId w:val="11"/>
        </w:numPr>
        <w:rPr>
          <w:rFonts w:ascii="Arial" w:cs="Arial" w:eastAsia="Arial" w:hAnsi="Arial"/>
          <w:sz w:val="14"/>
          <w:szCs w:val="14"/>
          <w:color w:val="auto"/>
        </w:rPr>
      </w:pPr>
      <w:r>
        <w:rPr>
          <w:rFonts w:ascii="Arial" w:cs="Arial" w:eastAsia="Arial" w:hAnsi="Arial"/>
          <w:sz w:val="14"/>
          <w:szCs w:val="14"/>
          <w:color w:val="auto"/>
        </w:rPr>
        <w:t>AUM excludes $283 million and $240 million of assets under advisement (“AUA”) as of September 30, 2021 and 2020, respectively, related to our model portfolios for which we provided consulting advice but for which we did not have direct discretionary investment authority.</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Roll-Forward of Assets Under Management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7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4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7"/>
                <w:szCs w:val="17"/>
                <w:color w:val="auto"/>
              </w:rPr>
            </w:pPr>
          </w:p>
        </w:tc>
        <w:tc>
          <w:tcPr>
            <w:tcW w:w="2640" w:type="dxa"/>
            <w:vAlign w:val="bottom"/>
            <w:gridSpan w:val="4"/>
          </w:tcPr>
          <w:p>
            <w:pPr>
              <w:jc w:val="right"/>
              <w:ind w:right="158"/>
              <w:spacing w:after="0"/>
              <w:rPr>
                <w:sz w:val="20"/>
                <w:szCs w:val="20"/>
                <w:color w:val="auto"/>
              </w:rPr>
            </w:pPr>
            <w:r>
              <w:rPr>
                <w:rFonts w:ascii="Arial" w:cs="Arial" w:eastAsia="Arial" w:hAnsi="Arial"/>
                <w:sz w:val="16"/>
                <w:szCs w:val="16"/>
                <w:b w:val="1"/>
                <w:bCs w:val="1"/>
                <w:color w:val="auto"/>
                <w:w w:val="90"/>
              </w:rPr>
              <w:t>Nine Months Ended September 30,</w:t>
            </w:r>
          </w:p>
        </w:tc>
      </w:tr>
      <w:tr>
        <w:trPr>
          <w:trHeight w:val="205"/>
        </w:trPr>
        <w:tc>
          <w:tcPr>
            <w:tcW w:w="20" w:type="dxa"/>
            <w:vAlign w:val="bottom"/>
            <w:tcBorders>
              <w:bottom w:val="single" w:sz="8" w:color="CCEEFF"/>
            </w:tcBorders>
          </w:tcPr>
          <w:p>
            <w:pPr>
              <w:spacing w:after="0"/>
              <w:rPr>
                <w:sz w:val="17"/>
                <w:szCs w:val="17"/>
                <w:color w:val="auto"/>
              </w:rPr>
            </w:pPr>
          </w:p>
        </w:tc>
        <w:tc>
          <w:tcPr>
            <w:tcW w:w="5420" w:type="dxa"/>
            <w:vAlign w:val="bottom"/>
            <w:tcBorders>
              <w:bottom w:val="single" w:sz="8" w:color="CCEEFF"/>
            </w:tcBorders>
            <w:gridSpan w:val="5"/>
          </w:tcPr>
          <w:p>
            <w:pPr>
              <w:spacing w:after="0"/>
              <w:rPr>
                <w:sz w:val="20"/>
                <w:szCs w:val="20"/>
                <w:color w:val="auto"/>
              </w:rPr>
            </w:pPr>
            <w:r>
              <w:rPr>
                <w:rFonts w:ascii="Arial" w:cs="Arial" w:eastAsia="Arial" w:hAnsi="Arial"/>
                <w:sz w:val="16"/>
                <w:szCs w:val="16"/>
                <w:i w:val="1"/>
                <w:iCs w:val="1"/>
                <w:color w:val="auto"/>
              </w:rPr>
              <w:t>(in millions)</w:t>
            </w:r>
          </w:p>
        </w:tc>
        <w:tc>
          <w:tcPr>
            <w:tcW w:w="1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2020</w:t>
            </w:r>
          </w:p>
        </w:tc>
      </w:tr>
      <w:tr>
        <w:trPr>
          <w:trHeight w:val="165"/>
        </w:trPr>
        <w:tc>
          <w:tcPr>
            <w:tcW w:w="20" w:type="dxa"/>
            <w:vAlign w:val="bottom"/>
            <w:shd w:val="clear" w:color="auto" w:fill="CCEEFF"/>
          </w:tcPr>
          <w:p>
            <w:pPr>
              <w:spacing w:after="0"/>
              <w:rPr>
                <w:sz w:val="14"/>
                <w:szCs w:val="14"/>
                <w:color w:val="auto"/>
              </w:rPr>
            </w:pPr>
          </w:p>
        </w:tc>
        <w:tc>
          <w:tcPr>
            <w:tcW w:w="5420" w:type="dxa"/>
            <w:vAlign w:val="bottom"/>
            <w:gridSpan w:val="5"/>
            <w:shd w:val="clear" w:color="auto" w:fill="CCEEFF"/>
          </w:tcPr>
          <w:p>
            <w:pPr>
              <w:spacing w:after="0" w:line="166" w:lineRule="exact"/>
              <w:rPr>
                <w:sz w:val="20"/>
                <w:szCs w:val="20"/>
                <w:color w:val="auto"/>
              </w:rPr>
            </w:pPr>
            <w:r>
              <w:rPr>
                <w:rFonts w:ascii="Arial" w:cs="Arial" w:eastAsia="Arial" w:hAnsi="Arial"/>
                <w:sz w:val="17"/>
                <w:szCs w:val="17"/>
                <w:b w:val="1"/>
                <w:bCs w:val="1"/>
                <w:color w:val="auto"/>
              </w:rPr>
              <w:t>Institutional</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39"/>
        </w:trPr>
        <w:tc>
          <w:tcPr>
            <w:tcW w:w="20" w:type="dxa"/>
            <w:vAlign w:val="bottom"/>
            <w:shd w:val="clear" w:color="auto" w:fill="CCEEFF"/>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r>
      <w:tr>
        <w:trPr>
          <w:trHeight w:val="209"/>
        </w:trPr>
        <w:tc>
          <w:tcPr>
            <w:tcW w:w="20" w:type="dxa"/>
            <w:vAlign w:val="bottom"/>
          </w:tcPr>
          <w:p>
            <w:pPr>
              <w:spacing w:after="0"/>
              <w:rPr>
                <w:sz w:val="18"/>
                <w:szCs w:val="18"/>
                <w:color w:val="auto"/>
              </w:rPr>
            </w:pPr>
          </w:p>
        </w:tc>
        <w:tc>
          <w:tcPr>
            <w:tcW w:w="5420" w:type="dxa"/>
            <w:vAlign w:val="bottom"/>
            <w:gridSpan w:val="5"/>
          </w:tcPr>
          <w:p>
            <w:pPr>
              <w:spacing w:after="0"/>
              <w:rPr>
                <w:sz w:val="20"/>
                <w:szCs w:val="20"/>
                <w:color w:val="auto"/>
              </w:rPr>
            </w:pPr>
            <w:r>
              <w:rPr>
                <w:rFonts w:ascii="Arial" w:cs="Arial" w:eastAsia="Arial" w:hAnsi="Arial"/>
                <w:sz w:val="17"/>
                <w:szCs w:val="17"/>
                <w:color w:val="auto"/>
              </w:rPr>
              <w:t>Beginning of period assets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7,123</w:t>
            </w:r>
          </w:p>
        </w:tc>
        <w:tc>
          <w:tcPr>
            <w:tcW w:w="100" w:type="dxa"/>
            <w:vAlign w:val="bottom"/>
          </w:tcPr>
          <w:p>
            <w:pPr>
              <w:spacing w:after="0"/>
              <w:rPr>
                <w:sz w:val="18"/>
                <w:szCs w:val="18"/>
                <w:color w:val="auto"/>
              </w:rPr>
            </w:pP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6,183</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6,567</w:t>
            </w:r>
          </w:p>
        </w:tc>
        <w:tc>
          <w:tcPr>
            <w:tcW w:w="100" w:type="dxa"/>
            <w:vAlign w:val="bottom"/>
          </w:tcPr>
          <w:p>
            <w:pPr>
              <w:spacing w:after="0"/>
              <w:rPr>
                <w:sz w:val="18"/>
                <w:szCs w:val="18"/>
                <w:color w:val="auto"/>
              </w:rPr>
            </w:pP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8,739</w:t>
            </w:r>
          </w:p>
        </w:tc>
      </w:tr>
      <w:tr>
        <w:trPr>
          <w:trHeight w:val="209"/>
        </w:trPr>
        <w:tc>
          <w:tcPr>
            <w:tcW w:w="20" w:type="dxa"/>
            <w:vAlign w:val="bottom"/>
            <w:shd w:val="clear" w:color="auto" w:fill="CCEEFF"/>
          </w:tcPr>
          <w:p>
            <w:pPr>
              <w:spacing w:after="0"/>
              <w:rPr>
                <w:sz w:val="18"/>
                <w:szCs w:val="18"/>
                <w:color w:val="auto"/>
              </w:rPr>
            </w:pPr>
          </w:p>
        </w:tc>
        <w:tc>
          <w:tcPr>
            <w:tcW w:w="5420" w:type="dxa"/>
            <w:vAlign w:val="bottom"/>
            <w:gridSpan w:val="5"/>
            <w:shd w:val="clear" w:color="auto" w:fill="CCEEFF"/>
          </w:tcPr>
          <w:p>
            <w:pPr>
              <w:ind w:left="320"/>
              <w:spacing w:after="0"/>
              <w:rPr>
                <w:sz w:val="20"/>
                <w:szCs w:val="20"/>
                <w:color w:val="auto"/>
              </w:rPr>
            </w:pPr>
            <w:r>
              <w:rPr>
                <w:rFonts w:ascii="Arial" w:cs="Arial" w:eastAsia="Arial" w:hAnsi="Arial"/>
                <w:sz w:val="17"/>
                <w:szCs w:val="17"/>
                <w:color w:val="auto"/>
              </w:rPr>
              <w:t>Inflows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w:t>
            </w:r>
          </w:p>
        </w:tc>
      </w:tr>
      <w:tr>
        <w:trPr>
          <w:trHeight w:val="209"/>
        </w:trPr>
        <w:tc>
          <w:tcPr>
            <w:tcW w:w="20" w:type="dxa"/>
            <w:vAlign w:val="bottom"/>
            <w:tcBorders>
              <w:bottom w:val="single" w:sz="8" w:color="CCEEFF"/>
            </w:tcBorders>
          </w:tcPr>
          <w:p>
            <w:pPr>
              <w:spacing w:after="0"/>
              <w:rPr>
                <w:sz w:val="18"/>
                <w:szCs w:val="18"/>
                <w:color w:val="auto"/>
              </w:rPr>
            </w:pPr>
          </w:p>
        </w:tc>
        <w:tc>
          <w:tcPr>
            <w:tcW w:w="5420" w:type="dxa"/>
            <w:vAlign w:val="bottom"/>
            <w:tcBorders>
              <w:bottom w:val="single" w:sz="8" w:color="CCEEFF"/>
            </w:tcBorders>
            <w:gridSpan w:val="5"/>
          </w:tcPr>
          <w:p>
            <w:pPr>
              <w:ind w:left="320"/>
              <w:spacing w:after="0"/>
              <w:rPr>
                <w:sz w:val="20"/>
                <w:szCs w:val="20"/>
                <w:color w:val="auto"/>
              </w:rPr>
            </w:pPr>
            <w:r>
              <w:rPr>
                <w:rFonts w:ascii="Arial" w:cs="Arial" w:eastAsia="Arial" w:hAnsi="Arial"/>
                <w:sz w:val="17"/>
                <w:szCs w:val="17"/>
                <w:color w:val="auto"/>
              </w:rPr>
              <w:t>Outflows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(2,554)</w:t>
            </w:r>
          </w:p>
        </w:tc>
      </w:tr>
      <w:tr>
        <w:trPr>
          <w:trHeight w:val="202"/>
        </w:trPr>
        <w:tc>
          <w:tcPr>
            <w:tcW w:w="20" w:type="dxa"/>
            <w:vAlign w:val="bottom"/>
            <w:shd w:val="clear" w:color="auto" w:fill="CCEEFF"/>
          </w:tcPr>
          <w:p>
            <w:pPr>
              <w:spacing w:after="0"/>
              <w:rPr>
                <w:sz w:val="17"/>
                <w:szCs w:val="17"/>
                <w:color w:val="auto"/>
              </w:rPr>
            </w:pPr>
          </w:p>
        </w:tc>
        <w:tc>
          <w:tcPr>
            <w:tcW w:w="5420" w:type="dxa"/>
            <w:vAlign w:val="bottom"/>
            <w:gridSpan w:val="5"/>
            <w:shd w:val="clear" w:color="auto" w:fill="CCEEFF"/>
          </w:tcPr>
          <w:p>
            <w:pPr>
              <w:ind w:left="320"/>
              <w:spacing w:after="0"/>
              <w:rPr>
                <w:sz w:val="20"/>
                <w:szCs w:val="20"/>
                <w:color w:val="auto"/>
              </w:rPr>
            </w:pPr>
            <w:r>
              <w:rPr>
                <w:rFonts w:ascii="Arial" w:cs="Arial" w:eastAsia="Arial" w:hAnsi="Arial"/>
                <w:sz w:val="17"/>
                <w:szCs w:val="17"/>
                <w:color w:val="auto"/>
              </w:rPr>
              <w:t>Net client flows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(1,962)</w:t>
            </w:r>
          </w:p>
        </w:tc>
      </w:tr>
      <w:tr>
        <w:trPr>
          <w:trHeight w:val="209"/>
        </w:trPr>
        <w:tc>
          <w:tcPr>
            <w:tcW w:w="20" w:type="dxa"/>
            <w:vAlign w:val="bottom"/>
            <w:tcBorders>
              <w:bottom w:val="single" w:sz="8" w:color="CCEEFF"/>
            </w:tcBorders>
          </w:tcPr>
          <w:p>
            <w:pPr>
              <w:spacing w:after="0"/>
              <w:rPr>
                <w:sz w:val="18"/>
                <w:szCs w:val="18"/>
                <w:color w:val="auto"/>
              </w:rPr>
            </w:pPr>
          </w:p>
        </w:tc>
        <w:tc>
          <w:tcPr>
            <w:tcW w:w="5420" w:type="dxa"/>
            <w:vAlign w:val="bottom"/>
            <w:tcBorders>
              <w:bottom w:val="single" w:sz="8" w:color="CCEEFF"/>
            </w:tcBorders>
            <w:gridSpan w:val="5"/>
          </w:tcPr>
          <w:p>
            <w:pPr>
              <w:ind w:left="320"/>
              <w:spacing w:after="0"/>
              <w:rPr>
                <w:sz w:val="20"/>
                <w:szCs w:val="20"/>
                <w:color w:val="auto"/>
              </w:rPr>
            </w:pPr>
            <w:r>
              <w:rPr>
                <w:rFonts w:ascii="Arial" w:cs="Arial" w:eastAsia="Arial" w:hAnsi="Arial"/>
                <w:sz w:val="17"/>
                <w:szCs w:val="17"/>
                <w:color w:val="auto"/>
              </w:rPr>
              <w:t>Market appreciation (depreciation)</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(733)</w:t>
            </w:r>
          </w:p>
        </w:tc>
      </w:tr>
      <w:tr>
        <w:trPr>
          <w:trHeight w:val="202"/>
        </w:trPr>
        <w:tc>
          <w:tcPr>
            <w:tcW w:w="20" w:type="dxa"/>
            <w:vAlign w:val="bottom"/>
            <w:shd w:val="clear" w:color="auto" w:fill="CCEEFF"/>
          </w:tcPr>
          <w:p>
            <w:pPr>
              <w:spacing w:after="0"/>
              <w:rPr>
                <w:sz w:val="17"/>
                <w:szCs w:val="17"/>
                <w:color w:val="auto"/>
              </w:rPr>
            </w:pPr>
          </w:p>
        </w:tc>
        <w:tc>
          <w:tcPr>
            <w:tcW w:w="542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Net change</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(2,695)</w:t>
            </w:r>
          </w:p>
        </w:tc>
      </w:tr>
      <w:tr>
        <w:trPr>
          <w:trHeight w:val="202"/>
        </w:trPr>
        <w:tc>
          <w:tcPr>
            <w:tcW w:w="20" w:type="dxa"/>
            <w:vAlign w:val="bottom"/>
          </w:tcPr>
          <w:p>
            <w:pPr>
              <w:spacing w:after="0"/>
              <w:rPr>
                <w:sz w:val="17"/>
                <w:szCs w:val="17"/>
                <w:color w:val="auto"/>
              </w:rPr>
            </w:pPr>
          </w:p>
        </w:tc>
        <w:tc>
          <w:tcPr>
            <w:tcW w:w="5420" w:type="dxa"/>
            <w:vAlign w:val="bottom"/>
            <w:gridSpan w:val="5"/>
          </w:tcPr>
          <w:p>
            <w:pPr>
              <w:spacing w:after="0"/>
              <w:rPr>
                <w:sz w:val="20"/>
                <w:szCs w:val="20"/>
                <w:color w:val="auto"/>
              </w:rPr>
            </w:pPr>
            <w:r>
              <w:rPr>
                <w:rFonts w:ascii="Arial" w:cs="Arial" w:eastAsia="Arial" w:hAnsi="Arial"/>
                <w:sz w:val="17"/>
                <w:szCs w:val="17"/>
                <w:color w:val="auto"/>
              </w:rPr>
              <w:t>End of period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6,701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6,044</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6,701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6,044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1560" w:type="dxa"/>
            <w:vAlign w:val="bottom"/>
            <w:tcBorders>
              <w:bottom w:val="single" w:sz="8" w:color="auto"/>
            </w:tcBorders>
            <w:gridSpan w:val="4"/>
          </w:tcPr>
          <w:p>
            <w:pPr>
              <w:spacing w:after="0" w:line="183" w:lineRule="exact"/>
              <w:rPr>
                <w:sz w:val="20"/>
                <w:szCs w:val="20"/>
                <w:color w:val="auto"/>
              </w:rPr>
            </w:pPr>
            <w:r>
              <w:rPr>
                <w:rFonts w:ascii="Arial" w:cs="Arial" w:eastAsia="Arial" w:hAnsi="Arial"/>
                <w:sz w:val="17"/>
                <w:szCs w:val="17"/>
                <w:b w:val="1"/>
                <w:bCs w:val="1"/>
                <w:color w:val="auto"/>
                <w:w w:val="93"/>
              </w:rPr>
              <w:t>Wealth Management</w:t>
            </w:r>
          </w:p>
        </w:tc>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8"/>
        </w:trPr>
        <w:tc>
          <w:tcPr>
            <w:tcW w:w="20" w:type="dxa"/>
            <w:vAlign w:val="bottom"/>
            <w:shd w:val="clear" w:color="auto" w:fill="CCEEFF"/>
          </w:tcPr>
          <w:p>
            <w:pPr>
              <w:spacing w:after="0"/>
              <w:rPr>
                <w:sz w:val="18"/>
                <w:szCs w:val="18"/>
                <w:color w:val="auto"/>
              </w:rPr>
            </w:pPr>
          </w:p>
        </w:tc>
        <w:tc>
          <w:tcPr>
            <w:tcW w:w="542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Beginning of period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4,438</w:t>
            </w:r>
          </w:p>
        </w:tc>
      </w:tr>
      <w:tr>
        <w:trPr>
          <w:trHeight w:val="209"/>
        </w:trPr>
        <w:tc>
          <w:tcPr>
            <w:tcW w:w="20" w:type="dxa"/>
            <w:vAlign w:val="bottom"/>
          </w:tcPr>
          <w:p>
            <w:pPr>
              <w:spacing w:after="0"/>
              <w:rPr>
                <w:sz w:val="18"/>
                <w:szCs w:val="18"/>
                <w:color w:val="auto"/>
              </w:rPr>
            </w:pPr>
          </w:p>
        </w:tc>
        <w:tc>
          <w:tcPr>
            <w:tcW w:w="5420" w:type="dxa"/>
            <w:vAlign w:val="bottom"/>
            <w:gridSpan w:val="5"/>
          </w:tcPr>
          <w:p>
            <w:pPr>
              <w:ind w:left="320"/>
              <w:spacing w:after="0"/>
              <w:rPr>
                <w:sz w:val="20"/>
                <w:szCs w:val="20"/>
                <w:color w:val="auto"/>
              </w:rPr>
            </w:pPr>
            <w:r>
              <w:rPr>
                <w:rFonts w:ascii="Arial" w:cs="Arial" w:eastAsia="Arial" w:hAnsi="Arial"/>
                <w:sz w:val="17"/>
                <w:szCs w:val="17"/>
                <w:color w:val="auto"/>
              </w:rPr>
              <w:t>Inflows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228</w:t>
            </w:r>
          </w:p>
        </w:tc>
      </w:tr>
      <w:tr>
        <w:trPr>
          <w:trHeight w:val="209"/>
        </w:trPr>
        <w:tc>
          <w:tcPr>
            <w:tcW w:w="20" w:type="dxa"/>
            <w:vAlign w:val="bottom"/>
            <w:shd w:val="clear" w:color="auto" w:fill="CCEEFF"/>
          </w:tcPr>
          <w:p>
            <w:pPr>
              <w:spacing w:after="0"/>
              <w:rPr>
                <w:sz w:val="18"/>
                <w:szCs w:val="18"/>
                <w:color w:val="auto"/>
              </w:rPr>
            </w:pPr>
          </w:p>
        </w:tc>
        <w:tc>
          <w:tcPr>
            <w:tcW w:w="5420" w:type="dxa"/>
            <w:vAlign w:val="bottom"/>
            <w:gridSpan w:val="5"/>
            <w:shd w:val="clear" w:color="auto" w:fill="CCEEFF"/>
          </w:tcPr>
          <w:p>
            <w:pPr>
              <w:ind w:left="320"/>
              <w:spacing w:after="0"/>
              <w:rPr>
                <w:sz w:val="20"/>
                <w:szCs w:val="20"/>
                <w:color w:val="auto"/>
              </w:rPr>
            </w:pPr>
            <w:r>
              <w:rPr>
                <w:rFonts w:ascii="Arial" w:cs="Arial" w:eastAsia="Arial" w:hAnsi="Arial"/>
                <w:sz w:val="17"/>
                <w:szCs w:val="17"/>
                <w:color w:val="auto"/>
              </w:rPr>
              <w:t>Outflows</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(535)</w:t>
            </w:r>
          </w:p>
        </w:tc>
      </w:tr>
      <w:tr>
        <w:trPr>
          <w:trHeight w:val="202"/>
        </w:trPr>
        <w:tc>
          <w:tcPr>
            <w:tcW w:w="20" w:type="dxa"/>
            <w:vAlign w:val="bottom"/>
          </w:tcPr>
          <w:p>
            <w:pPr>
              <w:spacing w:after="0"/>
              <w:rPr>
                <w:sz w:val="17"/>
                <w:szCs w:val="17"/>
                <w:color w:val="auto"/>
              </w:rPr>
            </w:pPr>
          </w:p>
        </w:tc>
        <w:tc>
          <w:tcPr>
            <w:tcW w:w="5420" w:type="dxa"/>
            <w:vAlign w:val="bottom"/>
            <w:gridSpan w:val="5"/>
          </w:tcPr>
          <w:p>
            <w:pPr>
              <w:ind w:left="320"/>
              <w:spacing w:after="0"/>
              <w:rPr>
                <w:sz w:val="20"/>
                <w:szCs w:val="20"/>
                <w:color w:val="auto"/>
              </w:rPr>
            </w:pPr>
            <w:r>
              <w:rPr>
                <w:rFonts w:ascii="Arial" w:cs="Arial" w:eastAsia="Arial" w:hAnsi="Arial"/>
                <w:sz w:val="17"/>
                <w:szCs w:val="17"/>
                <w:color w:val="auto"/>
              </w:rPr>
              <w:t>Net client flows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(414)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(307)</w:t>
            </w:r>
          </w:p>
        </w:tc>
      </w:tr>
      <w:tr>
        <w:trPr>
          <w:trHeight w:val="209"/>
        </w:trPr>
        <w:tc>
          <w:tcPr>
            <w:tcW w:w="20" w:type="dxa"/>
            <w:vAlign w:val="bottom"/>
            <w:shd w:val="clear" w:color="auto" w:fill="CCEEFF"/>
          </w:tcPr>
          <w:p>
            <w:pPr>
              <w:spacing w:after="0"/>
              <w:rPr>
                <w:sz w:val="18"/>
                <w:szCs w:val="18"/>
                <w:color w:val="auto"/>
              </w:rPr>
            </w:pPr>
          </w:p>
        </w:tc>
        <w:tc>
          <w:tcPr>
            <w:tcW w:w="5420" w:type="dxa"/>
            <w:vAlign w:val="bottom"/>
            <w:gridSpan w:val="5"/>
            <w:shd w:val="clear" w:color="auto" w:fill="CCEEFF"/>
          </w:tcPr>
          <w:p>
            <w:pPr>
              <w:ind w:left="320"/>
              <w:spacing w:after="0"/>
              <w:rPr>
                <w:sz w:val="20"/>
                <w:szCs w:val="20"/>
                <w:color w:val="auto"/>
              </w:rPr>
            </w:pPr>
            <w:r>
              <w:rPr>
                <w:rFonts w:ascii="Arial" w:cs="Arial" w:eastAsia="Arial" w:hAnsi="Arial"/>
                <w:sz w:val="17"/>
                <w:szCs w:val="17"/>
                <w:color w:val="auto"/>
              </w:rPr>
              <w:t>Market appreciation (depreciation)</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02"/>
        </w:trPr>
        <w:tc>
          <w:tcPr>
            <w:tcW w:w="20" w:type="dxa"/>
            <w:vAlign w:val="bottom"/>
            <w:tcBorders>
              <w:bottom w:val="single" w:sz="8" w:color="CCEEFF"/>
            </w:tcBorders>
          </w:tcPr>
          <w:p>
            <w:pPr>
              <w:spacing w:after="0"/>
              <w:rPr>
                <w:sz w:val="17"/>
                <w:szCs w:val="17"/>
                <w:color w:val="auto"/>
              </w:rPr>
            </w:pPr>
          </w:p>
        </w:tc>
        <w:tc>
          <w:tcPr>
            <w:tcW w:w="5420" w:type="dxa"/>
            <w:vAlign w:val="bottom"/>
            <w:tcBorders>
              <w:bottom w:val="single" w:sz="8" w:color="CCEEFF"/>
            </w:tcBorders>
            <w:gridSpan w:val="5"/>
          </w:tcPr>
          <w:p>
            <w:pPr>
              <w:spacing w:after="0"/>
              <w:rPr>
                <w:sz w:val="20"/>
                <w:szCs w:val="20"/>
                <w:color w:val="auto"/>
              </w:rPr>
            </w:pPr>
            <w:r>
              <w:rPr>
                <w:rFonts w:ascii="Arial" w:cs="Arial" w:eastAsia="Arial" w:hAnsi="Arial"/>
                <w:sz w:val="17"/>
                <w:szCs w:val="17"/>
                <w:color w:val="auto"/>
              </w:rPr>
              <w:t>Net change</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w:t>
            </w: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54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End of period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4,094</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3"/>
        </w:trPr>
        <w:tc>
          <w:tcPr>
            <w:tcW w:w="20" w:type="dxa"/>
            <w:vAlign w:val="bottom"/>
            <w:shd w:val="clear" w:color="auto" w:fill="CCEEFF"/>
          </w:tcPr>
          <w:p>
            <w:pPr>
              <w:spacing w:after="0"/>
              <w:rPr>
                <w:sz w:val="15"/>
                <w:szCs w:val="15"/>
                <w:color w:val="auto"/>
              </w:rPr>
            </w:pPr>
          </w:p>
        </w:tc>
        <w:tc>
          <w:tcPr>
            <w:tcW w:w="5420" w:type="dxa"/>
            <w:vAlign w:val="bottom"/>
            <w:gridSpan w:val="5"/>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Mutual Funds</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39"/>
        </w:trPr>
        <w:tc>
          <w:tcPr>
            <w:tcW w:w="20" w:type="dxa"/>
            <w:vAlign w:val="bottom"/>
            <w:shd w:val="clear" w:color="auto" w:fill="CCEEFF"/>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r>
      <w:tr>
        <w:trPr>
          <w:trHeight w:val="209"/>
        </w:trPr>
        <w:tc>
          <w:tcPr>
            <w:tcW w:w="20" w:type="dxa"/>
            <w:vAlign w:val="bottom"/>
          </w:tcPr>
          <w:p>
            <w:pPr>
              <w:spacing w:after="0"/>
              <w:rPr>
                <w:sz w:val="18"/>
                <w:szCs w:val="18"/>
                <w:color w:val="auto"/>
              </w:rPr>
            </w:pPr>
          </w:p>
        </w:tc>
        <w:tc>
          <w:tcPr>
            <w:tcW w:w="5420" w:type="dxa"/>
            <w:vAlign w:val="bottom"/>
            <w:gridSpan w:val="5"/>
          </w:tcPr>
          <w:p>
            <w:pPr>
              <w:spacing w:after="0"/>
              <w:rPr>
                <w:sz w:val="20"/>
                <w:szCs w:val="20"/>
                <w:color w:val="auto"/>
              </w:rPr>
            </w:pPr>
            <w:r>
              <w:rPr>
                <w:rFonts w:ascii="Arial" w:cs="Arial" w:eastAsia="Arial" w:hAnsi="Arial"/>
                <w:sz w:val="17"/>
                <w:szCs w:val="17"/>
                <w:color w:val="auto"/>
              </w:rPr>
              <w:t>Beginning of period assets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2,857</w:t>
            </w:r>
          </w:p>
        </w:tc>
        <w:tc>
          <w:tcPr>
            <w:tcW w:w="100" w:type="dxa"/>
            <w:vAlign w:val="bottom"/>
          </w:tcPr>
          <w:p>
            <w:pPr>
              <w:spacing w:after="0"/>
              <w:rPr>
                <w:sz w:val="18"/>
                <w:szCs w:val="18"/>
                <w:color w:val="auto"/>
              </w:rPr>
            </w:pP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1,740</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2,143</w:t>
            </w:r>
          </w:p>
        </w:tc>
        <w:tc>
          <w:tcPr>
            <w:tcW w:w="100" w:type="dxa"/>
            <w:vAlign w:val="bottom"/>
          </w:tcPr>
          <w:p>
            <w:pPr>
              <w:spacing w:after="0"/>
              <w:rPr>
                <w:sz w:val="18"/>
                <w:szCs w:val="18"/>
                <w:color w:val="auto"/>
              </w:rPr>
            </w:pP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2,058</w:t>
            </w:r>
          </w:p>
        </w:tc>
      </w:tr>
      <w:tr>
        <w:trPr>
          <w:trHeight w:val="209"/>
        </w:trPr>
        <w:tc>
          <w:tcPr>
            <w:tcW w:w="20" w:type="dxa"/>
            <w:vAlign w:val="bottom"/>
            <w:shd w:val="clear" w:color="auto" w:fill="CCEEFF"/>
          </w:tcPr>
          <w:p>
            <w:pPr>
              <w:spacing w:after="0"/>
              <w:rPr>
                <w:sz w:val="18"/>
                <w:szCs w:val="18"/>
                <w:color w:val="auto"/>
              </w:rPr>
            </w:pPr>
          </w:p>
        </w:tc>
        <w:tc>
          <w:tcPr>
            <w:tcW w:w="5420" w:type="dxa"/>
            <w:vAlign w:val="bottom"/>
            <w:gridSpan w:val="5"/>
            <w:shd w:val="clear" w:color="auto" w:fill="CCEEFF"/>
          </w:tcPr>
          <w:p>
            <w:pPr>
              <w:ind w:left="320"/>
              <w:spacing w:after="0"/>
              <w:rPr>
                <w:sz w:val="20"/>
                <w:szCs w:val="20"/>
                <w:color w:val="auto"/>
              </w:rPr>
            </w:pPr>
            <w:r>
              <w:rPr>
                <w:rFonts w:ascii="Arial" w:cs="Arial" w:eastAsia="Arial" w:hAnsi="Arial"/>
                <w:sz w:val="17"/>
                <w:szCs w:val="17"/>
                <w:color w:val="auto"/>
              </w:rPr>
              <w:t>Inflows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w:t>
            </w:r>
          </w:p>
        </w:tc>
      </w:tr>
      <w:tr>
        <w:trPr>
          <w:trHeight w:val="209"/>
        </w:trPr>
        <w:tc>
          <w:tcPr>
            <w:tcW w:w="20" w:type="dxa"/>
            <w:vAlign w:val="bottom"/>
            <w:tcBorders>
              <w:bottom w:val="single" w:sz="8" w:color="CCEEFF"/>
            </w:tcBorders>
          </w:tcPr>
          <w:p>
            <w:pPr>
              <w:spacing w:after="0"/>
              <w:rPr>
                <w:sz w:val="18"/>
                <w:szCs w:val="18"/>
                <w:color w:val="auto"/>
              </w:rPr>
            </w:pPr>
          </w:p>
        </w:tc>
        <w:tc>
          <w:tcPr>
            <w:tcW w:w="5420" w:type="dxa"/>
            <w:vAlign w:val="bottom"/>
            <w:tcBorders>
              <w:bottom w:val="single" w:sz="8" w:color="CCEEFF"/>
            </w:tcBorders>
            <w:gridSpan w:val="5"/>
          </w:tcPr>
          <w:p>
            <w:pPr>
              <w:ind w:left="320"/>
              <w:spacing w:after="0"/>
              <w:rPr>
                <w:sz w:val="20"/>
                <w:szCs w:val="20"/>
                <w:color w:val="auto"/>
              </w:rPr>
            </w:pPr>
            <w:r>
              <w:rPr>
                <w:rFonts w:ascii="Arial" w:cs="Arial" w:eastAsia="Arial" w:hAnsi="Arial"/>
                <w:sz w:val="17"/>
                <w:szCs w:val="17"/>
                <w:color w:val="auto"/>
              </w:rPr>
              <w:t>Outflows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(754)</w:t>
            </w:r>
          </w:p>
        </w:tc>
      </w:tr>
      <w:tr>
        <w:trPr>
          <w:trHeight w:val="202"/>
        </w:trPr>
        <w:tc>
          <w:tcPr>
            <w:tcW w:w="20" w:type="dxa"/>
            <w:vAlign w:val="bottom"/>
            <w:shd w:val="clear" w:color="auto" w:fill="CCEEFF"/>
          </w:tcPr>
          <w:p>
            <w:pPr>
              <w:spacing w:after="0"/>
              <w:rPr>
                <w:sz w:val="17"/>
                <w:szCs w:val="17"/>
                <w:color w:val="auto"/>
              </w:rPr>
            </w:pPr>
          </w:p>
        </w:tc>
        <w:tc>
          <w:tcPr>
            <w:tcW w:w="5420" w:type="dxa"/>
            <w:vAlign w:val="bottom"/>
            <w:gridSpan w:val="5"/>
            <w:shd w:val="clear" w:color="auto" w:fill="CCEEFF"/>
          </w:tcPr>
          <w:p>
            <w:pPr>
              <w:ind w:left="320"/>
              <w:spacing w:after="0"/>
              <w:rPr>
                <w:sz w:val="20"/>
                <w:szCs w:val="20"/>
                <w:color w:val="auto"/>
              </w:rPr>
            </w:pPr>
            <w:r>
              <w:rPr>
                <w:rFonts w:ascii="Arial" w:cs="Arial" w:eastAsia="Arial" w:hAnsi="Arial"/>
                <w:sz w:val="17"/>
                <w:szCs w:val="17"/>
                <w:color w:val="auto"/>
              </w:rPr>
              <w:t>Net client flows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r>
      <w:tr>
        <w:trPr>
          <w:trHeight w:val="209"/>
        </w:trPr>
        <w:tc>
          <w:tcPr>
            <w:tcW w:w="20" w:type="dxa"/>
            <w:vAlign w:val="bottom"/>
            <w:tcBorders>
              <w:bottom w:val="single" w:sz="8" w:color="CCEEFF"/>
            </w:tcBorders>
          </w:tcPr>
          <w:p>
            <w:pPr>
              <w:spacing w:after="0"/>
              <w:rPr>
                <w:sz w:val="18"/>
                <w:szCs w:val="18"/>
                <w:color w:val="auto"/>
              </w:rPr>
            </w:pPr>
          </w:p>
        </w:tc>
        <w:tc>
          <w:tcPr>
            <w:tcW w:w="5420" w:type="dxa"/>
            <w:vAlign w:val="bottom"/>
            <w:tcBorders>
              <w:bottom w:val="single" w:sz="8" w:color="CCEEFF"/>
            </w:tcBorders>
            <w:gridSpan w:val="5"/>
          </w:tcPr>
          <w:p>
            <w:pPr>
              <w:ind w:left="320"/>
              <w:spacing w:after="0"/>
              <w:rPr>
                <w:sz w:val="20"/>
                <w:szCs w:val="20"/>
                <w:color w:val="auto"/>
              </w:rPr>
            </w:pPr>
            <w:r>
              <w:rPr>
                <w:rFonts w:ascii="Arial" w:cs="Arial" w:eastAsia="Arial" w:hAnsi="Arial"/>
                <w:sz w:val="17"/>
                <w:szCs w:val="17"/>
                <w:color w:val="auto"/>
              </w:rPr>
              <w:t>Market appreciation (depreciation)</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w:t>
            </w:r>
          </w:p>
        </w:tc>
      </w:tr>
      <w:tr>
        <w:trPr>
          <w:trHeight w:val="202"/>
        </w:trPr>
        <w:tc>
          <w:tcPr>
            <w:tcW w:w="20" w:type="dxa"/>
            <w:vAlign w:val="bottom"/>
            <w:shd w:val="clear" w:color="auto" w:fill="CCEEFF"/>
          </w:tcPr>
          <w:p>
            <w:pPr>
              <w:spacing w:after="0"/>
              <w:rPr>
                <w:sz w:val="17"/>
                <w:szCs w:val="17"/>
                <w:color w:val="auto"/>
              </w:rPr>
            </w:pPr>
          </w:p>
        </w:tc>
        <w:tc>
          <w:tcPr>
            <w:tcW w:w="542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Net change</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w:t>
            </w:r>
          </w:p>
        </w:tc>
      </w:tr>
      <w:tr>
        <w:trPr>
          <w:trHeight w:val="202"/>
        </w:trPr>
        <w:tc>
          <w:tcPr>
            <w:tcW w:w="20" w:type="dxa"/>
            <w:vAlign w:val="bottom"/>
          </w:tcPr>
          <w:p>
            <w:pPr>
              <w:spacing w:after="0"/>
              <w:rPr>
                <w:sz w:val="17"/>
                <w:szCs w:val="17"/>
                <w:color w:val="auto"/>
              </w:rPr>
            </w:pPr>
          </w:p>
        </w:tc>
        <w:tc>
          <w:tcPr>
            <w:tcW w:w="5420" w:type="dxa"/>
            <w:vAlign w:val="bottom"/>
            <w:gridSpan w:val="5"/>
          </w:tcPr>
          <w:p>
            <w:pPr>
              <w:spacing w:after="0"/>
              <w:rPr>
                <w:sz w:val="20"/>
                <w:szCs w:val="20"/>
                <w:color w:val="auto"/>
              </w:rPr>
            </w:pPr>
            <w:r>
              <w:rPr>
                <w:rFonts w:ascii="Arial" w:cs="Arial" w:eastAsia="Arial" w:hAnsi="Arial"/>
                <w:sz w:val="17"/>
                <w:szCs w:val="17"/>
                <w:color w:val="auto"/>
              </w:rPr>
              <w:t>End of period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1,824</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5420" w:type="dxa"/>
            <w:vAlign w:val="bottom"/>
            <w:gridSpan w:val="5"/>
          </w:tcPr>
          <w:p>
            <w:pPr>
              <w:spacing w:after="0" w:line="183" w:lineRule="exact"/>
              <w:rPr>
                <w:sz w:val="20"/>
                <w:szCs w:val="20"/>
                <w:color w:val="auto"/>
              </w:rPr>
            </w:pPr>
            <w:r>
              <w:rPr>
                <w:rFonts w:ascii="Arial" w:cs="Arial" w:eastAsia="Arial" w:hAnsi="Arial"/>
                <w:sz w:val="17"/>
                <w:szCs w:val="17"/>
                <w:b w:val="1"/>
                <w:bCs w:val="1"/>
                <w:color w:val="auto"/>
              </w:rPr>
              <w:t>Total AUM</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8"/>
        </w:trPr>
        <w:tc>
          <w:tcPr>
            <w:tcW w:w="20" w:type="dxa"/>
            <w:vAlign w:val="bottom"/>
            <w:shd w:val="clear" w:color="auto" w:fill="CCEEFF"/>
          </w:tcPr>
          <w:p>
            <w:pPr>
              <w:spacing w:after="0"/>
              <w:rPr>
                <w:sz w:val="18"/>
                <w:szCs w:val="18"/>
                <w:color w:val="auto"/>
              </w:rPr>
            </w:pPr>
          </w:p>
        </w:tc>
        <w:tc>
          <w:tcPr>
            <w:tcW w:w="542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Beginning of period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11,908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15,235</w:t>
            </w:r>
          </w:p>
        </w:tc>
      </w:tr>
      <w:tr>
        <w:trPr>
          <w:trHeight w:val="209"/>
        </w:trPr>
        <w:tc>
          <w:tcPr>
            <w:tcW w:w="20" w:type="dxa"/>
            <w:vAlign w:val="bottom"/>
          </w:tcPr>
          <w:p>
            <w:pPr>
              <w:spacing w:after="0"/>
              <w:rPr>
                <w:sz w:val="18"/>
                <w:szCs w:val="18"/>
                <w:color w:val="auto"/>
              </w:rPr>
            </w:pPr>
          </w:p>
        </w:tc>
        <w:tc>
          <w:tcPr>
            <w:tcW w:w="5420" w:type="dxa"/>
            <w:vAlign w:val="bottom"/>
            <w:gridSpan w:val="5"/>
          </w:tcPr>
          <w:p>
            <w:pPr>
              <w:ind w:left="320"/>
              <w:spacing w:after="0"/>
              <w:rPr>
                <w:sz w:val="20"/>
                <w:szCs w:val="20"/>
                <w:color w:val="auto"/>
              </w:rPr>
            </w:pPr>
            <w:r>
              <w:rPr>
                <w:rFonts w:ascii="Arial" w:cs="Arial" w:eastAsia="Arial" w:hAnsi="Arial"/>
                <w:sz w:val="17"/>
                <w:szCs w:val="17"/>
                <w:color w:val="auto"/>
              </w:rPr>
              <w:t>Inflows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424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3,042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1,470</w:t>
            </w:r>
          </w:p>
        </w:tc>
      </w:tr>
      <w:tr>
        <w:trPr>
          <w:trHeight w:val="209"/>
        </w:trPr>
        <w:tc>
          <w:tcPr>
            <w:tcW w:w="20" w:type="dxa"/>
            <w:vAlign w:val="bottom"/>
            <w:shd w:val="clear" w:color="auto" w:fill="CCEEFF"/>
          </w:tcPr>
          <w:p>
            <w:pPr>
              <w:spacing w:after="0"/>
              <w:rPr>
                <w:sz w:val="18"/>
                <w:szCs w:val="18"/>
                <w:color w:val="auto"/>
              </w:rPr>
            </w:pPr>
          </w:p>
        </w:tc>
        <w:tc>
          <w:tcPr>
            <w:tcW w:w="5420" w:type="dxa"/>
            <w:vAlign w:val="bottom"/>
            <w:gridSpan w:val="5"/>
            <w:shd w:val="clear" w:color="auto" w:fill="CCEEFF"/>
          </w:tcPr>
          <w:p>
            <w:pPr>
              <w:ind w:left="320"/>
              <w:spacing w:after="0"/>
              <w:rPr>
                <w:sz w:val="20"/>
                <w:szCs w:val="20"/>
                <w:color w:val="auto"/>
              </w:rPr>
            </w:pPr>
            <w:r>
              <w:rPr>
                <w:rFonts w:ascii="Arial" w:cs="Arial" w:eastAsia="Arial" w:hAnsi="Arial"/>
                <w:sz w:val="17"/>
                <w:szCs w:val="17"/>
                <w:color w:val="auto"/>
              </w:rPr>
              <w:t>Outflows</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(3,843)</w:t>
            </w:r>
          </w:p>
        </w:tc>
      </w:tr>
      <w:tr>
        <w:trPr>
          <w:trHeight w:val="202"/>
        </w:trPr>
        <w:tc>
          <w:tcPr>
            <w:tcW w:w="20" w:type="dxa"/>
            <w:vAlign w:val="bottom"/>
          </w:tcPr>
          <w:p>
            <w:pPr>
              <w:spacing w:after="0"/>
              <w:rPr>
                <w:sz w:val="17"/>
                <w:szCs w:val="17"/>
                <w:color w:val="auto"/>
              </w:rPr>
            </w:pPr>
          </w:p>
        </w:tc>
        <w:tc>
          <w:tcPr>
            <w:tcW w:w="5420" w:type="dxa"/>
            <w:vAlign w:val="bottom"/>
            <w:gridSpan w:val="5"/>
          </w:tcPr>
          <w:p>
            <w:pPr>
              <w:ind w:left="320"/>
              <w:spacing w:after="0"/>
              <w:rPr>
                <w:sz w:val="20"/>
                <w:szCs w:val="20"/>
                <w:color w:val="auto"/>
              </w:rPr>
            </w:pPr>
            <w:r>
              <w:rPr>
                <w:rFonts w:ascii="Arial" w:cs="Arial" w:eastAsia="Arial" w:hAnsi="Arial"/>
                <w:sz w:val="17"/>
                <w:szCs w:val="17"/>
                <w:color w:val="auto"/>
              </w:rPr>
              <w:t>Net client flows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(610)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(550)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(2,373)</w:t>
            </w:r>
          </w:p>
        </w:tc>
      </w:tr>
      <w:tr>
        <w:trPr>
          <w:trHeight w:val="209"/>
        </w:trPr>
        <w:tc>
          <w:tcPr>
            <w:tcW w:w="20" w:type="dxa"/>
            <w:vAlign w:val="bottom"/>
            <w:shd w:val="clear" w:color="auto" w:fill="CCEEFF"/>
          </w:tcPr>
          <w:p>
            <w:pPr>
              <w:spacing w:after="0"/>
              <w:rPr>
                <w:sz w:val="18"/>
                <w:szCs w:val="18"/>
                <w:color w:val="auto"/>
              </w:rPr>
            </w:pPr>
          </w:p>
        </w:tc>
        <w:tc>
          <w:tcPr>
            <w:tcW w:w="5420" w:type="dxa"/>
            <w:vAlign w:val="bottom"/>
            <w:gridSpan w:val="5"/>
            <w:shd w:val="clear" w:color="auto" w:fill="CCEEFF"/>
          </w:tcPr>
          <w:p>
            <w:pPr>
              <w:ind w:left="320"/>
              <w:spacing w:after="0"/>
              <w:rPr>
                <w:sz w:val="20"/>
                <w:szCs w:val="20"/>
                <w:color w:val="auto"/>
              </w:rPr>
            </w:pPr>
            <w:r>
              <w:rPr>
                <w:rFonts w:ascii="Arial" w:cs="Arial" w:eastAsia="Arial" w:hAnsi="Arial"/>
                <w:sz w:val="17"/>
                <w:szCs w:val="17"/>
                <w:color w:val="auto"/>
              </w:rPr>
              <w:t>Market appreciation (depreciation)</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(900)</w:t>
            </w:r>
          </w:p>
        </w:tc>
      </w:tr>
      <w:tr>
        <w:trPr>
          <w:trHeight w:val="202"/>
        </w:trPr>
        <w:tc>
          <w:tcPr>
            <w:tcW w:w="20" w:type="dxa"/>
            <w:vAlign w:val="bottom"/>
            <w:tcBorders>
              <w:bottom w:val="single" w:sz="8" w:color="CCEEFF"/>
            </w:tcBorders>
          </w:tcPr>
          <w:p>
            <w:pPr>
              <w:spacing w:after="0"/>
              <w:rPr>
                <w:sz w:val="17"/>
                <w:szCs w:val="17"/>
                <w:color w:val="auto"/>
              </w:rPr>
            </w:pPr>
          </w:p>
        </w:tc>
        <w:tc>
          <w:tcPr>
            <w:tcW w:w="5420" w:type="dxa"/>
            <w:vAlign w:val="bottom"/>
            <w:tcBorders>
              <w:bottom w:val="single" w:sz="8" w:color="CCEEFF"/>
            </w:tcBorders>
            <w:gridSpan w:val="5"/>
          </w:tcPr>
          <w:p>
            <w:pPr>
              <w:spacing w:after="0"/>
              <w:rPr>
                <w:sz w:val="20"/>
                <w:szCs w:val="20"/>
                <w:color w:val="auto"/>
              </w:rPr>
            </w:pPr>
            <w:r>
              <w:rPr>
                <w:rFonts w:ascii="Arial" w:cs="Arial" w:eastAsia="Arial" w:hAnsi="Arial"/>
                <w:sz w:val="17"/>
                <w:szCs w:val="17"/>
                <w:color w:val="auto"/>
              </w:rPr>
              <w:t>Net change</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(3,273)</w:t>
            </w: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54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End of period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13,800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11,962</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13,800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11,962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months ended September 30, 2021 and 2020</w:t>
      </w:r>
    </w:p>
    <w:p>
      <w:pPr>
        <w:spacing w:after="0" w:line="118" w:lineRule="exact"/>
        <w:rPr>
          <w:sz w:val="20"/>
          <w:szCs w:val="20"/>
          <w:color w:val="auto"/>
        </w:rPr>
      </w:pPr>
    </w:p>
    <w:p>
      <w:pPr>
        <w:jc w:val="both"/>
        <w:ind w:right="40" w:firstLine="470"/>
        <w:spacing w:after="0" w:line="287" w:lineRule="auto"/>
        <w:rPr>
          <w:sz w:val="20"/>
          <w:szCs w:val="20"/>
          <w:color w:val="auto"/>
        </w:rPr>
      </w:pPr>
      <w:r>
        <w:rPr>
          <w:rFonts w:ascii="Arial" w:cs="Arial" w:eastAsia="Arial" w:hAnsi="Arial"/>
          <w:sz w:val="17"/>
          <w:szCs w:val="17"/>
          <w:color w:val="auto"/>
        </w:rPr>
        <w:t>The $0.6 billion decrease in AUM for the three months ended September 30, 2021 was due to net outflows of $0.4 billion and market depreciation of $0.2 billion. Net outflows were primarily related to our LargeCap Value and SmallCap Value strategies.</w:t>
      </w:r>
    </w:p>
    <w:p>
      <w:pPr>
        <w:spacing w:after="0" w:line="55" w:lineRule="exact"/>
        <w:rPr>
          <w:sz w:val="20"/>
          <w:szCs w:val="20"/>
          <w:color w:val="auto"/>
        </w:rPr>
      </w:pPr>
    </w:p>
    <w:p>
      <w:pPr>
        <w:jc w:val="both"/>
        <w:ind w:right="60" w:firstLine="470"/>
        <w:spacing w:after="0" w:line="287" w:lineRule="auto"/>
        <w:rPr>
          <w:sz w:val="20"/>
          <w:szCs w:val="20"/>
          <w:color w:val="auto"/>
        </w:rPr>
      </w:pPr>
      <w:r>
        <w:rPr>
          <w:rFonts w:ascii="Arial" w:cs="Arial" w:eastAsia="Arial" w:hAnsi="Arial"/>
          <w:sz w:val="17"/>
          <w:szCs w:val="17"/>
          <w:color w:val="auto"/>
        </w:rPr>
        <w:t>The $0.1 billion increase in AUM for the three months ended September 30, 2020 was due to market appreciation of $0.7 billion offset by net outflows of $0.6 billion. Net outflows were primarily related to our closed Emerging Markets strategy.</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Nine months ended September 30, 2021 and 2020</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22" w:name="page23"/>
    <w:bookmarkEnd w:id="22"/>
    <w:p>
      <w:pPr>
        <w:ind w:right="100" w:firstLine="470"/>
        <w:spacing w:after="0" w:line="264" w:lineRule="auto"/>
        <w:rPr>
          <w:sz w:val="20"/>
          <w:szCs w:val="20"/>
          <w:color w:val="auto"/>
        </w:rPr>
      </w:pPr>
      <w:r>
        <w:rPr>
          <w:rFonts w:ascii="Arial" w:cs="Arial" w:eastAsia="Arial" w:hAnsi="Arial"/>
          <w:sz w:val="17"/>
          <w:szCs w:val="17"/>
          <w:color w:val="auto"/>
        </w:rPr>
        <w:t>The $0.8 billion increase in AUM for the nine months ended September 30, 2021 was due to market appreciation of $1.3 billion offset by net outflows of $0.6 billion. Net outflows were primarily related to the outflow of $1.6 billion from the closure of two Global Convertibles accounts. In the fourth quarter of 2020, we made the decision to exit the stand-alone convertibles business and our Global Convertibles team transitioned back to Aviva Investors, the firm from which they previously joined Westwood. As a result, $1.6 billion in two sub-advised Global Convertibles mandates returned to Aviva as of April 1, 2021. These outflows were partially offset by net inflows to our SmallCap Value strategy.</w:t>
      </w:r>
    </w:p>
    <w:p>
      <w:pPr>
        <w:spacing w:after="0" w:line="74" w:lineRule="exact"/>
        <w:rPr>
          <w:sz w:val="20"/>
          <w:szCs w:val="20"/>
          <w:color w:val="auto"/>
        </w:rPr>
      </w:pPr>
    </w:p>
    <w:p>
      <w:pPr>
        <w:ind w:right="80" w:firstLine="470"/>
        <w:spacing w:after="0" w:line="287" w:lineRule="auto"/>
        <w:rPr>
          <w:sz w:val="20"/>
          <w:szCs w:val="20"/>
          <w:color w:val="auto"/>
        </w:rPr>
      </w:pPr>
      <w:r>
        <w:rPr>
          <w:rFonts w:ascii="Arial" w:cs="Arial" w:eastAsia="Arial" w:hAnsi="Arial"/>
          <w:sz w:val="17"/>
          <w:szCs w:val="17"/>
          <w:color w:val="auto"/>
        </w:rPr>
        <w:t>The $3.3 billion decrease in AUM for the nine months ended September 30, 2020 was due to net outflows of $2.4 billion and market depreciation of $0.9 billion. Net outflows were primarily related to our Emerging Markets and LargeCap Value strategies.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Results of Operations</w:t>
      </w:r>
    </w:p>
    <w:p>
      <w:pPr>
        <w:spacing w:after="0" w:line="124" w:lineRule="exact"/>
        <w:rPr>
          <w:sz w:val="20"/>
          <w:szCs w:val="20"/>
          <w:color w:val="auto"/>
        </w:rPr>
      </w:pPr>
    </w:p>
    <w:p>
      <w:pPr>
        <w:jc w:val="both"/>
        <w:ind w:right="460" w:firstLine="470"/>
        <w:spacing w:after="0" w:line="270" w:lineRule="auto"/>
        <w:rPr>
          <w:sz w:val="20"/>
          <w:szCs w:val="20"/>
          <w:color w:val="auto"/>
        </w:rPr>
      </w:pPr>
      <w:r>
        <w:rPr>
          <w:rFonts w:ascii="Arial" w:cs="Arial" w:eastAsia="Arial" w:hAnsi="Arial"/>
          <w:sz w:val="17"/>
          <w:szCs w:val="17"/>
          <w:color w:val="auto"/>
        </w:rPr>
        <w:t>The following table (dollars in thousands) and discussion of our results of operations are based upon data derived from the Condensed Consolidated Statements of Comprehensive Income (Loss) contained in our Condensed Consolidated Financial Statements and should be read in conjunction with those statements included elsewhere in this report.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20" w:type="dxa"/>
            <w:vAlign w:val="bottom"/>
            <w:gridSpan w:val="4"/>
          </w:tcPr>
          <w:p>
            <w:pPr>
              <w:jc w:val="right"/>
              <w:ind w:right="622"/>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5"/>
                <w:szCs w:val="15"/>
                <w:b w:val="1"/>
                <w:bCs w:val="1"/>
                <w:color w:val="auto"/>
              </w:rPr>
              <w:t>Nine Months Ended</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58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5"/>
                <w:szCs w:val="15"/>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122"/>
              <w:spacing w:after="0"/>
              <w:rPr>
                <w:sz w:val="20"/>
                <w:szCs w:val="20"/>
                <w:color w:val="auto"/>
              </w:rPr>
            </w:pPr>
            <w:r>
              <w:rPr>
                <w:rFonts w:ascii="Arial" w:cs="Arial" w:eastAsia="Arial" w:hAnsi="Arial"/>
                <w:sz w:val="15"/>
                <w:szCs w:val="15"/>
                <w:b w:val="1"/>
                <w:bCs w:val="1"/>
                <w:color w:val="auto"/>
              </w:rPr>
              <w:t>September 30,</w:t>
            </w:r>
          </w:p>
        </w:tc>
        <w:tc>
          <w:tcPr>
            <w:tcW w:w="7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jc w:val="right"/>
              <w:ind w:right="322"/>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jc w:val="right"/>
              <w:ind w:right="342"/>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8"/>
                <w:szCs w:val="18"/>
                <w:color w:val="auto"/>
              </w:rPr>
            </w:pPr>
          </w:p>
        </w:tc>
        <w:tc>
          <w:tcPr>
            <w:tcW w:w="1560" w:type="dxa"/>
            <w:vAlign w:val="bottom"/>
            <w:gridSpan w:val="3"/>
          </w:tcPr>
          <w:p>
            <w:pPr>
              <w:ind w:left="680"/>
              <w:spacing w:after="0"/>
              <w:rPr>
                <w:sz w:val="20"/>
                <w:szCs w:val="20"/>
                <w:color w:val="auto"/>
              </w:rPr>
            </w:pPr>
            <w:r>
              <w:rPr>
                <w:rFonts w:ascii="Arial" w:cs="Arial" w:eastAsia="Arial" w:hAnsi="Arial"/>
                <w:sz w:val="17"/>
                <w:szCs w:val="17"/>
                <w:b w:val="1"/>
                <w:bCs w:val="1"/>
                <w:color w:val="auto"/>
              </w:rPr>
              <w:t>Change</w:t>
            </w:r>
          </w:p>
        </w:tc>
        <w:tc>
          <w:tcPr>
            <w:tcW w:w="700" w:type="dxa"/>
            <w:vAlign w:val="bottom"/>
          </w:tcPr>
          <w:p>
            <w:pPr>
              <w:spacing w:after="0"/>
              <w:rPr>
                <w:sz w:val="18"/>
                <w:szCs w:val="18"/>
                <w:color w:val="auto"/>
              </w:rPr>
            </w:pPr>
          </w:p>
        </w:tc>
        <w:tc>
          <w:tcPr>
            <w:tcW w:w="840" w:type="dxa"/>
            <w:vAlign w:val="bottom"/>
          </w:tcPr>
          <w:p>
            <w:pPr>
              <w:jc w:val="right"/>
              <w:ind w:right="322"/>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jc w:val="right"/>
              <w:ind w:right="342"/>
              <w:spacing w:after="0"/>
              <w:rPr>
                <w:sz w:val="20"/>
                <w:szCs w:val="20"/>
                <w:color w:val="auto"/>
              </w:rPr>
            </w:pPr>
            <w:r>
              <w:rPr>
                <w:rFonts w:ascii="Arial" w:cs="Arial" w:eastAsia="Arial" w:hAnsi="Arial"/>
                <w:sz w:val="15"/>
                <w:szCs w:val="15"/>
                <w:b w:val="1"/>
                <w:bCs w:val="1"/>
                <w:color w:val="auto"/>
                <w:w w:val="89"/>
              </w:rPr>
              <w:t>2020</w:t>
            </w:r>
          </w:p>
        </w:tc>
        <w:tc>
          <w:tcPr>
            <w:tcW w:w="80" w:type="dxa"/>
            <w:vAlign w:val="bottom"/>
          </w:tcPr>
          <w:p>
            <w:pPr>
              <w:spacing w:after="0"/>
              <w:rPr>
                <w:sz w:val="18"/>
                <w:szCs w:val="18"/>
                <w:color w:val="auto"/>
              </w:rPr>
            </w:pPr>
          </w:p>
        </w:tc>
        <w:tc>
          <w:tcPr>
            <w:tcW w:w="1460" w:type="dxa"/>
            <w:vAlign w:val="bottom"/>
            <w:gridSpan w:val="2"/>
          </w:tcPr>
          <w:p>
            <w:pPr>
              <w:jc w:val="right"/>
              <w:ind w:right="159"/>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189"/>
        </w:trPr>
        <w:tc>
          <w:tcPr>
            <w:tcW w:w="15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Revenues:</w:t>
            </w:r>
          </w:p>
        </w:tc>
        <w:tc>
          <w:tcPr>
            <w:tcW w:w="7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580" w:type="dxa"/>
            <w:vAlign w:val="bottom"/>
          </w:tcPr>
          <w:p>
            <w:pPr>
              <w:ind w:left="680"/>
              <w:spacing w:after="0" w:line="160" w:lineRule="exact"/>
              <w:rPr>
                <w:sz w:val="20"/>
                <w:szCs w:val="20"/>
                <w:color w:val="auto"/>
              </w:rPr>
            </w:pPr>
            <w:r>
              <w:rPr>
                <w:rFonts w:ascii="Arial" w:cs="Arial" w:eastAsia="Arial" w:hAnsi="Arial"/>
                <w:sz w:val="16"/>
                <w:szCs w:val="16"/>
                <w:color w:val="auto"/>
              </w:rPr>
              <w:t>Advisory</w:t>
            </w:r>
          </w:p>
        </w:tc>
        <w:tc>
          <w:tcPr>
            <w:tcW w:w="700" w:type="dxa"/>
            <w:vAlign w:val="bottom"/>
            <w:vMerge w:val="restart"/>
          </w:tcPr>
          <w:p>
            <w:pPr>
              <w:jc w:val="right"/>
              <w:ind w:right="62"/>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2"/>
              <w:spacing w:after="0"/>
              <w:rPr>
                <w:sz w:val="20"/>
                <w:szCs w:val="20"/>
                <w:color w:val="auto"/>
              </w:rPr>
            </w:pPr>
            <w:r>
              <w:rPr>
                <w:rFonts w:ascii="Arial" w:cs="Arial" w:eastAsia="Arial" w:hAnsi="Arial"/>
                <w:sz w:val="16"/>
                <w:szCs w:val="16"/>
                <w:color w:val="auto"/>
              </w:rPr>
              <w:t>12,011</w:t>
            </w:r>
          </w:p>
        </w:tc>
        <w:tc>
          <w:tcPr>
            <w:tcW w:w="80" w:type="dxa"/>
            <w:vAlign w:val="bottom"/>
          </w:tcPr>
          <w:p>
            <w:pPr>
              <w:spacing w:after="0"/>
              <w:rPr>
                <w:sz w:val="13"/>
                <w:szCs w:val="13"/>
                <w:color w:val="auto"/>
              </w:rPr>
            </w:pPr>
          </w:p>
        </w:tc>
        <w:tc>
          <w:tcPr>
            <w:tcW w:w="780" w:type="dxa"/>
            <w:vAlign w:val="bottom"/>
            <w:vMerge w:val="restart"/>
          </w:tcPr>
          <w:p>
            <w:pPr>
              <w:jc w:val="right"/>
              <w:ind w:right="142"/>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8,847</w:t>
            </w:r>
          </w:p>
        </w:tc>
        <w:tc>
          <w:tcPr>
            <w:tcW w:w="1120" w:type="dxa"/>
            <w:vAlign w:val="bottom"/>
            <w:gridSpan w:val="2"/>
            <w:vMerge w:val="restart"/>
          </w:tcPr>
          <w:p>
            <w:pPr>
              <w:jc w:val="right"/>
              <w:ind w:right="133"/>
              <w:spacing w:after="0"/>
              <w:rPr>
                <w:sz w:val="20"/>
                <w:szCs w:val="20"/>
                <w:color w:val="auto"/>
              </w:rPr>
            </w:pPr>
            <w:r>
              <w:rPr>
                <w:rFonts w:ascii="Arial" w:cs="Arial" w:eastAsia="Arial" w:hAnsi="Arial"/>
                <w:sz w:val="16"/>
                <w:szCs w:val="16"/>
                <w:color w:val="auto"/>
              </w:rPr>
              <w:t>36</w:t>
            </w: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700" w:type="dxa"/>
            <w:vAlign w:val="bottom"/>
            <w:vMerge w:val="restart"/>
          </w:tcPr>
          <w:p>
            <w:pPr>
              <w:jc w:val="right"/>
              <w:ind w:right="62"/>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2"/>
              <w:spacing w:after="0"/>
              <w:rPr>
                <w:sz w:val="20"/>
                <w:szCs w:val="20"/>
                <w:color w:val="auto"/>
              </w:rPr>
            </w:pPr>
            <w:r>
              <w:rPr>
                <w:rFonts w:ascii="Arial" w:cs="Arial" w:eastAsia="Arial" w:hAnsi="Arial"/>
                <w:sz w:val="16"/>
                <w:szCs w:val="16"/>
                <w:color w:val="auto"/>
              </w:rPr>
              <w:t>33,846</w:t>
            </w:r>
          </w:p>
        </w:tc>
        <w:tc>
          <w:tcPr>
            <w:tcW w:w="80" w:type="dxa"/>
            <w:vAlign w:val="bottom"/>
          </w:tcPr>
          <w:p>
            <w:pPr>
              <w:spacing w:after="0"/>
              <w:rPr>
                <w:sz w:val="13"/>
                <w:szCs w:val="13"/>
                <w:color w:val="auto"/>
              </w:rPr>
            </w:pPr>
          </w:p>
        </w:tc>
        <w:tc>
          <w:tcPr>
            <w:tcW w:w="880" w:type="dxa"/>
            <w:vAlign w:val="bottom"/>
            <w:vMerge w:val="restart"/>
          </w:tcPr>
          <w:p>
            <w:pPr>
              <w:jc w:val="right"/>
              <w:ind w:right="222"/>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ind w:right="2"/>
              <w:spacing w:after="0"/>
              <w:rPr>
                <w:sz w:val="20"/>
                <w:szCs w:val="20"/>
                <w:color w:val="auto"/>
              </w:rPr>
            </w:pPr>
            <w:r>
              <w:rPr>
                <w:rFonts w:ascii="Arial" w:cs="Arial" w:eastAsia="Arial" w:hAnsi="Arial"/>
                <w:sz w:val="16"/>
                <w:szCs w:val="16"/>
                <w:color w:val="auto"/>
              </w:rPr>
              <w:t>29,277</w:t>
            </w:r>
          </w:p>
        </w:tc>
        <w:tc>
          <w:tcPr>
            <w:tcW w:w="1080" w:type="dxa"/>
            <w:vAlign w:val="bottom"/>
            <w:gridSpan w:val="2"/>
            <w:vMerge w:val="restart"/>
          </w:tcPr>
          <w:p>
            <w:pPr>
              <w:jc w:val="right"/>
              <w:ind w:right="126"/>
              <w:spacing w:after="0"/>
              <w:rPr>
                <w:sz w:val="20"/>
                <w:szCs w:val="20"/>
                <w:color w:val="auto"/>
              </w:rPr>
            </w:pPr>
            <w:r>
              <w:rPr>
                <w:rFonts w:ascii="Arial" w:cs="Arial" w:eastAsia="Arial" w:hAnsi="Arial"/>
                <w:sz w:val="16"/>
                <w:szCs w:val="16"/>
                <w:color w:val="auto"/>
              </w:rPr>
              <w:t>16</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580" w:type="dxa"/>
            <w:vAlign w:val="bottom"/>
          </w:tcPr>
          <w:p>
            <w:pPr>
              <w:ind w:left="220"/>
              <w:spacing w:after="0"/>
              <w:rPr>
                <w:sz w:val="20"/>
                <w:szCs w:val="20"/>
                <w:color w:val="auto"/>
              </w:rPr>
            </w:pPr>
            <w:r>
              <w:rPr>
                <w:rFonts w:ascii="Arial" w:cs="Arial" w:eastAsia="Arial" w:hAnsi="Arial"/>
                <w:sz w:val="16"/>
                <w:szCs w:val="16"/>
                <w:color w:val="auto"/>
              </w:rPr>
              <w:t>fees: asset-based</w:t>
            </w:r>
          </w:p>
        </w:tc>
        <w:tc>
          <w:tcPr>
            <w:tcW w:w="7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580" w:type="dxa"/>
            <w:vAlign w:val="bottom"/>
            <w:shd w:val="clear" w:color="auto" w:fill="CCEEFF"/>
          </w:tcPr>
          <w:p>
            <w:pPr>
              <w:ind w:left="680"/>
              <w:spacing w:after="0" w:line="163" w:lineRule="exact"/>
              <w:rPr>
                <w:sz w:val="20"/>
                <w:szCs w:val="20"/>
                <w:color w:val="auto"/>
              </w:rPr>
            </w:pPr>
            <w:r>
              <w:rPr>
                <w:rFonts w:ascii="Arial" w:cs="Arial" w:eastAsia="Arial" w:hAnsi="Arial"/>
                <w:sz w:val="16"/>
                <w:szCs w:val="16"/>
                <w:color w:val="auto"/>
              </w:rPr>
              <w:t>Advisory</w:t>
            </w:r>
          </w:p>
        </w:tc>
        <w:tc>
          <w:tcPr>
            <w:tcW w:w="7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580" w:type="dxa"/>
            <w:vAlign w:val="bottom"/>
            <w:shd w:val="clear" w:color="auto" w:fill="CCEEFF"/>
          </w:tcPr>
          <w:p>
            <w:pPr>
              <w:ind w:left="220"/>
              <w:spacing w:after="0" w:line="157" w:lineRule="exact"/>
              <w:rPr>
                <w:sz w:val="20"/>
                <w:szCs w:val="20"/>
                <w:color w:val="auto"/>
              </w:rPr>
            </w:pPr>
            <w:r>
              <w:rPr>
                <w:rFonts w:ascii="Arial" w:cs="Arial" w:eastAsia="Arial" w:hAnsi="Arial"/>
                <w:sz w:val="16"/>
                <w:szCs w:val="16"/>
                <w:color w:val="auto"/>
                <w:w w:val="99"/>
              </w:rPr>
              <w:t>fees: performance-</w:t>
            </w:r>
          </w:p>
        </w:tc>
        <w:tc>
          <w:tcPr>
            <w:tcW w:w="7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1120" w:type="dxa"/>
            <w:vAlign w:val="bottom"/>
            <w:gridSpan w:val="2"/>
            <w:vMerge w:val="restart"/>
            <w:shd w:val="clear" w:color="auto" w:fill="CCEEFF"/>
          </w:tcPr>
          <w:p>
            <w:pPr>
              <w:jc w:val="right"/>
              <w:ind w:right="93"/>
              <w:spacing w:after="0"/>
              <w:rPr>
                <w:sz w:val="20"/>
                <w:szCs w:val="20"/>
                <w:color w:val="auto"/>
              </w:rPr>
            </w:pPr>
            <w:r>
              <w:rPr>
                <w:rFonts w:ascii="Arial" w:cs="Arial" w:eastAsia="Arial" w:hAnsi="Arial"/>
                <w:sz w:val="16"/>
                <w:szCs w:val="16"/>
                <w:color w:val="auto"/>
              </w:rPr>
              <w:t>(100)</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1,959</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1,408</w:t>
            </w:r>
          </w:p>
        </w:tc>
        <w:tc>
          <w:tcPr>
            <w:tcW w:w="1080" w:type="dxa"/>
            <w:vAlign w:val="bottom"/>
            <w:gridSpan w:val="2"/>
            <w:vMerge w:val="restart"/>
            <w:shd w:val="clear" w:color="auto" w:fill="CCEEFF"/>
          </w:tcPr>
          <w:p>
            <w:pPr>
              <w:jc w:val="right"/>
              <w:ind w:right="126"/>
              <w:spacing w:after="0"/>
              <w:rPr>
                <w:sz w:val="20"/>
                <w:szCs w:val="20"/>
                <w:color w:val="auto"/>
              </w:rPr>
            </w:pPr>
            <w:r>
              <w:rPr>
                <w:rFonts w:ascii="Arial" w:cs="Arial" w:eastAsia="Arial" w:hAnsi="Arial"/>
                <w:sz w:val="16"/>
                <w:szCs w:val="16"/>
                <w:color w:val="auto"/>
              </w:rPr>
              <w:t>39</w:t>
            </w: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based</w:t>
            </w:r>
          </w:p>
        </w:tc>
        <w:tc>
          <w:tcPr>
            <w:tcW w:w="7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580" w:type="dxa"/>
            <w:vAlign w:val="bottom"/>
          </w:tcPr>
          <w:p>
            <w:pPr>
              <w:ind w:left="680"/>
              <w:spacing w:after="0" w:line="160" w:lineRule="exact"/>
              <w:rPr>
                <w:sz w:val="20"/>
                <w:szCs w:val="20"/>
                <w:color w:val="auto"/>
              </w:rPr>
            </w:pPr>
            <w:r>
              <w:rPr>
                <w:rFonts w:ascii="Arial" w:cs="Arial" w:eastAsia="Arial" w:hAnsi="Arial"/>
                <w:sz w:val="16"/>
                <w:szCs w:val="16"/>
                <w:color w:val="auto"/>
              </w:rPr>
              <w:t>Trust fees:</w:t>
            </w:r>
          </w:p>
        </w:tc>
        <w:tc>
          <w:tcPr>
            <w:tcW w:w="700" w:type="dxa"/>
            <w:vAlign w:val="bottom"/>
          </w:tcPr>
          <w:p>
            <w:pPr>
              <w:spacing w:after="0"/>
              <w:rPr>
                <w:sz w:val="13"/>
                <w:szCs w:val="13"/>
                <w:color w:val="auto"/>
              </w:rPr>
            </w:pPr>
          </w:p>
        </w:tc>
        <w:tc>
          <w:tcPr>
            <w:tcW w:w="840" w:type="dxa"/>
            <w:vAlign w:val="bottom"/>
            <w:vMerge w:val="restart"/>
          </w:tcPr>
          <w:p>
            <w:pPr>
              <w:jc w:val="right"/>
              <w:ind w:right="2"/>
              <w:spacing w:after="0"/>
              <w:rPr>
                <w:sz w:val="20"/>
                <w:szCs w:val="20"/>
                <w:color w:val="auto"/>
              </w:rPr>
            </w:pPr>
            <w:r>
              <w:rPr>
                <w:rFonts w:ascii="Arial" w:cs="Arial" w:eastAsia="Arial" w:hAnsi="Arial"/>
                <w:sz w:val="16"/>
                <w:szCs w:val="16"/>
                <w:color w:val="auto"/>
              </w:rPr>
              <w:t>5,952</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5,787</w:t>
            </w:r>
          </w:p>
        </w:tc>
        <w:tc>
          <w:tcPr>
            <w:tcW w:w="1120" w:type="dxa"/>
            <w:vAlign w:val="bottom"/>
            <w:gridSpan w:val="2"/>
            <w:vMerge w:val="restart"/>
          </w:tcPr>
          <w:p>
            <w:pPr>
              <w:jc w:val="right"/>
              <w:ind w:right="133"/>
              <w:spacing w:after="0"/>
              <w:rPr>
                <w:sz w:val="20"/>
                <w:szCs w:val="20"/>
                <w:color w:val="auto"/>
              </w:rPr>
            </w:pPr>
            <w:r>
              <w:rPr>
                <w:rFonts w:ascii="Arial" w:cs="Arial" w:eastAsia="Arial" w:hAnsi="Arial"/>
                <w:sz w:val="16"/>
                <w:szCs w:val="16"/>
                <w:color w:val="auto"/>
              </w:rPr>
              <w:t>3</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vMerge w:val="restart"/>
          </w:tcPr>
          <w:p>
            <w:pPr>
              <w:jc w:val="right"/>
              <w:ind w:right="2"/>
              <w:spacing w:after="0"/>
              <w:rPr>
                <w:sz w:val="20"/>
                <w:szCs w:val="20"/>
                <w:color w:val="auto"/>
              </w:rPr>
            </w:pPr>
            <w:r>
              <w:rPr>
                <w:rFonts w:ascii="Arial" w:cs="Arial" w:eastAsia="Arial" w:hAnsi="Arial"/>
                <w:sz w:val="16"/>
                <w:szCs w:val="16"/>
                <w:color w:val="auto"/>
              </w:rPr>
              <w:t>18,233</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vMerge w:val="restart"/>
          </w:tcPr>
          <w:p>
            <w:pPr>
              <w:jc w:val="right"/>
              <w:ind w:right="2"/>
              <w:spacing w:after="0"/>
              <w:rPr>
                <w:sz w:val="20"/>
                <w:szCs w:val="20"/>
                <w:color w:val="auto"/>
              </w:rPr>
            </w:pPr>
            <w:r>
              <w:rPr>
                <w:rFonts w:ascii="Arial" w:cs="Arial" w:eastAsia="Arial" w:hAnsi="Arial"/>
                <w:sz w:val="16"/>
                <w:szCs w:val="16"/>
                <w:color w:val="auto"/>
              </w:rPr>
              <w:t>17,395</w:t>
            </w:r>
          </w:p>
        </w:tc>
        <w:tc>
          <w:tcPr>
            <w:tcW w:w="1080" w:type="dxa"/>
            <w:vAlign w:val="bottom"/>
            <w:gridSpan w:val="2"/>
            <w:vMerge w:val="restart"/>
          </w:tcPr>
          <w:p>
            <w:pPr>
              <w:jc w:val="right"/>
              <w:ind w:right="126"/>
              <w:spacing w:after="0"/>
              <w:rPr>
                <w:sz w:val="20"/>
                <w:szCs w:val="20"/>
                <w:color w:val="auto"/>
              </w:rPr>
            </w:pPr>
            <w:r>
              <w:rPr>
                <w:rFonts w:ascii="Arial" w:cs="Arial" w:eastAsia="Arial" w:hAnsi="Arial"/>
                <w:sz w:val="16"/>
                <w:szCs w:val="16"/>
                <w:color w:val="auto"/>
              </w:rPr>
              <w:t>5</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20"/>
              <w:spacing w:after="0"/>
              <w:rPr>
                <w:sz w:val="20"/>
                <w:szCs w:val="20"/>
                <w:color w:val="auto"/>
              </w:rPr>
            </w:pPr>
            <w:r>
              <w:rPr>
                <w:rFonts w:ascii="Arial" w:cs="Arial" w:eastAsia="Arial" w:hAnsi="Arial"/>
                <w:sz w:val="16"/>
                <w:szCs w:val="16"/>
                <w:color w:val="auto"/>
              </w:rPr>
              <w:t>asset-based</w:t>
            </w:r>
          </w:p>
        </w:tc>
        <w:tc>
          <w:tcPr>
            <w:tcW w:w="7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580" w:type="dxa"/>
            <w:vAlign w:val="bottom"/>
            <w:shd w:val="clear" w:color="auto" w:fill="CCEEFF"/>
          </w:tcPr>
          <w:p>
            <w:pPr>
              <w:ind w:left="680"/>
              <w:spacing w:after="0" w:line="163" w:lineRule="exact"/>
              <w:rPr>
                <w:sz w:val="20"/>
                <w:szCs w:val="20"/>
                <w:color w:val="auto"/>
              </w:rPr>
            </w:pPr>
            <w:r>
              <w:rPr>
                <w:rFonts w:ascii="Arial" w:cs="Arial" w:eastAsia="Arial" w:hAnsi="Arial"/>
                <w:sz w:val="16"/>
                <w:szCs w:val="16"/>
                <w:color w:val="auto"/>
              </w:rPr>
              <w:t>Trust fees:</w:t>
            </w:r>
          </w:p>
        </w:tc>
        <w:tc>
          <w:tcPr>
            <w:tcW w:w="7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120" w:type="dxa"/>
            <w:vAlign w:val="bottom"/>
            <w:gridSpan w:val="2"/>
            <w:vMerge w:val="restart"/>
            <w:shd w:val="clear" w:color="auto" w:fill="CCEEFF"/>
          </w:tcPr>
          <w:p>
            <w:pPr>
              <w:jc w:val="right"/>
              <w:ind w:right="93"/>
              <w:spacing w:after="0"/>
              <w:rPr>
                <w:sz w:val="20"/>
                <w:szCs w:val="20"/>
                <w:color w:val="auto"/>
              </w:rPr>
            </w:pPr>
            <w:r>
              <w:rPr>
                <w:rFonts w:ascii="Arial" w:cs="Arial" w:eastAsia="Arial" w:hAnsi="Arial"/>
                <w:sz w:val="16"/>
                <w:szCs w:val="16"/>
                <w:color w:val="auto"/>
              </w:rPr>
              <w:t>(100)</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77</w:t>
            </w:r>
          </w:p>
        </w:tc>
        <w:tc>
          <w:tcPr>
            <w:tcW w:w="1080" w:type="dxa"/>
            <w:vAlign w:val="bottom"/>
            <w:gridSpan w:val="2"/>
            <w:vMerge w:val="restart"/>
            <w:shd w:val="clear" w:color="auto" w:fill="CCEEFF"/>
          </w:tcPr>
          <w:p>
            <w:pPr>
              <w:jc w:val="right"/>
              <w:ind w:right="86"/>
              <w:spacing w:after="0"/>
              <w:rPr>
                <w:sz w:val="20"/>
                <w:szCs w:val="20"/>
                <w:color w:val="auto"/>
              </w:rPr>
            </w:pPr>
            <w:r>
              <w:rPr>
                <w:rFonts w:ascii="Arial" w:cs="Arial" w:eastAsia="Arial" w:hAnsi="Arial"/>
                <w:sz w:val="16"/>
                <w:szCs w:val="16"/>
                <w:color w:val="auto"/>
              </w:rPr>
              <w:t>(100)</w:t>
            </w: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5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6"/>
              </w:rPr>
              <w:t>performance-based</w:t>
            </w:r>
          </w:p>
        </w:tc>
        <w:tc>
          <w:tcPr>
            <w:tcW w:w="7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Other, net</w:t>
            </w:r>
          </w:p>
        </w:tc>
        <w:tc>
          <w:tcPr>
            <w:tcW w:w="7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120" w:type="dxa"/>
            <w:vAlign w:val="bottom"/>
            <w:tcBorders>
              <w:bottom w:val="single" w:sz="8" w:color="CCEEFF"/>
            </w:tcBorders>
            <w:gridSpan w:val="2"/>
          </w:tcPr>
          <w:p>
            <w:pPr>
              <w:jc w:val="right"/>
              <w:ind w:right="93"/>
              <w:spacing w:after="0"/>
              <w:rPr>
                <w:sz w:val="20"/>
                <w:szCs w:val="20"/>
                <w:color w:val="auto"/>
              </w:rPr>
            </w:pPr>
            <w:r>
              <w:rPr>
                <w:rFonts w:ascii="Arial" w:cs="Arial" w:eastAsia="Arial" w:hAnsi="Arial"/>
                <w:sz w:val="16"/>
                <w:szCs w:val="16"/>
                <w:color w:val="auto"/>
              </w:rPr>
              <w:t>(247)</w:t>
            </w:r>
          </w:p>
        </w:tc>
        <w:tc>
          <w:tcPr>
            <w:tcW w:w="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w:t>
            </w: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1080" w:type="dxa"/>
            <w:vAlign w:val="bottom"/>
            <w:tcBorders>
              <w:bottom w:val="single" w:sz="8" w:color="CCEEFF"/>
            </w:tcBorders>
            <w:gridSpan w:val="2"/>
          </w:tcPr>
          <w:p>
            <w:pPr>
              <w:jc w:val="right"/>
              <w:ind w:right="126"/>
              <w:spacing w:after="0"/>
              <w:rPr>
                <w:sz w:val="20"/>
                <w:szCs w:val="20"/>
                <w:color w:val="auto"/>
              </w:rPr>
            </w:pPr>
            <w:r>
              <w:rPr>
                <w:rFonts w:ascii="Arial" w:cs="Arial" w:eastAsia="Arial" w:hAnsi="Arial"/>
                <w:sz w:val="16"/>
                <w:szCs w:val="16"/>
                <w:color w:val="auto"/>
              </w:rPr>
              <w:t>136</w:t>
            </w:r>
          </w:p>
        </w:tc>
        <w:tc>
          <w:tcPr>
            <w:tcW w:w="4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580" w:type="dxa"/>
            <w:vAlign w:val="bottom"/>
            <w:shd w:val="clear" w:color="auto" w:fill="CCEEFF"/>
          </w:tcPr>
          <w:p>
            <w:pPr>
              <w:ind w:left="920"/>
              <w:spacing w:after="0" w:line="143" w:lineRule="exact"/>
              <w:rPr>
                <w:sz w:val="20"/>
                <w:szCs w:val="20"/>
                <w:color w:val="auto"/>
              </w:rPr>
            </w:pPr>
            <w:r>
              <w:rPr>
                <w:rFonts w:ascii="Arial" w:cs="Arial" w:eastAsia="Arial" w:hAnsi="Arial"/>
                <w:sz w:val="16"/>
                <w:szCs w:val="16"/>
                <w:color w:val="auto"/>
              </w:rPr>
              <w:t>Total</w:t>
            </w:r>
          </w:p>
        </w:tc>
        <w:tc>
          <w:tcPr>
            <w:tcW w:w="7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17,860</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15,454</w:t>
            </w:r>
          </w:p>
        </w:tc>
        <w:tc>
          <w:tcPr>
            <w:tcW w:w="1120" w:type="dxa"/>
            <w:vAlign w:val="bottom"/>
            <w:gridSpan w:val="2"/>
            <w:vMerge w:val="restart"/>
            <w:shd w:val="clear" w:color="auto" w:fill="CCEEFF"/>
          </w:tcPr>
          <w:p>
            <w:pPr>
              <w:jc w:val="right"/>
              <w:ind w:right="133"/>
              <w:spacing w:after="0"/>
              <w:rPr>
                <w:sz w:val="20"/>
                <w:szCs w:val="20"/>
                <w:color w:val="auto"/>
              </w:rPr>
            </w:pPr>
            <w:r>
              <w:rPr>
                <w:rFonts w:ascii="Arial" w:cs="Arial" w:eastAsia="Arial" w:hAnsi="Arial"/>
                <w:sz w:val="16"/>
                <w:szCs w:val="16"/>
                <w:color w:val="auto"/>
              </w:rPr>
              <w:t>16</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53,663</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47,998</w:t>
            </w:r>
          </w:p>
        </w:tc>
        <w:tc>
          <w:tcPr>
            <w:tcW w:w="1080" w:type="dxa"/>
            <w:vAlign w:val="bottom"/>
            <w:gridSpan w:val="2"/>
            <w:vMerge w:val="restart"/>
            <w:shd w:val="clear" w:color="auto" w:fill="CCEEFF"/>
          </w:tcPr>
          <w:p>
            <w:pPr>
              <w:jc w:val="right"/>
              <w:ind w:right="126"/>
              <w:spacing w:after="0"/>
              <w:rPr>
                <w:sz w:val="20"/>
                <w:szCs w:val="20"/>
                <w:color w:val="auto"/>
              </w:rPr>
            </w:pPr>
            <w:r>
              <w:rPr>
                <w:rFonts w:ascii="Arial" w:cs="Arial" w:eastAsia="Arial" w:hAnsi="Arial"/>
                <w:sz w:val="16"/>
                <w:szCs w:val="16"/>
                <w:color w:val="auto"/>
              </w:rPr>
              <w:t>12</w:t>
            </w: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5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revenues</w:t>
            </w:r>
          </w:p>
        </w:tc>
        <w:tc>
          <w:tcPr>
            <w:tcW w:w="7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80" w:type="dxa"/>
            <w:vAlign w:val="bottom"/>
          </w:tcPr>
          <w:p>
            <w:pPr>
              <w:ind w:left="500"/>
              <w:spacing w:after="0"/>
              <w:rPr>
                <w:sz w:val="20"/>
                <w:szCs w:val="20"/>
                <w:color w:val="auto"/>
              </w:rPr>
            </w:pPr>
            <w:r>
              <w:rPr>
                <w:rFonts w:ascii="Arial" w:cs="Arial" w:eastAsia="Arial" w:hAnsi="Arial"/>
                <w:sz w:val="16"/>
                <w:szCs w:val="16"/>
                <w:b w:val="1"/>
                <w:bCs w:val="1"/>
                <w:color w:val="auto"/>
              </w:rPr>
              <w:t>Expenses:</w:t>
            </w: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ind w:left="680"/>
              <w:spacing w:after="0" w:line="162" w:lineRule="exact"/>
              <w:rPr>
                <w:sz w:val="20"/>
                <w:szCs w:val="20"/>
                <w:color w:val="auto"/>
              </w:rPr>
            </w:pPr>
            <w:r>
              <w:rPr>
                <w:rFonts w:ascii="Arial" w:cs="Arial" w:eastAsia="Arial" w:hAnsi="Arial"/>
                <w:sz w:val="16"/>
                <w:szCs w:val="16"/>
                <w:color w:val="auto"/>
              </w:rPr>
              <w:t>Employee</w:t>
            </w:r>
          </w:p>
        </w:tc>
        <w:tc>
          <w:tcPr>
            <w:tcW w:w="7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580" w:type="dxa"/>
            <w:vAlign w:val="bottom"/>
            <w:shd w:val="clear" w:color="auto" w:fill="CCEEFF"/>
          </w:tcPr>
          <w:p>
            <w:pPr>
              <w:ind w:left="220"/>
              <w:spacing w:after="0" w:line="157" w:lineRule="exact"/>
              <w:rPr>
                <w:sz w:val="20"/>
                <w:szCs w:val="20"/>
                <w:color w:val="auto"/>
              </w:rPr>
            </w:pPr>
            <w:r>
              <w:rPr>
                <w:rFonts w:ascii="Arial" w:cs="Arial" w:eastAsia="Arial" w:hAnsi="Arial"/>
                <w:sz w:val="16"/>
                <w:szCs w:val="16"/>
                <w:color w:val="auto"/>
              </w:rPr>
              <w:t>compensation and</w:t>
            </w:r>
          </w:p>
        </w:tc>
        <w:tc>
          <w:tcPr>
            <w:tcW w:w="7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10,268</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9,515</w:t>
            </w:r>
          </w:p>
        </w:tc>
        <w:tc>
          <w:tcPr>
            <w:tcW w:w="1120" w:type="dxa"/>
            <w:vAlign w:val="bottom"/>
            <w:gridSpan w:val="2"/>
            <w:vMerge w:val="restart"/>
            <w:shd w:val="clear" w:color="auto" w:fill="CCEEFF"/>
          </w:tcPr>
          <w:p>
            <w:pPr>
              <w:jc w:val="right"/>
              <w:ind w:right="133"/>
              <w:spacing w:after="0"/>
              <w:rPr>
                <w:sz w:val="20"/>
                <w:szCs w:val="20"/>
                <w:color w:val="auto"/>
              </w:rPr>
            </w:pPr>
            <w:r>
              <w:rPr>
                <w:rFonts w:ascii="Arial" w:cs="Arial" w:eastAsia="Arial" w:hAnsi="Arial"/>
                <w:sz w:val="16"/>
                <w:szCs w:val="16"/>
                <w:color w:val="auto"/>
              </w:rPr>
              <w:t>8</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32,053</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32,970</w:t>
            </w:r>
          </w:p>
        </w:tc>
        <w:tc>
          <w:tcPr>
            <w:tcW w:w="1080" w:type="dxa"/>
            <w:vAlign w:val="bottom"/>
            <w:gridSpan w:val="2"/>
            <w:vMerge w:val="restart"/>
            <w:shd w:val="clear" w:color="auto" w:fill="CCEEFF"/>
          </w:tcPr>
          <w:p>
            <w:pPr>
              <w:jc w:val="right"/>
              <w:ind w:right="86"/>
              <w:spacing w:after="0"/>
              <w:rPr>
                <w:sz w:val="20"/>
                <w:szCs w:val="20"/>
                <w:color w:val="auto"/>
              </w:rPr>
            </w:pPr>
            <w:r>
              <w:rPr>
                <w:rFonts w:ascii="Arial" w:cs="Arial" w:eastAsia="Arial" w:hAnsi="Arial"/>
                <w:sz w:val="16"/>
                <w:szCs w:val="16"/>
                <w:color w:val="auto"/>
              </w:rPr>
              <w:t>(3)</w:t>
            </w: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benefits</w:t>
            </w:r>
          </w:p>
        </w:tc>
        <w:tc>
          <w:tcPr>
            <w:tcW w:w="7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580" w:type="dxa"/>
            <w:vAlign w:val="bottom"/>
          </w:tcPr>
          <w:p>
            <w:pPr>
              <w:ind w:left="680"/>
              <w:spacing w:after="0" w:line="160" w:lineRule="exact"/>
              <w:rPr>
                <w:sz w:val="20"/>
                <w:szCs w:val="20"/>
                <w:color w:val="auto"/>
              </w:rPr>
            </w:pPr>
            <w:r>
              <w:rPr>
                <w:rFonts w:ascii="Arial" w:cs="Arial" w:eastAsia="Arial" w:hAnsi="Arial"/>
                <w:sz w:val="16"/>
                <w:szCs w:val="16"/>
                <w:color w:val="auto"/>
              </w:rPr>
              <w:t>Sales and</w:t>
            </w:r>
          </w:p>
        </w:tc>
        <w:tc>
          <w:tcPr>
            <w:tcW w:w="700" w:type="dxa"/>
            <w:vAlign w:val="bottom"/>
          </w:tcPr>
          <w:p>
            <w:pPr>
              <w:spacing w:after="0"/>
              <w:rPr>
                <w:sz w:val="13"/>
                <w:szCs w:val="13"/>
                <w:color w:val="auto"/>
              </w:rPr>
            </w:pPr>
          </w:p>
        </w:tc>
        <w:tc>
          <w:tcPr>
            <w:tcW w:w="840" w:type="dxa"/>
            <w:vAlign w:val="bottom"/>
            <w:vMerge w:val="restart"/>
          </w:tcPr>
          <w:p>
            <w:pPr>
              <w:jc w:val="right"/>
              <w:ind w:right="2"/>
              <w:spacing w:after="0"/>
              <w:rPr>
                <w:sz w:val="20"/>
                <w:szCs w:val="20"/>
                <w:color w:val="auto"/>
              </w:rPr>
            </w:pPr>
            <w:r>
              <w:rPr>
                <w:rFonts w:ascii="Arial" w:cs="Arial" w:eastAsia="Arial" w:hAnsi="Arial"/>
                <w:sz w:val="16"/>
                <w:szCs w:val="16"/>
                <w:color w:val="auto"/>
              </w:rPr>
              <w:t>292</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215</w:t>
            </w:r>
          </w:p>
        </w:tc>
        <w:tc>
          <w:tcPr>
            <w:tcW w:w="1120" w:type="dxa"/>
            <w:vAlign w:val="bottom"/>
            <w:gridSpan w:val="2"/>
            <w:vMerge w:val="restart"/>
          </w:tcPr>
          <w:p>
            <w:pPr>
              <w:jc w:val="right"/>
              <w:ind w:right="133"/>
              <w:spacing w:after="0"/>
              <w:rPr>
                <w:sz w:val="20"/>
                <w:szCs w:val="20"/>
                <w:color w:val="auto"/>
              </w:rPr>
            </w:pPr>
            <w:r>
              <w:rPr>
                <w:rFonts w:ascii="Arial" w:cs="Arial" w:eastAsia="Arial" w:hAnsi="Arial"/>
                <w:sz w:val="16"/>
                <w:szCs w:val="16"/>
                <w:color w:val="auto"/>
              </w:rPr>
              <w:t>36</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vMerge w:val="restart"/>
          </w:tcPr>
          <w:p>
            <w:pPr>
              <w:jc w:val="right"/>
              <w:ind w:right="2"/>
              <w:spacing w:after="0"/>
              <w:rPr>
                <w:sz w:val="20"/>
                <w:szCs w:val="20"/>
                <w:color w:val="auto"/>
              </w:rPr>
            </w:pPr>
            <w:r>
              <w:rPr>
                <w:rFonts w:ascii="Arial" w:cs="Arial" w:eastAsia="Arial" w:hAnsi="Arial"/>
                <w:sz w:val="16"/>
                <w:szCs w:val="16"/>
                <w:color w:val="auto"/>
              </w:rPr>
              <w:t>892</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vMerge w:val="restart"/>
          </w:tcPr>
          <w:p>
            <w:pPr>
              <w:jc w:val="right"/>
              <w:ind w:right="2"/>
              <w:spacing w:after="0"/>
              <w:rPr>
                <w:sz w:val="20"/>
                <w:szCs w:val="20"/>
                <w:color w:val="auto"/>
              </w:rPr>
            </w:pPr>
            <w:r>
              <w:rPr>
                <w:rFonts w:ascii="Arial" w:cs="Arial" w:eastAsia="Arial" w:hAnsi="Arial"/>
                <w:sz w:val="16"/>
                <w:szCs w:val="16"/>
                <w:color w:val="auto"/>
              </w:rPr>
              <w:t>946</w:t>
            </w:r>
          </w:p>
        </w:tc>
        <w:tc>
          <w:tcPr>
            <w:tcW w:w="1080" w:type="dxa"/>
            <w:vAlign w:val="bottom"/>
            <w:gridSpan w:val="2"/>
            <w:vMerge w:val="restart"/>
          </w:tcPr>
          <w:p>
            <w:pPr>
              <w:jc w:val="right"/>
              <w:ind w:right="86"/>
              <w:spacing w:after="0"/>
              <w:rPr>
                <w:sz w:val="20"/>
                <w:szCs w:val="20"/>
                <w:color w:val="auto"/>
              </w:rPr>
            </w:pPr>
            <w:r>
              <w:rPr>
                <w:rFonts w:ascii="Arial" w:cs="Arial" w:eastAsia="Arial" w:hAnsi="Arial"/>
                <w:sz w:val="16"/>
                <w:szCs w:val="16"/>
                <w:color w:val="auto"/>
              </w:rPr>
              <w:t>(6)</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20"/>
              <w:spacing w:after="0"/>
              <w:rPr>
                <w:sz w:val="20"/>
                <w:szCs w:val="20"/>
                <w:color w:val="auto"/>
              </w:rPr>
            </w:pPr>
            <w:r>
              <w:rPr>
                <w:rFonts w:ascii="Arial" w:cs="Arial" w:eastAsia="Arial" w:hAnsi="Arial"/>
                <w:sz w:val="16"/>
                <w:szCs w:val="16"/>
                <w:color w:val="auto"/>
              </w:rPr>
              <w:t>marketing</w:t>
            </w:r>
          </w:p>
        </w:tc>
        <w:tc>
          <w:tcPr>
            <w:tcW w:w="7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580" w:type="dxa"/>
            <w:vAlign w:val="bottom"/>
            <w:shd w:val="clear" w:color="auto" w:fill="CCEEFF"/>
          </w:tcPr>
          <w:p>
            <w:pPr>
              <w:ind w:left="680"/>
              <w:spacing w:after="0" w:line="163" w:lineRule="exact"/>
              <w:rPr>
                <w:sz w:val="20"/>
                <w:szCs w:val="20"/>
                <w:color w:val="auto"/>
              </w:rPr>
            </w:pPr>
            <w:r>
              <w:rPr>
                <w:rFonts w:ascii="Arial" w:cs="Arial" w:eastAsia="Arial" w:hAnsi="Arial"/>
                <w:sz w:val="16"/>
                <w:szCs w:val="16"/>
                <w:color w:val="auto"/>
              </w:rPr>
              <w:t>Westwood</w:t>
            </w:r>
          </w:p>
        </w:tc>
        <w:tc>
          <w:tcPr>
            <w:tcW w:w="7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814</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120" w:type="dxa"/>
            <w:vAlign w:val="bottom"/>
            <w:gridSpan w:val="2"/>
            <w:vMerge w:val="restart"/>
            <w:shd w:val="clear" w:color="auto" w:fill="CCEEFF"/>
          </w:tcPr>
          <w:p>
            <w:pPr>
              <w:jc w:val="right"/>
              <w:ind w:right="133"/>
              <w:spacing w:after="0"/>
              <w:rPr>
                <w:sz w:val="20"/>
                <w:szCs w:val="20"/>
                <w:color w:val="auto"/>
              </w:rPr>
            </w:pPr>
            <w:r>
              <w:rPr>
                <w:rFonts w:ascii="Arial" w:cs="Arial" w:eastAsia="Arial" w:hAnsi="Arial"/>
                <w:sz w:val="16"/>
                <w:szCs w:val="16"/>
                <w:color w:val="auto"/>
              </w:rPr>
              <w:t>93</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1,573</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1,370</w:t>
            </w:r>
          </w:p>
        </w:tc>
        <w:tc>
          <w:tcPr>
            <w:tcW w:w="1080" w:type="dxa"/>
            <w:vAlign w:val="bottom"/>
            <w:gridSpan w:val="2"/>
            <w:vMerge w:val="restart"/>
            <w:shd w:val="clear" w:color="auto" w:fill="CCEEFF"/>
          </w:tcPr>
          <w:p>
            <w:pPr>
              <w:jc w:val="right"/>
              <w:ind w:right="126"/>
              <w:spacing w:after="0"/>
              <w:rPr>
                <w:sz w:val="20"/>
                <w:szCs w:val="20"/>
                <w:color w:val="auto"/>
              </w:rPr>
            </w:pPr>
            <w:r>
              <w:rPr>
                <w:rFonts w:ascii="Arial" w:cs="Arial" w:eastAsia="Arial" w:hAnsi="Arial"/>
                <w:sz w:val="16"/>
                <w:szCs w:val="16"/>
                <w:color w:val="auto"/>
              </w:rPr>
              <w:t>15</w:t>
            </w: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mutual funds</w:t>
            </w:r>
          </w:p>
        </w:tc>
        <w:tc>
          <w:tcPr>
            <w:tcW w:w="7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580" w:type="dxa"/>
            <w:vAlign w:val="bottom"/>
          </w:tcPr>
          <w:p>
            <w:pPr>
              <w:ind w:left="680"/>
              <w:spacing w:after="0" w:line="160" w:lineRule="exact"/>
              <w:rPr>
                <w:sz w:val="20"/>
                <w:szCs w:val="20"/>
                <w:color w:val="auto"/>
              </w:rPr>
            </w:pPr>
            <w:r>
              <w:rPr>
                <w:rFonts w:ascii="Arial" w:cs="Arial" w:eastAsia="Arial" w:hAnsi="Arial"/>
                <w:sz w:val="16"/>
                <w:szCs w:val="16"/>
                <w:color w:val="auto"/>
              </w:rPr>
              <w:t>Information</w:t>
            </w:r>
          </w:p>
        </w:tc>
        <w:tc>
          <w:tcPr>
            <w:tcW w:w="700" w:type="dxa"/>
            <w:vAlign w:val="bottom"/>
          </w:tcPr>
          <w:p>
            <w:pPr>
              <w:spacing w:after="0"/>
              <w:rPr>
                <w:sz w:val="13"/>
                <w:szCs w:val="13"/>
                <w:color w:val="auto"/>
              </w:rPr>
            </w:pPr>
          </w:p>
        </w:tc>
        <w:tc>
          <w:tcPr>
            <w:tcW w:w="840" w:type="dxa"/>
            <w:vAlign w:val="bottom"/>
            <w:vMerge w:val="restart"/>
          </w:tcPr>
          <w:p>
            <w:pPr>
              <w:jc w:val="right"/>
              <w:ind w:right="2"/>
              <w:spacing w:after="0"/>
              <w:rPr>
                <w:sz w:val="20"/>
                <w:szCs w:val="20"/>
                <w:color w:val="auto"/>
              </w:rPr>
            </w:pPr>
            <w:r>
              <w:rPr>
                <w:rFonts w:ascii="Arial" w:cs="Arial" w:eastAsia="Arial" w:hAnsi="Arial"/>
                <w:sz w:val="16"/>
                <w:szCs w:val="16"/>
                <w:color w:val="auto"/>
              </w:rPr>
              <w:t>1,937</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2,158</w:t>
            </w:r>
          </w:p>
        </w:tc>
        <w:tc>
          <w:tcPr>
            <w:tcW w:w="1120" w:type="dxa"/>
            <w:vAlign w:val="bottom"/>
            <w:gridSpan w:val="2"/>
            <w:vMerge w:val="restart"/>
          </w:tcPr>
          <w:p>
            <w:pPr>
              <w:jc w:val="right"/>
              <w:ind w:right="93"/>
              <w:spacing w:after="0"/>
              <w:rPr>
                <w:sz w:val="20"/>
                <w:szCs w:val="20"/>
                <w:color w:val="auto"/>
              </w:rPr>
            </w:pPr>
            <w:r>
              <w:rPr>
                <w:rFonts w:ascii="Arial" w:cs="Arial" w:eastAsia="Arial" w:hAnsi="Arial"/>
                <w:sz w:val="16"/>
                <w:szCs w:val="16"/>
                <w:color w:val="auto"/>
              </w:rPr>
              <w:t>(10)</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vMerge w:val="restart"/>
          </w:tcPr>
          <w:p>
            <w:pPr>
              <w:jc w:val="right"/>
              <w:ind w:right="2"/>
              <w:spacing w:after="0"/>
              <w:rPr>
                <w:sz w:val="20"/>
                <w:szCs w:val="20"/>
                <w:color w:val="auto"/>
              </w:rPr>
            </w:pPr>
            <w:r>
              <w:rPr>
                <w:rFonts w:ascii="Arial" w:cs="Arial" w:eastAsia="Arial" w:hAnsi="Arial"/>
                <w:sz w:val="16"/>
                <w:szCs w:val="16"/>
                <w:color w:val="auto"/>
              </w:rPr>
              <w:t>6,190</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vMerge w:val="restart"/>
          </w:tcPr>
          <w:p>
            <w:pPr>
              <w:jc w:val="right"/>
              <w:ind w:right="2"/>
              <w:spacing w:after="0"/>
              <w:rPr>
                <w:sz w:val="20"/>
                <w:szCs w:val="20"/>
                <w:color w:val="auto"/>
              </w:rPr>
            </w:pPr>
            <w:r>
              <w:rPr>
                <w:rFonts w:ascii="Arial" w:cs="Arial" w:eastAsia="Arial" w:hAnsi="Arial"/>
                <w:sz w:val="16"/>
                <w:szCs w:val="16"/>
                <w:color w:val="auto"/>
              </w:rPr>
              <w:t>6,219</w:t>
            </w:r>
          </w:p>
        </w:tc>
        <w:tc>
          <w:tcPr>
            <w:tcW w:w="1080" w:type="dxa"/>
            <w:vAlign w:val="bottom"/>
            <w:gridSpan w:val="2"/>
            <w:vMerge w:val="restart"/>
          </w:tcPr>
          <w:p>
            <w:pPr>
              <w:jc w:val="right"/>
              <w:ind w:right="126"/>
              <w:spacing w:after="0"/>
              <w:rPr>
                <w:sz w:val="20"/>
                <w:szCs w:val="20"/>
                <w:color w:val="auto"/>
              </w:rPr>
            </w:pPr>
            <w:r>
              <w:rPr>
                <w:rFonts w:ascii="Arial" w:cs="Arial" w:eastAsia="Arial" w:hAnsi="Arial"/>
                <w:sz w:val="16"/>
                <w:szCs w:val="16"/>
                <w:color w:val="auto"/>
              </w:rPr>
              <w:t>0</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20"/>
              <w:spacing w:after="0"/>
              <w:rPr>
                <w:sz w:val="20"/>
                <w:szCs w:val="20"/>
                <w:color w:val="auto"/>
              </w:rPr>
            </w:pPr>
            <w:r>
              <w:rPr>
                <w:rFonts w:ascii="Arial" w:cs="Arial" w:eastAsia="Arial" w:hAnsi="Arial"/>
                <w:sz w:val="16"/>
                <w:szCs w:val="16"/>
                <w:color w:val="auto"/>
              </w:rPr>
              <w:t>technology</w:t>
            </w:r>
          </w:p>
        </w:tc>
        <w:tc>
          <w:tcPr>
            <w:tcW w:w="7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580" w:type="dxa"/>
            <w:vAlign w:val="bottom"/>
            <w:shd w:val="clear" w:color="auto" w:fill="CCEEFF"/>
          </w:tcPr>
          <w:p>
            <w:pPr>
              <w:ind w:left="680"/>
              <w:spacing w:after="0" w:line="163" w:lineRule="exact"/>
              <w:rPr>
                <w:sz w:val="20"/>
                <w:szCs w:val="20"/>
                <w:color w:val="auto"/>
              </w:rPr>
            </w:pPr>
            <w:r>
              <w:rPr>
                <w:rFonts w:ascii="Arial" w:cs="Arial" w:eastAsia="Arial" w:hAnsi="Arial"/>
                <w:sz w:val="16"/>
                <w:szCs w:val="16"/>
                <w:color w:val="auto"/>
                <w:w w:val="99"/>
              </w:rPr>
              <w:t>Professional</w:t>
            </w:r>
          </w:p>
        </w:tc>
        <w:tc>
          <w:tcPr>
            <w:tcW w:w="7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726</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1120" w:type="dxa"/>
            <w:vAlign w:val="bottom"/>
            <w:gridSpan w:val="2"/>
            <w:vMerge w:val="restart"/>
            <w:shd w:val="clear" w:color="auto" w:fill="CCEEFF"/>
          </w:tcPr>
          <w:p>
            <w:pPr>
              <w:jc w:val="right"/>
              <w:ind w:right="93"/>
              <w:spacing w:after="0"/>
              <w:rPr>
                <w:sz w:val="20"/>
                <w:szCs w:val="20"/>
                <w:color w:val="auto"/>
              </w:rPr>
            </w:pPr>
            <w:r>
              <w:rPr>
                <w:rFonts w:ascii="Arial" w:cs="Arial" w:eastAsia="Arial" w:hAnsi="Arial"/>
                <w:sz w:val="16"/>
                <w:szCs w:val="16"/>
                <w:color w:val="auto"/>
              </w:rPr>
              <w:t>(30)</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3,471</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3,217</w:t>
            </w:r>
          </w:p>
        </w:tc>
        <w:tc>
          <w:tcPr>
            <w:tcW w:w="1080" w:type="dxa"/>
            <w:vAlign w:val="bottom"/>
            <w:gridSpan w:val="2"/>
            <w:vMerge w:val="restart"/>
            <w:shd w:val="clear" w:color="auto" w:fill="CCEEFF"/>
          </w:tcPr>
          <w:p>
            <w:pPr>
              <w:jc w:val="right"/>
              <w:ind w:right="126"/>
              <w:spacing w:after="0"/>
              <w:rPr>
                <w:sz w:val="20"/>
                <w:szCs w:val="20"/>
                <w:color w:val="auto"/>
              </w:rPr>
            </w:pPr>
            <w:r>
              <w:rPr>
                <w:rFonts w:ascii="Arial" w:cs="Arial" w:eastAsia="Arial" w:hAnsi="Arial"/>
                <w:sz w:val="16"/>
                <w:szCs w:val="16"/>
                <w:color w:val="auto"/>
              </w:rPr>
              <w:t>8</w:t>
            </w: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services</w:t>
            </w:r>
          </w:p>
        </w:tc>
        <w:tc>
          <w:tcPr>
            <w:tcW w:w="7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580" w:type="dxa"/>
            <w:vAlign w:val="bottom"/>
          </w:tcPr>
          <w:p>
            <w:pPr>
              <w:ind w:left="680"/>
              <w:spacing w:after="0" w:line="160" w:lineRule="exact"/>
              <w:rPr>
                <w:sz w:val="20"/>
                <w:szCs w:val="20"/>
                <w:color w:val="auto"/>
              </w:rPr>
            </w:pPr>
            <w:r>
              <w:rPr>
                <w:rFonts w:ascii="Arial" w:cs="Arial" w:eastAsia="Arial" w:hAnsi="Arial"/>
                <w:sz w:val="16"/>
                <w:szCs w:val="16"/>
                <w:color w:val="auto"/>
                <w:w w:val="99"/>
              </w:rPr>
              <w:t>General and</w:t>
            </w:r>
          </w:p>
        </w:tc>
        <w:tc>
          <w:tcPr>
            <w:tcW w:w="700" w:type="dxa"/>
            <w:vAlign w:val="bottom"/>
          </w:tcPr>
          <w:p>
            <w:pPr>
              <w:spacing w:after="0"/>
              <w:rPr>
                <w:sz w:val="13"/>
                <w:szCs w:val="13"/>
                <w:color w:val="auto"/>
              </w:rPr>
            </w:pPr>
          </w:p>
        </w:tc>
        <w:tc>
          <w:tcPr>
            <w:tcW w:w="840" w:type="dxa"/>
            <w:vAlign w:val="bottom"/>
            <w:vMerge w:val="restart"/>
          </w:tcPr>
          <w:p>
            <w:pPr>
              <w:jc w:val="right"/>
              <w:ind w:right="2"/>
              <w:spacing w:after="0"/>
              <w:rPr>
                <w:sz w:val="20"/>
                <w:szCs w:val="20"/>
                <w:color w:val="auto"/>
              </w:rPr>
            </w:pPr>
            <w:r>
              <w:rPr>
                <w:rFonts w:ascii="Arial" w:cs="Arial" w:eastAsia="Arial" w:hAnsi="Arial"/>
                <w:sz w:val="16"/>
                <w:szCs w:val="16"/>
                <w:color w:val="auto"/>
              </w:rPr>
              <w:t>1,779</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2,333</w:t>
            </w:r>
          </w:p>
        </w:tc>
        <w:tc>
          <w:tcPr>
            <w:tcW w:w="1120" w:type="dxa"/>
            <w:vAlign w:val="bottom"/>
            <w:gridSpan w:val="2"/>
            <w:vMerge w:val="restart"/>
          </w:tcPr>
          <w:p>
            <w:pPr>
              <w:jc w:val="right"/>
              <w:ind w:right="93"/>
              <w:spacing w:after="0"/>
              <w:rPr>
                <w:sz w:val="20"/>
                <w:szCs w:val="20"/>
                <w:color w:val="auto"/>
              </w:rPr>
            </w:pPr>
            <w:r>
              <w:rPr>
                <w:rFonts w:ascii="Arial" w:cs="Arial" w:eastAsia="Arial" w:hAnsi="Arial"/>
                <w:sz w:val="16"/>
                <w:szCs w:val="16"/>
                <w:color w:val="auto"/>
              </w:rPr>
              <w:t>(24)</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vMerge w:val="restart"/>
          </w:tcPr>
          <w:p>
            <w:pPr>
              <w:jc w:val="right"/>
              <w:ind w:right="2"/>
              <w:spacing w:after="0"/>
              <w:rPr>
                <w:sz w:val="20"/>
                <w:szCs w:val="20"/>
                <w:color w:val="auto"/>
              </w:rPr>
            </w:pPr>
            <w:r>
              <w:rPr>
                <w:rFonts w:ascii="Arial" w:cs="Arial" w:eastAsia="Arial" w:hAnsi="Arial"/>
                <w:sz w:val="16"/>
                <w:szCs w:val="16"/>
                <w:color w:val="auto"/>
              </w:rPr>
              <w:t>5,893</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vMerge w:val="restart"/>
          </w:tcPr>
          <w:p>
            <w:pPr>
              <w:jc w:val="right"/>
              <w:ind w:right="2"/>
              <w:spacing w:after="0"/>
              <w:rPr>
                <w:sz w:val="20"/>
                <w:szCs w:val="20"/>
                <w:color w:val="auto"/>
              </w:rPr>
            </w:pPr>
            <w:r>
              <w:rPr>
                <w:rFonts w:ascii="Arial" w:cs="Arial" w:eastAsia="Arial" w:hAnsi="Arial"/>
                <w:sz w:val="16"/>
                <w:szCs w:val="16"/>
                <w:color w:val="auto"/>
              </w:rPr>
              <w:t>6,830</w:t>
            </w:r>
          </w:p>
        </w:tc>
        <w:tc>
          <w:tcPr>
            <w:tcW w:w="1080" w:type="dxa"/>
            <w:vAlign w:val="bottom"/>
            <w:gridSpan w:val="2"/>
            <w:vMerge w:val="restart"/>
          </w:tcPr>
          <w:p>
            <w:pPr>
              <w:jc w:val="right"/>
              <w:ind w:right="86"/>
              <w:spacing w:after="0"/>
              <w:rPr>
                <w:sz w:val="20"/>
                <w:szCs w:val="20"/>
                <w:color w:val="auto"/>
              </w:rPr>
            </w:pPr>
            <w:r>
              <w:rPr>
                <w:rFonts w:ascii="Arial" w:cs="Arial" w:eastAsia="Arial" w:hAnsi="Arial"/>
                <w:sz w:val="16"/>
                <w:szCs w:val="16"/>
                <w:color w:val="auto"/>
              </w:rPr>
              <w:t>(14)</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20"/>
              <w:spacing w:after="0"/>
              <w:rPr>
                <w:sz w:val="20"/>
                <w:szCs w:val="20"/>
                <w:color w:val="auto"/>
              </w:rPr>
            </w:pPr>
            <w:r>
              <w:rPr>
                <w:rFonts w:ascii="Arial" w:cs="Arial" w:eastAsia="Arial" w:hAnsi="Arial"/>
                <w:sz w:val="16"/>
                <w:szCs w:val="16"/>
                <w:color w:val="auto"/>
              </w:rPr>
              <w:t>administrative</w:t>
            </w:r>
          </w:p>
        </w:tc>
        <w:tc>
          <w:tcPr>
            <w:tcW w:w="7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580" w:type="dxa"/>
            <w:vAlign w:val="bottom"/>
            <w:shd w:val="clear" w:color="auto" w:fill="CCEEFF"/>
          </w:tcPr>
          <w:p>
            <w:pPr>
              <w:ind w:left="680"/>
              <w:spacing w:after="0" w:line="163" w:lineRule="exact"/>
              <w:rPr>
                <w:sz w:val="20"/>
                <w:szCs w:val="20"/>
                <w:color w:val="auto"/>
              </w:rPr>
            </w:pPr>
            <w:r>
              <w:rPr>
                <w:rFonts w:ascii="Arial" w:cs="Arial" w:eastAsia="Arial" w:hAnsi="Arial"/>
                <w:sz w:val="16"/>
                <w:szCs w:val="16"/>
                <w:color w:val="auto"/>
              </w:rPr>
              <w:t>Impairment</w:t>
            </w:r>
          </w:p>
        </w:tc>
        <w:tc>
          <w:tcPr>
            <w:tcW w:w="7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3,403</w:t>
            </w:r>
          </w:p>
        </w:tc>
        <w:tc>
          <w:tcPr>
            <w:tcW w:w="1120" w:type="dxa"/>
            <w:vAlign w:val="bottom"/>
            <w:gridSpan w:val="2"/>
            <w:vMerge w:val="restart"/>
            <w:shd w:val="clear" w:color="auto" w:fill="CCEEFF"/>
          </w:tcPr>
          <w:p>
            <w:pPr>
              <w:jc w:val="right"/>
              <w:ind w:right="93"/>
              <w:spacing w:after="0"/>
              <w:rPr>
                <w:sz w:val="20"/>
                <w:szCs w:val="20"/>
                <w:color w:val="auto"/>
              </w:rPr>
            </w:pPr>
            <w:r>
              <w:rPr>
                <w:rFonts w:ascii="Arial" w:cs="Arial" w:eastAsia="Arial" w:hAnsi="Arial"/>
                <w:sz w:val="16"/>
                <w:szCs w:val="16"/>
                <w:color w:val="auto"/>
              </w:rPr>
              <w:t>(100)</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3,403</w:t>
            </w:r>
          </w:p>
        </w:tc>
        <w:tc>
          <w:tcPr>
            <w:tcW w:w="1080" w:type="dxa"/>
            <w:vAlign w:val="bottom"/>
            <w:gridSpan w:val="2"/>
            <w:vMerge w:val="restart"/>
            <w:shd w:val="clear" w:color="auto" w:fill="CCEEFF"/>
          </w:tcPr>
          <w:p>
            <w:pPr>
              <w:jc w:val="right"/>
              <w:ind w:right="86"/>
              <w:spacing w:after="0"/>
              <w:rPr>
                <w:sz w:val="20"/>
                <w:szCs w:val="20"/>
                <w:color w:val="auto"/>
              </w:rPr>
            </w:pPr>
            <w:r>
              <w:rPr>
                <w:rFonts w:ascii="Arial" w:cs="Arial" w:eastAsia="Arial" w:hAnsi="Arial"/>
                <w:sz w:val="16"/>
                <w:szCs w:val="16"/>
                <w:color w:val="auto"/>
              </w:rPr>
              <w:t>(100)</w:t>
            </w: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expense</w:t>
            </w:r>
          </w:p>
        </w:tc>
        <w:tc>
          <w:tcPr>
            <w:tcW w:w="7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580" w:type="dxa"/>
            <w:vAlign w:val="bottom"/>
          </w:tcPr>
          <w:p>
            <w:pPr>
              <w:ind w:left="680"/>
              <w:spacing w:after="0" w:line="160" w:lineRule="exact"/>
              <w:rPr>
                <w:sz w:val="20"/>
                <w:szCs w:val="20"/>
                <w:color w:val="auto"/>
              </w:rPr>
            </w:pPr>
            <w:r>
              <w:rPr>
                <w:rFonts w:ascii="Arial" w:cs="Arial" w:eastAsia="Arial" w:hAnsi="Arial"/>
                <w:sz w:val="16"/>
                <w:szCs w:val="16"/>
                <w:color w:val="auto"/>
              </w:rPr>
              <w:t>(Gain) loss</w:t>
            </w: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580" w:type="dxa"/>
            <w:vAlign w:val="bottom"/>
          </w:tcPr>
          <w:p>
            <w:pPr>
              <w:ind w:left="220"/>
              <w:spacing w:after="0" w:line="157" w:lineRule="exact"/>
              <w:rPr>
                <w:sz w:val="20"/>
                <w:szCs w:val="20"/>
                <w:color w:val="auto"/>
              </w:rPr>
            </w:pPr>
            <w:r>
              <w:rPr>
                <w:rFonts w:ascii="Arial" w:cs="Arial" w:eastAsia="Arial" w:hAnsi="Arial"/>
                <w:sz w:val="16"/>
                <w:szCs w:val="16"/>
                <w:color w:val="auto"/>
                <w:w w:val="97"/>
              </w:rPr>
              <w:t>on foreign currency</w:t>
            </w:r>
          </w:p>
        </w:tc>
        <w:tc>
          <w:tcPr>
            <w:tcW w:w="70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419</w:t>
            </w:r>
          </w:p>
        </w:tc>
        <w:tc>
          <w:tcPr>
            <w:tcW w:w="1120" w:type="dxa"/>
            <w:vAlign w:val="bottom"/>
            <w:gridSpan w:val="2"/>
            <w:vMerge w:val="restart"/>
          </w:tcPr>
          <w:p>
            <w:pPr>
              <w:jc w:val="right"/>
              <w:ind w:right="93"/>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(1,196)</w:t>
            </w:r>
          </w:p>
        </w:tc>
        <w:tc>
          <w:tcPr>
            <w:tcW w:w="1080" w:type="dxa"/>
            <w:vAlign w:val="bottom"/>
            <w:gridSpan w:val="2"/>
            <w:vMerge w:val="restart"/>
          </w:tcPr>
          <w:p>
            <w:pPr>
              <w:jc w:val="right"/>
              <w:ind w:right="86"/>
              <w:spacing w:after="0"/>
              <w:rPr>
                <w:sz w:val="20"/>
                <w:szCs w:val="20"/>
                <w:color w:val="auto"/>
              </w:rPr>
            </w:pPr>
            <w:r>
              <w:rPr>
                <w:rFonts w:ascii="Arial" w:cs="Arial" w:eastAsia="Arial" w:hAnsi="Arial"/>
                <w:sz w:val="16"/>
                <w:szCs w:val="16"/>
                <w:color w:val="auto"/>
              </w:rPr>
              <w:t>(100)</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20"/>
              <w:spacing w:after="0"/>
              <w:rPr>
                <w:sz w:val="20"/>
                <w:szCs w:val="20"/>
                <w:color w:val="auto"/>
              </w:rPr>
            </w:pPr>
            <w:r>
              <w:rPr>
                <w:rFonts w:ascii="Arial" w:cs="Arial" w:eastAsia="Arial" w:hAnsi="Arial"/>
                <w:sz w:val="16"/>
                <w:szCs w:val="16"/>
                <w:color w:val="auto"/>
              </w:rPr>
              <w:t>transactions</w:t>
            </w:r>
          </w:p>
        </w:tc>
        <w:tc>
          <w:tcPr>
            <w:tcW w:w="7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580" w:type="dxa"/>
            <w:vAlign w:val="bottom"/>
            <w:tcBorders>
              <w:top w:val="single" w:sz="8" w:color="CCEEFF"/>
            </w:tcBorders>
            <w:shd w:val="clear" w:color="auto" w:fill="CCEEFF"/>
          </w:tcPr>
          <w:p>
            <w:pPr>
              <w:ind w:left="920"/>
              <w:spacing w:after="0" w:line="143" w:lineRule="exact"/>
              <w:rPr>
                <w:sz w:val="20"/>
                <w:szCs w:val="20"/>
                <w:color w:val="auto"/>
              </w:rPr>
            </w:pPr>
            <w:r>
              <w:rPr>
                <w:rFonts w:ascii="Arial" w:cs="Arial" w:eastAsia="Arial" w:hAnsi="Arial"/>
                <w:sz w:val="16"/>
                <w:szCs w:val="16"/>
                <w:color w:val="auto"/>
              </w:rPr>
              <w:t>Total</w:t>
            </w:r>
          </w:p>
        </w:tc>
        <w:tc>
          <w:tcPr>
            <w:tcW w:w="7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15,816</w:t>
            </w: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19,497</w:t>
            </w:r>
          </w:p>
        </w:tc>
        <w:tc>
          <w:tcPr>
            <w:tcW w:w="1120" w:type="dxa"/>
            <w:vAlign w:val="bottom"/>
            <w:tcBorders>
              <w:top w:val="single" w:sz="8" w:color="CCEEFF"/>
            </w:tcBorders>
            <w:gridSpan w:val="2"/>
            <w:vMerge w:val="restart"/>
            <w:shd w:val="clear" w:color="auto" w:fill="CCEEFF"/>
          </w:tcPr>
          <w:p>
            <w:pPr>
              <w:jc w:val="right"/>
              <w:ind w:right="93"/>
              <w:spacing w:after="0"/>
              <w:rPr>
                <w:sz w:val="20"/>
                <w:szCs w:val="20"/>
                <w:color w:val="auto"/>
              </w:rPr>
            </w:pPr>
            <w:r>
              <w:rPr>
                <w:rFonts w:ascii="Arial" w:cs="Arial" w:eastAsia="Arial" w:hAnsi="Arial"/>
                <w:sz w:val="16"/>
                <w:szCs w:val="16"/>
                <w:color w:val="auto"/>
              </w:rPr>
              <w:t>(19)</w:t>
            </w:r>
          </w:p>
        </w:tc>
        <w:tc>
          <w:tcPr>
            <w:tcW w:w="4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50,072</w:t>
            </w: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53,759</w:t>
            </w:r>
          </w:p>
        </w:tc>
        <w:tc>
          <w:tcPr>
            <w:tcW w:w="1080" w:type="dxa"/>
            <w:vAlign w:val="bottom"/>
            <w:tcBorders>
              <w:top w:val="single" w:sz="8" w:color="CCEEFF"/>
            </w:tcBorders>
            <w:gridSpan w:val="2"/>
            <w:vMerge w:val="restart"/>
            <w:shd w:val="clear" w:color="auto" w:fill="CCEEFF"/>
          </w:tcPr>
          <w:p>
            <w:pPr>
              <w:jc w:val="right"/>
              <w:ind w:right="86"/>
              <w:spacing w:after="0"/>
              <w:rPr>
                <w:sz w:val="20"/>
                <w:szCs w:val="20"/>
                <w:color w:val="auto"/>
              </w:rPr>
            </w:pPr>
            <w:r>
              <w:rPr>
                <w:rFonts w:ascii="Arial" w:cs="Arial" w:eastAsia="Arial" w:hAnsi="Arial"/>
                <w:sz w:val="16"/>
                <w:szCs w:val="16"/>
                <w:color w:val="auto"/>
              </w:rPr>
              <w:t>(7)</w:t>
            </w:r>
          </w:p>
        </w:tc>
        <w:tc>
          <w:tcPr>
            <w:tcW w:w="4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5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expenses</w:t>
            </w:r>
          </w:p>
        </w:tc>
        <w:tc>
          <w:tcPr>
            <w:tcW w:w="7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580" w:type="dxa"/>
            <w:vAlign w:val="bottom"/>
          </w:tcPr>
          <w:p>
            <w:pPr>
              <w:ind w:left="500"/>
              <w:spacing w:after="0" w:line="137" w:lineRule="exact"/>
              <w:rPr>
                <w:sz w:val="20"/>
                <w:szCs w:val="20"/>
                <w:color w:val="auto"/>
              </w:rPr>
            </w:pPr>
            <w:r>
              <w:rPr>
                <w:rFonts w:ascii="Arial" w:cs="Arial" w:eastAsia="Arial" w:hAnsi="Arial"/>
                <w:sz w:val="15"/>
                <w:szCs w:val="15"/>
                <w:b w:val="1"/>
                <w:bCs w:val="1"/>
                <w:color w:val="auto"/>
              </w:rPr>
              <w:t>Net operating</w:t>
            </w:r>
          </w:p>
        </w:tc>
        <w:tc>
          <w:tcPr>
            <w:tcW w:w="700" w:type="dxa"/>
            <w:vAlign w:val="bottom"/>
          </w:tcPr>
          <w:p>
            <w:pPr>
              <w:spacing w:after="0"/>
              <w:rPr>
                <w:sz w:val="11"/>
                <w:szCs w:val="11"/>
                <w:color w:val="auto"/>
              </w:rPr>
            </w:pPr>
          </w:p>
        </w:tc>
        <w:tc>
          <w:tcPr>
            <w:tcW w:w="840" w:type="dxa"/>
            <w:vAlign w:val="bottom"/>
            <w:vMerge w:val="restart"/>
          </w:tcPr>
          <w:p>
            <w:pPr>
              <w:jc w:val="right"/>
              <w:ind w:right="2"/>
              <w:spacing w:after="0"/>
              <w:rPr>
                <w:sz w:val="20"/>
                <w:szCs w:val="20"/>
                <w:color w:val="auto"/>
              </w:rPr>
            </w:pPr>
            <w:r>
              <w:rPr>
                <w:rFonts w:ascii="Arial" w:cs="Arial" w:eastAsia="Arial" w:hAnsi="Arial"/>
                <w:sz w:val="16"/>
                <w:szCs w:val="16"/>
                <w:color w:val="auto"/>
              </w:rPr>
              <w:t>2,044</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(4,043)</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jc w:val="right"/>
              <w:ind w:right="2"/>
              <w:spacing w:after="0"/>
              <w:rPr>
                <w:sz w:val="20"/>
                <w:szCs w:val="20"/>
                <w:color w:val="auto"/>
              </w:rPr>
            </w:pPr>
            <w:r>
              <w:rPr>
                <w:rFonts w:ascii="Arial" w:cs="Arial" w:eastAsia="Arial" w:hAnsi="Arial"/>
                <w:sz w:val="16"/>
                <w:szCs w:val="16"/>
                <w:color w:val="auto"/>
              </w:rPr>
              <w:t>3,591</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(5,761)</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15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income (loss)</w:t>
            </w:r>
          </w:p>
        </w:tc>
        <w:tc>
          <w:tcPr>
            <w:tcW w:w="7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580" w:type="dxa"/>
            <w:vAlign w:val="bottom"/>
            <w:shd w:val="clear" w:color="auto" w:fill="CCEEFF"/>
          </w:tcPr>
          <w:p>
            <w:pPr>
              <w:ind w:left="680"/>
              <w:spacing w:after="0" w:line="142" w:lineRule="exact"/>
              <w:rPr>
                <w:sz w:val="20"/>
                <w:szCs w:val="20"/>
                <w:color w:val="auto"/>
              </w:rPr>
            </w:pPr>
            <w:r>
              <w:rPr>
                <w:rFonts w:ascii="Arial" w:cs="Arial" w:eastAsia="Arial" w:hAnsi="Arial"/>
                <w:sz w:val="16"/>
                <w:szCs w:val="16"/>
                <w:color w:val="auto"/>
              </w:rPr>
              <w:t>Realized</w:t>
            </w: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580" w:type="dxa"/>
            <w:vAlign w:val="bottom"/>
            <w:shd w:val="clear" w:color="auto" w:fill="CCEEFF"/>
          </w:tcPr>
          <w:p>
            <w:pPr>
              <w:ind w:left="220"/>
              <w:spacing w:after="0" w:line="157" w:lineRule="exact"/>
              <w:rPr>
                <w:sz w:val="20"/>
                <w:szCs w:val="20"/>
                <w:color w:val="auto"/>
              </w:rPr>
            </w:pPr>
            <w:r>
              <w:rPr>
                <w:rFonts w:ascii="Arial" w:cs="Arial" w:eastAsia="Arial" w:hAnsi="Arial"/>
                <w:sz w:val="16"/>
                <w:szCs w:val="16"/>
                <w:color w:val="auto"/>
              </w:rPr>
              <w:t>gains on private</w:t>
            </w:r>
          </w:p>
        </w:tc>
        <w:tc>
          <w:tcPr>
            <w:tcW w:w="7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7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8,371</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6"/>
        </w:trPr>
        <w:tc>
          <w:tcPr>
            <w:tcW w:w="1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w:t>
            </w:r>
          </w:p>
        </w:tc>
        <w:tc>
          <w:tcPr>
            <w:tcW w:w="7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580" w:type="dxa"/>
            <w:vAlign w:val="bottom"/>
          </w:tcPr>
          <w:p>
            <w:pPr>
              <w:ind w:left="680"/>
              <w:spacing w:after="0" w:line="160" w:lineRule="exact"/>
              <w:rPr>
                <w:sz w:val="20"/>
                <w:szCs w:val="20"/>
                <w:color w:val="auto"/>
              </w:rPr>
            </w:pPr>
            <w:r>
              <w:rPr>
                <w:rFonts w:ascii="Arial" w:cs="Arial" w:eastAsia="Arial" w:hAnsi="Arial"/>
                <w:sz w:val="16"/>
                <w:szCs w:val="16"/>
                <w:color w:val="auto"/>
              </w:rPr>
              <w:t>Net change</w:t>
            </w: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580" w:type="dxa"/>
            <w:vAlign w:val="bottom"/>
          </w:tcPr>
          <w:p>
            <w:pPr>
              <w:ind w:left="220"/>
              <w:spacing w:after="0" w:line="157" w:lineRule="exact"/>
              <w:rPr>
                <w:sz w:val="20"/>
                <w:szCs w:val="20"/>
                <w:color w:val="auto"/>
              </w:rPr>
            </w:pPr>
            <w:r>
              <w:rPr>
                <w:rFonts w:ascii="Arial" w:cs="Arial" w:eastAsia="Arial" w:hAnsi="Arial"/>
                <w:sz w:val="16"/>
                <w:szCs w:val="16"/>
                <w:color w:val="auto"/>
              </w:rPr>
              <w:t>in unrealized</w:t>
            </w: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580" w:type="dxa"/>
            <w:vAlign w:val="bottom"/>
          </w:tcPr>
          <w:p>
            <w:pPr>
              <w:ind w:left="220"/>
              <w:spacing w:after="0" w:line="157" w:lineRule="exact"/>
              <w:rPr>
                <w:sz w:val="20"/>
                <w:szCs w:val="20"/>
                <w:color w:val="auto"/>
              </w:rPr>
            </w:pPr>
            <w:r>
              <w:rPr>
                <w:rFonts w:ascii="Arial" w:cs="Arial" w:eastAsia="Arial" w:hAnsi="Arial"/>
                <w:sz w:val="16"/>
                <w:szCs w:val="16"/>
                <w:color w:val="auto"/>
              </w:rPr>
              <w:t>appreciation</w:t>
            </w: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580" w:type="dxa"/>
            <w:vAlign w:val="bottom"/>
          </w:tcPr>
          <w:p>
            <w:pPr>
              <w:ind w:left="220"/>
              <w:spacing w:after="0" w:line="157" w:lineRule="exact"/>
              <w:rPr>
                <w:sz w:val="20"/>
                <w:szCs w:val="20"/>
                <w:color w:val="auto"/>
              </w:rPr>
            </w:pPr>
            <w:r>
              <w:rPr>
                <w:rFonts w:ascii="Arial" w:cs="Arial" w:eastAsia="Arial" w:hAnsi="Arial"/>
                <w:sz w:val="16"/>
                <w:szCs w:val="16"/>
                <w:color w:val="auto"/>
              </w:rPr>
              <w:t>(depreciation) on</w:t>
            </w:r>
          </w:p>
        </w:tc>
        <w:tc>
          <w:tcPr>
            <w:tcW w:w="7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(73)</w:t>
            </w:r>
          </w:p>
        </w:tc>
        <w:tc>
          <w:tcPr>
            <w:tcW w:w="1120" w:type="dxa"/>
            <w:vAlign w:val="bottom"/>
            <w:gridSpan w:val="2"/>
            <w:vMerge w:val="restart"/>
          </w:tcPr>
          <w:p>
            <w:pPr>
              <w:jc w:val="right"/>
              <w:ind w:right="93"/>
              <w:spacing w:after="0"/>
              <w:rPr>
                <w:sz w:val="20"/>
                <w:szCs w:val="20"/>
                <w:color w:val="auto"/>
              </w:rPr>
            </w:pPr>
            <w:r>
              <w:rPr>
                <w:rFonts w:ascii="Arial" w:cs="Arial" w:eastAsia="Arial" w:hAnsi="Arial"/>
                <w:sz w:val="16"/>
                <w:szCs w:val="16"/>
                <w:color w:val="auto"/>
              </w:rPr>
              <w:t>(82)</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(2,124)</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(909)</w:t>
            </w:r>
          </w:p>
        </w:tc>
        <w:tc>
          <w:tcPr>
            <w:tcW w:w="1080" w:type="dxa"/>
            <w:vAlign w:val="bottom"/>
            <w:gridSpan w:val="2"/>
            <w:vMerge w:val="restart"/>
          </w:tcPr>
          <w:p>
            <w:pPr>
              <w:jc w:val="right"/>
              <w:ind w:right="126"/>
              <w:spacing w:after="0"/>
              <w:rPr>
                <w:sz w:val="20"/>
                <w:szCs w:val="20"/>
                <w:color w:val="auto"/>
              </w:rPr>
            </w:pPr>
            <w:r>
              <w:rPr>
                <w:rFonts w:ascii="Arial" w:cs="Arial" w:eastAsia="Arial" w:hAnsi="Arial"/>
                <w:sz w:val="16"/>
                <w:szCs w:val="16"/>
                <w:color w:val="auto"/>
              </w:rPr>
              <w:t>134</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20"/>
              <w:spacing w:after="0"/>
              <w:rPr>
                <w:sz w:val="20"/>
                <w:szCs w:val="20"/>
                <w:color w:val="auto"/>
              </w:rPr>
            </w:pPr>
            <w:r>
              <w:rPr>
                <w:rFonts w:ascii="Arial" w:cs="Arial" w:eastAsia="Arial" w:hAnsi="Arial"/>
                <w:sz w:val="16"/>
                <w:szCs w:val="16"/>
                <w:color w:val="auto"/>
                <w:w w:val="97"/>
              </w:rPr>
              <w:t>private investments</w:t>
            </w:r>
          </w:p>
        </w:tc>
        <w:tc>
          <w:tcPr>
            <w:tcW w:w="7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580" w:type="dxa"/>
            <w:vAlign w:val="bottom"/>
            <w:shd w:val="clear" w:color="auto" w:fill="CCEEFF"/>
          </w:tcPr>
          <w:p>
            <w:pPr>
              <w:ind w:left="680"/>
              <w:spacing w:after="0" w:line="163" w:lineRule="exact"/>
              <w:rPr>
                <w:sz w:val="20"/>
                <w:szCs w:val="20"/>
                <w:color w:val="auto"/>
              </w:rPr>
            </w:pPr>
            <w:r>
              <w:rPr>
                <w:rFonts w:ascii="Arial" w:cs="Arial" w:eastAsia="Arial" w:hAnsi="Arial"/>
                <w:sz w:val="16"/>
                <w:szCs w:val="16"/>
                <w:color w:val="auto"/>
              </w:rPr>
              <w:t>Investment</w:t>
            </w:r>
          </w:p>
        </w:tc>
        <w:tc>
          <w:tcPr>
            <w:tcW w:w="7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131</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120" w:type="dxa"/>
            <w:vAlign w:val="bottom"/>
            <w:gridSpan w:val="2"/>
            <w:vMerge w:val="restart"/>
            <w:shd w:val="clear" w:color="auto" w:fill="CCEEFF"/>
          </w:tcPr>
          <w:p>
            <w:pPr>
              <w:jc w:val="right"/>
              <w:ind w:right="93"/>
              <w:spacing w:after="0"/>
              <w:rPr>
                <w:sz w:val="20"/>
                <w:szCs w:val="20"/>
                <w:color w:val="auto"/>
              </w:rPr>
            </w:pPr>
            <w:r>
              <w:rPr>
                <w:rFonts w:ascii="Arial" w:cs="Arial" w:eastAsia="Arial" w:hAnsi="Arial"/>
                <w:sz w:val="16"/>
                <w:szCs w:val="16"/>
                <w:color w:val="auto"/>
              </w:rPr>
              <w:t>(405)</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562</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625</w:t>
            </w:r>
          </w:p>
        </w:tc>
        <w:tc>
          <w:tcPr>
            <w:tcW w:w="1080" w:type="dxa"/>
            <w:vAlign w:val="bottom"/>
            <w:gridSpan w:val="2"/>
            <w:vMerge w:val="restart"/>
            <w:shd w:val="clear" w:color="auto" w:fill="CCEEFF"/>
          </w:tcPr>
          <w:p>
            <w:pPr>
              <w:jc w:val="right"/>
              <w:ind w:right="86"/>
              <w:spacing w:after="0"/>
              <w:rPr>
                <w:sz w:val="20"/>
                <w:szCs w:val="20"/>
                <w:color w:val="auto"/>
              </w:rPr>
            </w:pPr>
            <w:r>
              <w:rPr>
                <w:rFonts w:ascii="Arial" w:cs="Arial" w:eastAsia="Arial" w:hAnsi="Arial"/>
                <w:sz w:val="16"/>
                <w:szCs w:val="16"/>
                <w:color w:val="auto"/>
              </w:rPr>
              <w:t>(10)</w:t>
            </w: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w:t>
            </w:r>
          </w:p>
        </w:tc>
        <w:tc>
          <w:tcPr>
            <w:tcW w:w="7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80" w:type="dxa"/>
            <w:vAlign w:val="bottom"/>
          </w:tcPr>
          <w:p>
            <w:pPr>
              <w:ind w:left="680"/>
              <w:spacing w:after="0"/>
              <w:rPr>
                <w:sz w:val="20"/>
                <w:szCs w:val="20"/>
                <w:color w:val="auto"/>
              </w:rPr>
            </w:pPr>
            <w:r>
              <w:rPr>
                <w:rFonts w:ascii="Arial" w:cs="Arial" w:eastAsia="Arial" w:hAnsi="Arial"/>
                <w:sz w:val="16"/>
                <w:szCs w:val="16"/>
                <w:color w:val="auto"/>
                <w:w w:val="91"/>
              </w:rPr>
              <w:t>Other income</w:t>
            </w:r>
          </w:p>
        </w:tc>
        <w:tc>
          <w:tcPr>
            <w:tcW w:w="700" w:type="dxa"/>
            <w:vAlign w:val="bottom"/>
          </w:tcPr>
          <w:p>
            <w:pPr>
              <w:spacing w:after="0"/>
              <w:rPr>
                <w:sz w:val="17"/>
                <w:szCs w:val="17"/>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198</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w:t>
            </w:r>
          </w:p>
        </w:tc>
        <w:tc>
          <w:tcPr>
            <w:tcW w:w="1120" w:type="dxa"/>
            <w:vAlign w:val="bottom"/>
            <w:gridSpan w:val="2"/>
          </w:tcPr>
          <w:p>
            <w:pPr>
              <w:jc w:val="right"/>
              <w:ind w:right="133"/>
              <w:spacing w:after="0"/>
              <w:rPr>
                <w:sz w:val="20"/>
                <w:szCs w:val="20"/>
                <w:color w:val="auto"/>
              </w:rPr>
            </w:pPr>
            <w:r>
              <w:rPr>
                <w:rFonts w:ascii="Arial" w:cs="Arial" w:eastAsia="Arial" w:hAnsi="Arial"/>
                <w:sz w:val="16"/>
                <w:szCs w:val="16"/>
                <w:color w:val="auto"/>
              </w:rPr>
              <w:t>482</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390</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102</w:t>
            </w:r>
          </w:p>
        </w:tc>
        <w:tc>
          <w:tcPr>
            <w:tcW w:w="1080" w:type="dxa"/>
            <w:vAlign w:val="bottom"/>
            <w:gridSpan w:val="2"/>
          </w:tcPr>
          <w:p>
            <w:pPr>
              <w:jc w:val="right"/>
              <w:ind w:right="126"/>
              <w:spacing w:after="0"/>
              <w:rPr>
                <w:sz w:val="20"/>
                <w:szCs w:val="20"/>
                <w:color w:val="auto"/>
              </w:rPr>
            </w:pPr>
            <w:r>
              <w:rPr>
                <w:rFonts w:ascii="Arial" w:cs="Arial" w:eastAsia="Arial" w:hAnsi="Arial"/>
                <w:sz w:val="16"/>
                <w:szCs w:val="16"/>
                <w:color w:val="auto"/>
              </w:rPr>
              <w:t>282</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580" w:type="dxa"/>
            <w:vAlign w:val="bottom"/>
            <w:shd w:val="clear" w:color="auto" w:fill="CCEEFF"/>
          </w:tcPr>
          <w:p>
            <w:pPr>
              <w:ind w:left="680"/>
              <w:spacing w:after="0" w:line="163" w:lineRule="exact"/>
              <w:rPr>
                <w:sz w:val="20"/>
                <w:szCs w:val="20"/>
                <w:color w:val="auto"/>
              </w:rPr>
            </w:pPr>
            <w:r>
              <w:rPr>
                <w:rFonts w:ascii="Arial" w:cs="Arial" w:eastAsia="Arial" w:hAnsi="Arial"/>
                <w:sz w:val="16"/>
                <w:szCs w:val="16"/>
                <w:color w:val="auto"/>
              </w:rPr>
              <w:t>Foreign</w:t>
            </w:r>
          </w:p>
        </w:tc>
        <w:tc>
          <w:tcPr>
            <w:tcW w:w="7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580" w:type="dxa"/>
            <w:vAlign w:val="bottom"/>
            <w:shd w:val="clear" w:color="auto" w:fill="CCEEFF"/>
          </w:tcPr>
          <w:p>
            <w:pPr>
              <w:ind w:left="220"/>
              <w:spacing w:after="0" w:line="157" w:lineRule="exact"/>
              <w:rPr>
                <w:sz w:val="20"/>
                <w:szCs w:val="20"/>
                <w:color w:val="auto"/>
              </w:rPr>
            </w:pPr>
            <w:r>
              <w:rPr>
                <w:rFonts w:ascii="Arial" w:cs="Arial" w:eastAsia="Arial" w:hAnsi="Arial"/>
                <w:sz w:val="16"/>
                <w:szCs w:val="16"/>
                <w:color w:val="auto"/>
                <w:w w:val="95"/>
              </w:rPr>
              <w:t>currency translation</w:t>
            </w:r>
          </w:p>
        </w:tc>
        <w:tc>
          <w:tcPr>
            <w:tcW w:w="7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580" w:type="dxa"/>
            <w:vAlign w:val="bottom"/>
            <w:shd w:val="clear" w:color="auto" w:fill="CCEEFF"/>
          </w:tcPr>
          <w:p>
            <w:pPr>
              <w:ind w:left="220"/>
              <w:spacing w:after="0" w:line="157" w:lineRule="exact"/>
              <w:rPr>
                <w:sz w:val="20"/>
                <w:szCs w:val="20"/>
                <w:color w:val="auto"/>
              </w:rPr>
            </w:pPr>
            <w:r>
              <w:rPr>
                <w:rFonts w:ascii="Arial" w:cs="Arial" w:eastAsia="Arial" w:hAnsi="Arial"/>
                <w:sz w:val="16"/>
                <w:szCs w:val="16"/>
                <w:color w:val="auto"/>
              </w:rPr>
              <w:t>adjustments to net</w:t>
            </w:r>
          </w:p>
        </w:tc>
        <w:tc>
          <w:tcPr>
            <w:tcW w:w="7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580" w:type="dxa"/>
            <w:vAlign w:val="bottom"/>
            <w:shd w:val="clear" w:color="auto" w:fill="CCEEFF"/>
          </w:tcPr>
          <w:p>
            <w:pPr>
              <w:ind w:left="220"/>
              <w:spacing w:after="0" w:line="157" w:lineRule="exact"/>
              <w:rPr>
                <w:sz w:val="20"/>
                <w:szCs w:val="20"/>
                <w:color w:val="auto"/>
              </w:rPr>
            </w:pPr>
            <w:r>
              <w:rPr>
                <w:rFonts w:ascii="Arial" w:cs="Arial" w:eastAsia="Arial" w:hAnsi="Arial"/>
                <w:sz w:val="16"/>
                <w:szCs w:val="16"/>
                <w:color w:val="auto"/>
                <w:w w:val="99"/>
              </w:rPr>
              <w:t>income (loss) upon</w:t>
            </w:r>
          </w:p>
        </w:tc>
        <w:tc>
          <w:tcPr>
            <w:tcW w:w="7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580" w:type="dxa"/>
            <w:vAlign w:val="bottom"/>
            <w:shd w:val="clear" w:color="auto" w:fill="CCEEFF"/>
          </w:tcPr>
          <w:p>
            <w:pPr>
              <w:ind w:left="220"/>
              <w:spacing w:after="0" w:line="157" w:lineRule="exact"/>
              <w:rPr>
                <w:sz w:val="20"/>
                <w:szCs w:val="20"/>
                <w:color w:val="auto"/>
              </w:rPr>
            </w:pPr>
            <w:r>
              <w:rPr>
                <w:rFonts w:ascii="Arial" w:cs="Arial" w:eastAsia="Arial" w:hAnsi="Arial"/>
                <w:sz w:val="16"/>
                <w:szCs w:val="16"/>
                <w:color w:val="auto"/>
              </w:rPr>
              <w:t>liquidation of a</w:t>
            </w:r>
          </w:p>
        </w:tc>
        <w:tc>
          <w:tcPr>
            <w:tcW w:w="7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(4,193)</w:t>
            </w:r>
          </w:p>
        </w:tc>
        <w:tc>
          <w:tcPr>
            <w:tcW w:w="1120" w:type="dxa"/>
            <w:vAlign w:val="bottom"/>
            <w:gridSpan w:val="2"/>
            <w:vMerge w:val="restart"/>
            <w:shd w:val="clear" w:color="auto" w:fill="CCEEFF"/>
          </w:tcPr>
          <w:p>
            <w:pPr>
              <w:jc w:val="right"/>
              <w:ind w:right="93"/>
              <w:spacing w:after="0"/>
              <w:rPr>
                <w:sz w:val="20"/>
                <w:szCs w:val="20"/>
                <w:color w:val="auto"/>
              </w:rPr>
            </w:pPr>
            <w:r>
              <w:rPr>
                <w:rFonts w:ascii="Arial" w:cs="Arial" w:eastAsia="Arial" w:hAnsi="Arial"/>
                <w:sz w:val="16"/>
                <w:szCs w:val="16"/>
                <w:color w:val="auto"/>
              </w:rPr>
              <w:t>(100)</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(4,193)</w:t>
            </w:r>
          </w:p>
        </w:tc>
        <w:tc>
          <w:tcPr>
            <w:tcW w:w="1080" w:type="dxa"/>
            <w:vAlign w:val="bottom"/>
            <w:gridSpan w:val="2"/>
            <w:vMerge w:val="restart"/>
            <w:shd w:val="clear" w:color="auto" w:fill="CCEEFF"/>
          </w:tcPr>
          <w:p>
            <w:pPr>
              <w:jc w:val="right"/>
              <w:ind w:right="86"/>
              <w:spacing w:after="0"/>
              <w:rPr>
                <w:sz w:val="20"/>
                <w:szCs w:val="20"/>
                <w:color w:val="auto"/>
              </w:rPr>
            </w:pPr>
            <w:r>
              <w:rPr>
                <w:rFonts w:ascii="Arial" w:cs="Arial" w:eastAsia="Arial" w:hAnsi="Arial"/>
                <w:sz w:val="16"/>
                <w:szCs w:val="16"/>
                <w:color w:val="auto"/>
              </w:rPr>
              <w:t>(100)</w:t>
            </w: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subsidiary</w:t>
            </w:r>
          </w:p>
        </w:tc>
        <w:tc>
          <w:tcPr>
            <w:tcW w:w="7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580" w:type="dxa"/>
            <w:vAlign w:val="bottom"/>
          </w:tcPr>
          <w:p>
            <w:pPr>
              <w:ind w:left="500"/>
              <w:spacing w:after="0" w:line="137" w:lineRule="exact"/>
              <w:rPr>
                <w:sz w:val="20"/>
                <w:szCs w:val="20"/>
                <w:color w:val="auto"/>
              </w:rPr>
            </w:pPr>
            <w:r>
              <w:rPr>
                <w:rFonts w:ascii="Arial" w:cs="Arial" w:eastAsia="Arial" w:hAnsi="Arial"/>
                <w:sz w:val="15"/>
                <w:szCs w:val="15"/>
                <w:b w:val="1"/>
                <w:bCs w:val="1"/>
                <w:color w:val="auto"/>
              </w:rPr>
              <w:t>Income (loss)</w:t>
            </w:r>
          </w:p>
        </w:tc>
        <w:tc>
          <w:tcPr>
            <w:tcW w:w="7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color w:val="auto"/>
              </w:rPr>
              <w:t>2,360</w:t>
            </w: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(8,318)</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color w:val="auto"/>
              </w:rPr>
              <w:t>10,790</w:t>
            </w:r>
          </w:p>
        </w:tc>
        <w:tc>
          <w:tcPr>
            <w:tcW w:w="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(10,136)</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15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w w:val="99"/>
              </w:rPr>
              <w:t>before income taxes</w:t>
            </w:r>
          </w:p>
        </w:tc>
        <w:tc>
          <w:tcPr>
            <w:tcW w:w="7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580" w:type="dxa"/>
            <w:vAlign w:val="bottom"/>
            <w:shd w:val="clear" w:color="auto" w:fill="CCEEFF"/>
          </w:tcPr>
          <w:p>
            <w:pPr>
              <w:ind w:left="500"/>
              <w:spacing w:after="0" w:line="142" w:lineRule="exact"/>
              <w:rPr>
                <w:sz w:val="20"/>
                <w:szCs w:val="20"/>
                <w:color w:val="auto"/>
              </w:rPr>
            </w:pPr>
            <w:r>
              <w:rPr>
                <w:rFonts w:ascii="Arial" w:cs="Arial" w:eastAsia="Arial" w:hAnsi="Arial"/>
                <w:sz w:val="16"/>
                <w:szCs w:val="16"/>
                <w:color w:val="auto"/>
              </w:rPr>
              <w:t>Income tax</w:t>
            </w:r>
          </w:p>
        </w:tc>
        <w:tc>
          <w:tcPr>
            <w:tcW w:w="7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481</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1,971</w:t>
            </w:r>
          </w:p>
        </w:tc>
        <w:tc>
          <w:tcPr>
            <w:tcW w:w="1120" w:type="dxa"/>
            <w:vAlign w:val="bottom"/>
            <w:gridSpan w:val="2"/>
            <w:vMerge w:val="restart"/>
            <w:shd w:val="clear" w:color="auto" w:fill="CCEEFF"/>
          </w:tcPr>
          <w:p>
            <w:pPr>
              <w:jc w:val="right"/>
              <w:ind w:right="93"/>
              <w:spacing w:after="0"/>
              <w:rPr>
                <w:sz w:val="20"/>
                <w:szCs w:val="20"/>
                <w:color w:val="auto"/>
              </w:rPr>
            </w:pPr>
            <w:r>
              <w:rPr>
                <w:rFonts w:ascii="Arial" w:cs="Arial" w:eastAsia="Arial" w:hAnsi="Arial"/>
                <w:sz w:val="16"/>
                <w:szCs w:val="16"/>
                <w:color w:val="auto"/>
              </w:rPr>
              <w:t>(76)</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3,840</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1,626</w:t>
            </w:r>
          </w:p>
        </w:tc>
        <w:tc>
          <w:tcPr>
            <w:tcW w:w="1080" w:type="dxa"/>
            <w:vAlign w:val="bottom"/>
            <w:gridSpan w:val="2"/>
            <w:vMerge w:val="restart"/>
            <w:shd w:val="clear" w:color="auto" w:fill="CCEEFF"/>
          </w:tcPr>
          <w:p>
            <w:pPr>
              <w:jc w:val="right"/>
              <w:ind w:right="126"/>
              <w:spacing w:after="0"/>
              <w:rPr>
                <w:sz w:val="20"/>
                <w:szCs w:val="20"/>
                <w:color w:val="auto"/>
              </w:rPr>
            </w:pPr>
            <w:r>
              <w:rPr>
                <w:rFonts w:ascii="Arial" w:cs="Arial" w:eastAsia="Arial" w:hAnsi="Arial"/>
                <w:sz w:val="16"/>
                <w:szCs w:val="16"/>
                <w:color w:val="auto"/>
              </w:rPr>
              <w:t>136</w:t>
            </w: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w:t>
            </w:r>
          </w:p>
        </w:tc>
        <w:tc>
          <w:tcPr>
            <w:tcW w:w="7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580" w:type="dxa"/>
            <w:vAlign w:val="bottom"/>
          </w:tcPr>
          <w:p>
            <w:pPr>
              <w:ind w:left="500"/>
              <w:spacing w:after="0" w:line="137" w:lineRule="exact"/>
              <w:rPr>
                <w:sz w:val="20"/>
                <w:szCs w:val="20"/>
                <w:color w:val="auto"/>
              </w:rPr>
            </w:pPr>
            <w:r>
              <w:rPr>
                <w:rFonts w:ascii="Arial" w:cs="Arial" w:eastAsia="Arial" w:hAnsi="Arial"/>
                <w:sz w:val="15"/>
                <w:szCs w:val="15"/>
                <w:b w:val="1"/>
                <w:bCs w:val="1"/>
                <w:color w:val="auto"/>
              </w:rPr>
              <w:t>Net income</w:t>
            </w:r>
          </w:p>
        </w:tc>
        <w:tc>
          <w:tcPr>
            <w:tcW w:w="700" w:type="dxa"/>
            <w:vAlign w:val="bottom"/>
            <w:vMerge w:val="restart"/>
          </w:tcPr>
          <w:p>
            <w:pPr>
              <w:jc w:val="right"/>
              <w:ind w:right="62"/>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2"/>
              <w:spacing w:after="0"/>
              <w:rPr>
                <w:sz w:val="20"/>
                <w:szCs w:val="20"/>
                <w:color w:val="auto"/>
              </w:rPr>
            </w:pPr>
            <w:r>
              <w:rPr>
                <w:rFonts w:ascii="Arial" w:cs="Arial" w:eastAsia="Arial" w:hAnsi="Arial"/>
                <w:sz w:val="16"/>
                <w:szCs w:val="16"/>
                <w:color w:val="auto"/>
              </w:rPr>
              <w:t>1,879</w:t>
            </w:r>
          </w:p>
        </w:tc>
        <w:tc>
          <w:tcPr>
            <w:tcW w:w="80" w:type="dxa"/>
            <w:vAlign w:val="bottom"/>
          </w:tcPr>
          <w:p>
            <w:pPr>
              <w:spacing w:after="0"/>
              <w:rPr>
                <w:sz w:val="11"/>
                <w:szCs w:val="11"/>
                <w:color w:val="auto"/>
              </w:rPr>
            </w:pPr>
          </w:p>
        </w:tc>
        <w:tc>
          <w:tcPr>
            <w:tcW w:w="780" w:type="dxa"/>
            <w:vAlign w:val="bottom"/>
            <w:vMerge w:val="restart"/>
          </w:tcPr>
          <w:p>
            <w:pPr>
              <w:jc w:val="right"/>
              <w:ind w:right="142"/>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(10,289)</w:t>
            </w:r>
          </w:p>
        </w:tc>
        <w:tc>
          <w:tcPr>
            <w:tcW w:w="1120" w:type="dxa"/>
            <w:vAlign w:val="bottom"/>
            <w:gridSpan w:val="2"/>
            <w:vMerge w:val="restart"/>
          </w:tcPr>
          <w:p>
            <w:pPr>
              <w:jc w:val="right"/>
              <w:ind w:right="93"/>
              <w:spacing w:after="0"/>
              <w:rPr>
                <w:sz w:val="20"/>
                <w:szCs w:val="20"/>
                <w:color w:val="auto"/>
              </w:rPr>
            </w:pPr>
            <w:r>
              <w:rPr>
                <w:rFonts w:ascii="Arial" w:cs="Arial" w:eastAsia="Arial" w:hAnsi="Arial"/>
                <w:sz w:val="16"/>
                <w:szCs w:val="16"/>
                <w:color w:val="auto"/>
              </w:rPr>
              <w:t>(118)</w:t>
            </w: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1"/>
                <w:szCs w:val="11"/>
                <w:color w:val="auto"/>
              </w:rPr>
            </w:pPr>
          </w:p>
        </w:tc>
        <w:tc>
          <w:tcPr>
            <w:tcW w:w="700" w:type="dxa"/>
            <w:vAlign w:val="bottom"/>
            <w:vMerge w:val="restart"/>
          </w:tcPr>
          <w:p>
            <w:pPr>
              <w:jc w:val="right"/>
              <w:ind w:right="62"/>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2"/>
              <w:spacing w:after="0"/>
              <w:rPr>
                <w:sz w:val="20"/>
                <w:szCs w:val="20"/>
                <w:color w:val="auto"/>
              </w:rPr>
            </w:pPr>
            <w:r>
              <w:rPr>
                <w:rFonts w:ascii="Arial" w:cs="Arial" w:eastAsia="Arial" w:hAnsi="Arial"/>
                <w:sz w:val="16"/>
                <w:szCs w:val="16"/>
                <w:color w:val="auto"/>
              </w:rPr>
              <w:t>6,950</w:t>
            </w:r>
          </w:p>
        </w:tc>
        <w:tc>
          <w:tcPr>
            <w:tcW w:w="80" w:type="dxa"/>
            <w:vAlign w:val="bottom"/>
          </w:tcPr>
          <w:p>
            <w:pPr>
              <w:spacing w:after="0"/>
              <w:rPr>
                <w:sz w:val="11"/>
                <w:szCs w:val="11"/>
                <w:color w:val="auto"/>
              </w:rPr>
            </w:pPr>
          </w:p>
        </w:tc>
        <w:tc>
          <w:tcPr>
            <w:tcW w:w="880" w:type="dxa"/>
            <w:vAlign w:val="bottom"/>
            <w:vMerge w:val="restart"/>
          </w:tcPr>
          <w:p>
            <w:pPr>
              <w:jc w:val="right"/>
              <w:ind w:right="222"/>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(11,762)</w:t>
            </w:r>
          </w:p>
        </w:tc>
        <w:tc>
          <w:tcPr>
            <w:tcW w:w="1080" w:type="dxa"/>
            <w:vAlign w:val="bottom"/>
            <w:gridSpan w:val="2"/>
            <w:vMerge w:val="restart"/>
          </w:tcPr>
          <w:p>
            <w:pPr>
              <w:jc w:val="right"/>
              <w:ind w:right="86"/>
              <w:spacing w:after="0"/>
              <w:rPr>
                <w:sz w:val="20"/>
                <w:szCs w:val="20"/>
                <w:color w:val="auto"/>
              </w:rPr>
            </w:pPr>
            <w:r>
              <w:rPr>
                <w:rFonts w:ascii="Arial" w:cs="Arial" w:eastAsia="Arial" w:hAnsi="Arial"/>
                <w:sz w:val="16"/>
                <w:szCs w:val="16"/>
                <w:color w:val="auto"/>
              </w:rPr>
              <w:t>(159)</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5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(loss)</w:t>
            </w:r>
          </w:p>
        </w:tc>
        <w:tc>
          <w:tcPr>
            <w:tcW w:w="70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w:t>
      </w:r>
    </w:p>
    <w:p>
      <w:pPr>
        <w:spacing w:after="0" w:line="48"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4"/>
          <w:szCs w:val="14"/>
          <w:color w:val="auto"/>
        </w:rPr>
        <w:t>NM</w:t>
      </w:r>
      <w:r>
        <w:rPr>
          <w:sz w:val="20"/>
          <w:szCs w:val="20"/>
          <w:color w:val="auto"/>
        </w:rPr>
        <w:tab/>
      </w:r>
      <w:r>
        <w:rPr>
          <w:rFonts w:ascii="Arial" w:cs="Arial" w:eastAsia="Arial" w:hAnsi="Arial"/>
          <w:sz w:val="13"/>
          <w:szCs w:val="13"/>
          <w:color w:val="auto"/>
        </w:rPr>
        <w:t>Not meaningful</w:t>
      </w:r>
    </w:p>
    <w:p>
      <w:pPr>
        <w:sectPr>
          <w:pgSz w:w="11900" w:h="16838" w:orient="portrait"/>
          <w:cols w:equalWidth="0" w:num="1">
            <w:col w:w="11240"/>
          </w:cols>
          <w:pgMar w:left="320" w:top="1171" w:right="339" w:bottom="243"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Three months ended September 30, 2021 compared to three months ended September 30, 2020</w:t>
      </w:r>
    </w:p>
    <w:p>
      <w:pPr>
        <w:sectPr>
          <w:pgSz w:w="11900" w:h="16838" w:orient="portrait"/>
          <w:cols w:equalWidth="0" w:num="1">
            <w:col w:w="11240"/>
          </w:cols>
          <w:pgMar w:left="320" w:top="1171" w:right="339" w:bottom="243"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77470</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9019"/>
          </w:cols>
          <w:pgMar w:left="1440" w:top="245" w:right="1440" w:bottom="1440" w:gutter="0" w:footer="0" w:header="0"/>
        </w:sectPr>
      </w:pPr>
    </w:p>
    <w:bookmarkStart w:id="24" w:name="page25"/>
    <w:bookmarkEnd w:id="24"/>
    <w:p>
      <w:pPr>
        <w:ind w:right="100" w:firstLine="470"/>
        <w:spacing w:after="0" w:line="296" w:lineRule="auto"/>
        <w:rPr>
          <w:sz w:val="20"/>
          <w:szCs w:val="20"/>
          <w:color w:val="auto"/>
        </w:rPr>
      </w:pPr>
      <w:r>
        <w:rPr>
          <w:rFonts w:ascii="Arial" w:cs="Arial" w:eastAsia="Arial" w:hAnsi="Arial"/>
          <w:sz w:val="16"/>
          <w:szCs w:val="16"/>
          <w:i w:val="1"/>
          <w:iCs w:val="1"/>
          <w:color w:val="auto"/>
        </w:rPr>
        <w:t>Total revenues</w:t>
      </w:r>
      <w:r>
        <w:rPr>
          <w:rFonts w:ascii="Arial" w:cs="Arial" w:eastAsia="Arial" w:hAnsi="Arial"/>
          <w:sz w:val="16"/>
          <w:szCs w:val="16"/>
          <w:color w:val="auto"/>
        </w:rPr>
        <w:t>. Total revenues increased $2.4 million, or 16%, to $17.9 million for the three months ended September 30, 2021 compared with $15.5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September 30, 2020. Asset-based advisory fees increased $3.2 million, or 36%, and Trust fees increased $0.2 million, or 3%. Performance-based advisory fees decreased $0.7 million due to lower realization of performance fees in the three months ended September 30, 2021.</w:t>
      </w:r>
    </w:p>
    <w:p>
      <w:pPr>
        <w:spacing w:after="0" w:line="102" w:lineRule="exact"/>
        <w:rPr>
          <w:sz w:val="20"/>
          <w:szCs w:val="20"/>
          <w:color w:val="auto"/>
        </w:rPr>
      </w:pPr>
    </w:p>
    <w:p>
      <w:pPr>
        <w:jc w:val="both"/>
        <w:ind w:right="220" w:firstLine="470"/>
        <w:spacing w:after="0" w:line="358" w:lineRule="auto"/>
        <w:rPr>
          <w:sz w:val="20"/>
          <w:szCs w:val="20"/>
          <w:color w:val="auto"/>
        </w:rPr>
      </w:pPr>
      <w:r>
        <w:rPr>
          <w:rFonts w:ascii="Arial" w:cs="Arial" w:eastAsia="Arial" w:hAnsi="Arial"/>
          <w:sz w:val="15"/>
          <w:szCs w:val="15"/>
          <w:i w:val="1"/>
          <w:iCs w:val="1"/>
          <w:color w:val="auto"/>
        </w:rPr>
        <w:t xml:space="preserve">Westwood mutual funds expense. </w:t>
      </w:r>
      <w:r>
        <w:rPr>
          <w:rFonts w:ascii="Arial" w:cs="Arial" w:eastAsia="Arial" w:hAnsi="Arial"/>
          <w:sz w:val="15"/>
          <w:szCs w:val="15"/>
          <w:color w:val="auto"/>
        </w:rPr>
        <w:t>Mutual fund expenses increased $0.4 million, or 93%, to $0.8 million for the three months ended September 30, 2021</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with $0.4 million for the three months ended September 30, 2020 primarily due to one-time costs related to a change in mutual fund administration.</w:t>
      </w:r>
    </w:p>
    <w:p>
      <w:pPr>
        <w:spacing w:after="0" w:line="60" w:lineRule="exact"/>
        <w:rPr>
          <w:sz w:val="20"/>
          <w:szCs w:val="20"/>
          <w:color w:val="auto"/>
        </w:rPr>
      </w:pPr>
    </w:p>
    <w:p>
      <w:pPr>
        <w:jc w:val="both"/>
        <w:ind w:right="360" w:firstLine="470"/>
        <w:spacing w:after="0" w:line="272" w:lineRule="auto"/>
        <w:rPr>
          <w:sz w:val="20"/>
          <w:szCs w:val="20"/>
          <w:color w:val="auto"/>
        </w:rPr>
      </w:pPr>
      <w:r>
        <w:rPr>
          <w:rFonts w:ascii="Arial" w:cs="Arial" w:eastAsia="Arial" w:hAnsi="Arial"/>
          <w:sz w:val="17"/>
          <w:szCs w:val="17"/>
          <w:i w:val="1"/>
          <w:iCs w:val="1"/>
          <w:color w:val="auto"/>
        </w:rPr>
        <w:t xml:space="preserve">General and administrative expense. </w:t>
      </w:r>
      <w:r>
        <w:rPr>
          <w:rFonts w:ascii="Arial" w:cs="Arial" w:eastAsia="Arial" w:hAnsi="Arial"/>
          <w:sz w:val="17"/>
          <w:szCs w:val="17"/>
          <w:color w:val="auto"/>
        </w:rPr>
        <w:t>General and administrative expenses decreased $0.5 million, or 24%, to $1.8 million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2021 compared with $2.3 million for the three months ended September 30, 2020 primarily due to lower rent expense following recent office space reductions.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5"/>
          <w:szCs w:val="15"/>
          <w:i w:val="1"/>
          <w:iCs w:val="1"/>
          <w:color w:val="auto"/>
        </w:rPr>
        <w:t xml:space="preserve">Impairment expense. </w:t>
      </w:r>
      <w:r>
        <w:rPr>
          <w:rFonts w:ascii="Arial" w:cs="Arial" w:eastAsia="Arial" w:hAnsi="Arial"/>
          <w:sz w:val="15"/>
          <w:szCs w:val="15"/>
          <w:color w:val="auto"/>
        </w:rPr>
        <w:t>We recorded $3.4 million of impairment expense related to our Advisory segment goodwill in the three months ended September 30,</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2020.</w:t>
      </w:r>
    </w:p>
    <w:p>
      <w:pPr>
        <w:spacing w:after="0" w:line="158" w:lineRule="exact"/>
        <w:rPr>
          <w:sz w:val="20"/>
          <w:szCs w:val="20"/>
          <w:color w:val="auto"/>
        </w:rPr>
      </w:pPr>
    </w:p>
    <w:p>
      <w:pPr>
        <w:ind w:right="260" w:firstLine="470"/>
        <w:spacing w:after="0" w:line="287" w:lineRule="auto"/>
        <w:rPr>
          <w:sz w:val="20"/>
          <w:szCs w:val="20"/>
          <w:color w:val="auto"/>
        </w:rPr>
      </w:pPr>
      <w:r>
        <w:rPr>
          <w:rFonts w:ascii="Arial" w:cs="Arial" w:eastAsia="Arial" w:hAnsi="Arial"/>
          <w:sz w:val="17"/>
          <w:szCs w:val="17"/>
          <w:i w:val="1"/>
          <w:iCs w:val="1"/>
          <w:color w:val="auto"/>
        </w:rPr>
        <w:t xml:space="preserve">(Gain) loss on foreign currency transactions. </w:t>
      </w:r>
      <w:r>
        <w:rPr>
          <w:rFonts w:ascii="Arial" w:cs="Arial" w:eastAsia="Arial" w:hAnsi="Arial"/>
          <w:sz w:val="17"/>
          <w:szCs w:val="17"/>
          <w:color w:val="auto"/>
        </w:rPr>
        <w:t>We recorded foreign currency gains and losses as a result of fluctuations in the Canadian dollar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rate prior to closing Westwood International Advisors in 2020.</w:t>
      </w:r>
    </w:p>
    <w:p>
      <w:pPr>
        <w:spacing w:after="0" w:line="55" w:lineRule="exact"/>
        <w:rPr>
          <w:sz w:val="20"/>
          <w:szCs w:val="20"/>
          <w:color w:val="auto"/>
        </w:rPr>
      </w:pPr>
    </w:p>
    <w:p>
      <w:pPr>
        <w:ind w:right="560" w:firstLine="470"/>
        <w:spacing w:after="0" w:line="272" w:lineRule="auto"/>
        <w:rPr>
          <w:sz w:val="20"/>
          <w:szCs w:val="20"/>
          <w:color w:val="auto"/>
        </w:rPr>
      </w:pPr>
      <w:r>
        <w:rPr>
          <w:rFonts w:ascii="Arial" w:cs="Arial" w:eastAsia="Arial" w:hAnsi="Arial"/>
          <w:sz w:val="17"/>
          <w:szCs w:val="17"/>
          <w:i w:val="1"/>
          <w:iCs w:val="1"/>
          <w:color w:val="auto"/>
        </w:rPr>
        <w:t xml:space="preserve">Foreign currency translation adjustments to net income (loss) upon liquidation of a foreign subsidiary. </w:t>
      </w:r>
      <w:r>
        <w:rPr>
          <w:rFonts w:ascii="Arial" w:cs="Arial" w:eastAsia="Arial" w:hAnsi="Arial"/>
          <w:sz w:val="17"/>
          <w:szCs w:val="17"/>
          <w:color w:val="auto"/>
        </w:rPr>
        <w:t>We recorded a cumulative foreign currency</w:t>
      </w:r>
      <w:r>
        <w:rPr>
          <w:rFonts w:ascii="Arial" w:cs="Arial" w:eastAsia="Arial" w:hAnsi="Arial"/>
          <w:sz w:val="17"/>
          <w:szCs w:val="17"/>
          <w:i w:val="1"/>
          <w:iCs w:val="1"/>
          <w:color w:val="auto"/>
        </w:rPr>
        <w:t xml:space="preserve"> </w:t>
      </w:r>
      <w:r>
        <w:rPr>
          <w:rFonts w:ascii="Arial" w:cs="Arial" w:eastAsia="Arial" w:hAnsi="Arial"/>
          <w:sz w:val="17"/>
          <w:szCs w:val="17"/>
          <w:color w:val="auto"/>
        </w:rPr>
        <w:t>translation adjustment of $4.2 million following the substantially completed liquidation of Westwood International Advisors in the three months ended September 30, 2020.</w:t>
      </w:r>
    </w:p>
    <w:p>
      <w:pPr>
        <w:spacing w:after="0" w:line="66" w:lineRule="exact"/>
        <w:rPr>
          <w:sz w:val="20"/>
          <w:szCs w:val="20"/>
          <w:color w:val="auto"/>
        </w:rPr>
      </w:pPr>
    </w:p>
    <w:p>
      <w:pPr>
        <w:ind w:firstLine="470"/>
        <w:spacing w:after="0" w:line="262"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Our effective tax rate of 20.4% differed from the 21% statutory rate for the third quarter of 2021 primarily due to permanent</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differences between book and tax restricted stock expense based on a decrease in our stock price between the restricted stock grant and vesting dates. Our effective tax rate of (23.7)% differed from the 21% statutory rate for the third quarter of 2020 due to permanent differences between book and tax restricted stock expense based on a decrease in our stock price between the restricted stock grant and vesting date, and a 5% incremental Canadian withholding tax (net of U.S. tax federal deduction) incurred on repatriated funds following closure of our Westwood International Advisors office in the third quarter of 2020, partially offset by the enactment of the CARES Act which lowered our effective tax rate.</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Nine months ended September 30, 2021 compared to nine months ended September 30, 2020</w:t>
      </w:r>
    </w:p>
    <w:p>
      <w:pPr>
        <w:spacing w:after="0" w:line="170" w:lineRule="exact"/>
        <w:rPr>
          <w:sz w:val="20"/>
          <w:szCs w:val="20"/>
          <w:color w:val="auto"/>
        </w:rPr>
      </w:pPr>
    </w:p>
    <w:p>
      <w:pPr>
        <w:ind w:right="80" w:firstLine="470"/>
        <w:spacing w:after="0" w:line="266" w:lineRule="auto"/>
        <w:rPr>
          <w:sz w:val="20"/>
          <w:szCs w:val="20"/>
          <w:color w:val="auto"/>
        </w:rPr>
      </w:pPr>
      <w:r>
        <w:rPr>
          <w:rFonts w:ascii="Arial" w:cs="Arial" w:eastAsia="Arial" w:hAnsi="Arial"/>
          <w:sz w:val="17"/>
          <w:szCs w:val="17"/>
          <w:i w:val="1"/>
          <w:iCs w:val="1"/>
          <w:color w:val="auto"/>
        </w:rPr>
        <w:t>Total revenues</w:t>
      </w:r>
      <w:r>
        <w:rPr>
          <w:rFonts w:ascii="Arial" w:cs="Arial" w:eastAsia="Arial" w:hAnsi="Arial"/>
          <w:sz w:val="17"/>
          <w:szCs w:val="17"/>
          <w:color w:val="auto"/>
        </w:rPr>
        <w:t>. Total revenues increased $5.7 million, or 12%, to $53.7 million for the nine months ended September 30, 2021 compared with $48.0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nine months ended September 30, 2020. Asset-based advisory fees increased $4.5 million, or 16% and Trust fees increased $0.8 million, or 5%, both primarily due to higher average AUM. Performance-based advisory fees increased $0.6 million, or 39%, primarily due to higher realization of performance fees in the nine months ended September 30, 2021.</w:t>
      </w:r>
    </w:p>
    <w:p>
      <w:pPr>
        <w:spacing w:after="0" w:line="125" w:lineRule="exact"/>
        <w:rPr>
          <w:sz w:val="20"/>
          <w:szCs w:val="20"/>
          <w:color w:val="auto"/>
        </w:rPr>
      </w:pPr>
    </w:p>
    <w:p>
      <w:pPr>
        <w:jc w:val="both"/>
        <w:ind w:right="400" w:firstLine="470"/>
        <w:spacing w:after="0" w:line="272" w:lineRule="auto"/>
        <w:rPr>
          <w:sz w:val="20"/>
          <w:szCs w:val="20"/>
          <w:color w:val="auto"/>
        </w:rPr>
      </w:pPr>
      <w:r>
        <w:rPr>
          <w:rFonts w:ascii="Arial" w:cs="Arial" w:eastAsia="Arial" w:hAnsi="Arial"/>
          <w:sz w:val="17"/>
          <w:szCs w:val="17"/>
          <w:i w:val="1"/>
          <w:iCs w:val="1"/>
          <w:color w:val="auto"/>
        </w:rPr>
        <w:t xml:space="preserve">General and administrative expense. </w:t>
      </w:r>
      <w:r>
        <w:rPr>
          <w:rFonts w:ascii="Arial" w:cs="Arial" w:eastAsia="Arial" w:hAnsi="Arial"/>
          <w:sz w:val="17"/>
          <w:szCs w:val="17"/>
          <w:color w:val="auto"/>
        </w:rPr>
        <w:t>General and administrative expenses decreased $0.9 million, or 14%, to $5.9 million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2021 compared with $6.8 million for the nine months ended September 30, 2020 primarily due to lower rent expense following recent office space reductions.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5"/>
          <w:szCs w:val="15"/>
          <w:i w:val="1"/>
          <w:iCs w:val="1"/>
          <w:color w:val="auto"/>
        </w:rPr>
        <w:t xml:space="preserve">Impairment expense. </w:t>
      </w:r>
      <w:r>
        <w:rPr>
          <w:rFonts w:ascii="Arial" w:cs="Arial" w:eastAsia="Arial" w:hAnsi="Arial"/>
          <w:sz w:val="15"/>
          <w:szCs w:val="15"/>
          <w:color w:val="auto"/>
        </w:rPr>
        <w:t>We recorded $3.4 million of impairment expense related to our Advisory segment goodwill in the nine months ended September 30,</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2020.</w:t>
      </w:r>
    </w:p>
    <w:p>
      <w:pPr>
        <w:spacing w:after="0" w:line="158" w:lineRule="exact"/>
        <w:rPr>
          <w:sz w:val="20"/>
          <w:szCs w:val="20"/>
          <w:color w:val="auto"/>
        </w:rPr>
      </w:pPr>
    </w:p>
    <w:p>
      <w:pPr>
        <w:ind w:right="260" w:firstLine="470"/>
        <w:spacing w:after="0" w:line="287" w:lineRule="auto"/>
        <w:rPr>
          <w:sz w:val="20"/>
          <w:szCs w:val="20"/>
          <w:color w:val="auto"/>
        </w:rPr>
      </w:pPr>
      <w:r>
        <w:rPr>
          <w:rFonts w:ascii="Arial" w:cs="Arial" w:eastAsia="Arial" w:hAnsi="Arial"/>
          <w:sz w:val="17"/>
          <w:szCs w:val="17"/>
          <w:i w:val="1"/>
          <w:iCs w:val="1"/>
          <w:color w:val="auto"/>
        </w:rPr>
        <w:t xml:space="preserve">(Gain) loss on foreign currency transactions. </w:t>
      </w:r>
      <w:r>
        <w:rPr>
          <w:rFonts w:ascii="Arial" w:cs="Arial" w:eastAsia="Arial" w:hAnsi="Arial"/>
          <w:sz w:val="17"/>
          <w:szCs w:val="17"/>
          <w:color w:val="auto"/>
        </w:rPr>
        <w:t>We recorded foreign currency gains and losses as a result of fluctuations in the Canadian dollar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rate, prior to closing Westwood International Advisors in 2020.</w:t>
      </w:r>
    </w:p>
    <w:p>
      <w:pPr>
        <w:spacing w:after="0" w:line="107" w:lineRule="exact"/>
        <w:rPr>
          <w:sz w:val="20"/>
          <w:szCs w:val="20"/>
          <w:color w:val="auto"/>
        </w:rPr>
      </w:pPr>
    </w:p>
    <w:p>
      <w:pPr>
        <w:ind w:right="400" w:firstLine="470"/>
        <w:spacing w:after="0" w:line="287" w:lineRule="auto"/>
        <w:rPr>
          <w:sz w:val="20"/>
          <w:szCs w:val="20"/>
          <w:color w:val="auto"/>
        </w:rPr>
      </w:pPr>
      <w:r>
        <w:rPr>
          <w:rFonts w:ascii="Arial" w:cs="Arial" w:eastAsia="Arial" w:hAnsi="Arial"/>
          <w:sz w:val="17"/>
          <w:szCs w:val="17"/>
          <w:i w:val="1"/>
          <w:iCs w:val="1"/>
          <w:color w:val="auto"/>
        </w:rPr>
        <w:t xml:space="preserve">Realized gains on private investments. </w:t>
      </w:r>
      <w:r>
        <w:rPr>
          <w:rFonts w:ascii="Arial" w:cs="Arial" w:eastAsia="Arial" w:hAnsi="Arial"/>
          <w:sz w:val="17"/>
          <w:szCs w:val="17"/>
          <w:color w:val="auto"/>
        </w:rPr>
        <w:t>We recorded a realized gain of approximately $8.3 million following InvestCloud's recapitalization in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2021.</w:t>
      </w:r>
    </w:p>
    <w:p>
      <w:pPr>
        <w:spacing w:after="0" w:line="107" w:lineRule="exact"/>
        <w:rPr>
          <w:sz w:val="20"/>
          <w:szCs w:val="20"/>
          <w:color w:val="auto"/>
        </w:rPr>
      </w:pPr>
    </w:p>
    <w:p>
      <w:pPr>
        <w:ind w:right="200" w:firstLine="470"/>
        <w:spacing w:after="0" w:line="282"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The effective tax rate of 35.6% for the nine months ended September 30, 2021 differed from the 21% statutory rate for 2021</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permanent differences between book and tax restricted stock expense based on a decrease in our stock price between the restricted stock grant and vesting dates. The effective tax rate for the nine months ended September 30, 2020 differed from the 21% statutory rate for 2020 due to permanent differences between book and tax restricted stock expense based on a decrease in our stock price between the restricted stock grant and vesting date, and a 5% incremental Canadian withholding tax (net of U.S. tax federal deduction) incurred on repatriated funds following closure of our Westwood International Advisors office in the third quarter of 2020, partially offset by the enactment of the CARES Act which lowered our effective tax rate.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71"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u w:val="single" w:color="auto"/>
          <w:color w:val="auto"/>
        </w:rPr>
        <w:t>Supplemental Financial Information</w:t>
      </w:r>
    </w:p>
    <w:p>
      <w:pPr>
        <w:spacing w:after="0" w:line="124" w:lineRule="exact"/>
        <w:rPr>
          <w:sz w:val="20"/>
          <w:szCs w:val="20"/>
          <w:color w:val="auto"/>
        </w:rPr>
      </w:pPr>
    </w:p>
    <w:p>
      <w:pPr>
        <w:ind w:right="200" w:firstLine="470"/>
        <w:spacing w:after="0" w:line="282" w:lineRule="auto"/>
        <w:rPr>
          <w:sz w:val="20"/>
          <w:szCs w:val="20"/>
          <w:color w:val="auto"/>
        </w:rPr>
      </w:pPr>
      <w:r>
        <w:rPr>
          <w:rFonts w:ascii="Arial" w:cs="Arial" w:eastAsia="Arial" w:hAnsi="Arial"/>
          <w:sz w:val="16"/>
          <w:szCs w:val="16"/>
          <w:color w:val="auto"/>
        </w:rPr>
        <w:t>As supplemental information, we are providing non-GAAP performance measures that we refer to as Economic Earnings (Loss) and Economic EPS. We provide these measures in addition to, not as a substitute for, net income (loss) and earnings (loss) per share, which are reported on a GAAP basis. Our management and Board of Directors review Economic Earnings (Loss) and Economic EPS to evaluate our ongoing performance, allocate resources, and review our dividend policy. We believe that these non-GAAP performance measures, while not substitutes for GAAP net income (loss) or earnings (loss)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60" w:lineRule="exact"/>
        <w:rPr>
          <w:sz w:val="20"/>
          <w:szCs w:val="20"/>
          <w:color w:val="auto"/>
        </w:rPr>
      </w:pPr>
    </w:p>
    <w:p>
      <w:pPr>
        <w:ind w:right="180" w:firstLine="470"/>
        <w:spacing w:after="0" w:line="284" w:lineRule="auto"/>
        <w:rPr>
          <w:sz w:val="20"/>
          <w:szCs w:val="20"/>
          <w:color w:val="auto"/>
        </w:rPr>
      </w:pPr>
      <w:r>
        <w:rPr>
          <w:rFonts w:ascii="Arial" w:cs="Arial" w:eastAsia="Arial" w:hAnsi="Arial"/>
          <w:sz w:val="16"/>
          <w:szCs w:val="16"/>
          <w:color w:val="auto"/>
        </w:rPr>
        <w:t>We define Economic Earnings (Loss) as net income (loss) plus non-cash equity-based compensation expense, impairment expense, amortization of intangible assets, currency translation adjustment reclassification and deferred taxes related to goodwill. Although depreciation on fixed assets is a non-cash expense, we do not add it back when calculating Economic Earnings (Loss)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EPS represents Economic Earnings (Loss) divided by diluted weighted average shares outstanding.</w:t>
      </w:r>
    </w:p>
    <w:p>
      <w:pPr>
        <w:spacing w:after="0" w:line="60" w:lineRule="exact"/>
        <w:rPr>
          <w:sz w:val="20"/>
          <w:szCs w:val="20"/>
          <w:color w:val="auto"/>
        </w:rPr>
      </w:pPr>
    </w:p>
    <w:p>
      <w:pPr>
        <w:ind w:right="160" w:firstLine="470"/>
        <w:spacing w:after="0" w:line="287" w:lineRule="auto"/>
        <w:rPr>
          <w:sz w:val="20"/>
          <w:szCs w:val="20"/>
          <w:color w:val="auto"/>
        </w:rPr>
      </w:pPr>
      <w:r>
        <w:rPr>
          <w:rFonts w:ascii="Arial" w:cs="Arial" w:eastAsia="Arial" w:hAnsi="Arial"/>
          <w:sz w:val="17"/>
          <w:szCs w:val="17"/>
          <w:color w:val="auto"/>
        </w:rPr>
        <w:t>The following tables provide a reconciliation of net income (loss) to Economic Earnings (Loss) and Economic Earnings (Loss) by segment (in thousands, except share and per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6"/>
                <w:szCs w:val="16"/>
                <w:b w:val="1"/>
                <w:bCs w:val="1"/>
                <w:color w:val="auto"/>
                <w:w w:val="89"/>
              </w:rPr>
              <w:t>Three Months Ended September 30,</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6"/>
                <w:szCs w:val="16"/>
                <w:b w:val="1"/>
                <w:bCs w:val="1"/>
                <w:color w:val="auto"/>
                <w:w w:val="91"/>
              </w:rPr>
              <w:t>Nine Months Ended September 30,</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5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500" w:type="dxa"/>
            <w:vAlign w:val="bottom"/>
            <w:shd w:val="clear" w:color="auto" w:fill="CCEEFF"/>
          </w:tcPr>
          <w:p>
            <w:pPr>
              <w:ind w:left="500"/>
              <w:spacing w:after="0" w:line="153" w:lineRule="exact"/>
              <w:rPr>
                <w:sz w:val="20"/>
                <w:szCs w:val="20"/>
                <w:color w:val="auto"/>
              </w:rPr>
            </w:pPr>
            <w:r>
              <w:rPr>
                <w:rFonts w:ascii="Arial" w:cs="Arial" w:eastAsia="Arial" w:hAnsi="Arial"/>
                <w:sz w:val="17"/>
                <w:szCs w:val="17"/>
                <w:b w:val="1"/>
                <w:bCs w:val="1"/>
                <w:color w:val="auto"/>
              </w:rPr>
              <w:t>Net income</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1,879</w:t>
            </w:r>
          </w:p>
        </w:tc>
        <w:tc>
          <w:tcPr>
            <w:tcW w:w="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(10,289)</w:t>
            </w:r>
          </w:p>
        </w:tc>
        <w:tc>
          <w:tcPr>
            <w:tcW w:w="1380" w:type="dxa"/>
            <w:vAlign w:val="bottom"/>
            <w:gridSpan w:val="2"/>
            <w:vMerge w:val="restart"/>
            <w:shd w:val="clear" w:color="auto" w:fill="CCEEFF"/>
          </w:tcPr>
          <w:p>
            <w:pPr>
              <w:jc w:val="right"/>
              <w:ind w:right="357"/>
              <w:spacing w:after="0"/>
              <w:rPr>
                <w:sz w:val="20"/>
                <w:szCs w:val="20"/>
                <w:color w:val="auto"/>
              </w:rPr>
            </w:pPr>
            <w:r>
              <w:rPr>
                <w:rFonts w:ascii="Arial" w:cs="Arial" w:eastAsia="Arial" w:hAnsi="Arial"/>
                <w:sz w:val="17"/>
                <w:szCs w:val="17"/>
                <w:color w:val="auto"/>
              </w:rPr>
              <w:t>(118)</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6,950</w:t>
            </w:r>
          </w:p>
        </w:tc>
        <w:tc>
          <w:tcPr>
            <w:tcW w:w="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(11,762)</w:t>
            </w:r>
          </w:p>
        </w:tc>
        <w:tc>
          <w:tcPr>
            <w:tcW w:w="1380" w:type="dxa"/>
            <w:vAlign w:val="bottom"/>
            <w:gridSpan w:val="2"/>
            <w:vMerge w:val="restart"/>
            <w:shd w:val="clear" w:color="auto" w:fill="CCEEFF"/>
          </w:tcPr>
          <w:p>
            <w:pPr>
              <w:jc w:val="right"/>
              <w:ind w:right="337"/>
              <w:spacing w:after="0"/>
              <w:rPr>
                <w:sz w:val="20"/>
                <w:szCs w:val="20"/>
                <w:color w:val="auto"/>
              </w:rPr>
            </w:pPr>
            <w:r>
              <w:rPr>
                <w:rFonts w:ascii="Arial" w:cs="Arial" w:eastAsia="Arial" w:hAnsi="Arial"/>
                <w:sz w:val="17"/>
                <w:szCs w:val="17"/>
                <w:color w:val="auto"/>
              </w:rPr>
              <w:t>(159)</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15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(loss)</w:t>
            </w:r>
          </w:p>
        </w:tc>
        <w:tc>
          <w:tcPr>
            <w:tcW w:w="6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500" w:type="dxa"/>
            <w:vAlign w:val="bottom"/>
          </w:tcPr>
          <w:p>
            <w:pPr>
              <w:ind w:left="500"/>
              <w:spacing w:after="0" w:line="171" w:lineRule="exact"/>
              <w:rPr>
                <w:sz w:val="20"/>
                <w:szCs w:val="20"/>
                <w:color w:val="auto"/>
              </w:rPr>
            </w:pPr>
            <w:r>
              <w:rPr>
                <w:rFonts w:ascii="Arial" w:cs="Arial" w:eastAsia="Arial" w:hAnsi="Arial"/>
                <w:sz w:val="17"/>
                <w:szCs w:val="17"/>
                <w:color w:val="auto"/>
              </w:rPr>
              <w:t>Add: Stock-</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00" w:type="dxa"/>
            <w:vAlign w:val="bottom"/>
          </w:tcPr>
          <w:p>
            <w:pPr>
              <w:ind w:left="20"/>
              <w:spacing w:after="0" w:line="170" w:lineRule="exact"/>
              <w:rPr>
                <w:sz w:val="20"/>
                <w:szCs w:val="20"/>
                <w:color w:val="auto"/>
              </w:rPr>
            </w:pPr>
            <w:r>
              <w:rPr>
                <w:rFonts w:ascii="Arial" w:cs="Arial" w:eastAsia="Arial" w:hAnsi="Arial"/>
                <w:sz w:val="17"/>
                <w:szCs w:val="17"/>
                <w:color w:val="auto"/>
                <w:w w:val="93"/>
              </w:rPr>
              <w:t>based compensation</w:t>
            </w:r>
          </w:p>
        </w:tc>
        <w:tc>
          <w:tcPr>
            <w:tcW w:w="6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1,362</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488</w:t>
            </w:r>
          </w:p>
        </w:tc>
        <w:tc>
          <w:tcPr>
            <w:tcW w:w="1380" w:type="dxa"/>
            <w:vAlign w:val="bottom"/>
            <w:gridSpan w:val="2"/>
            <w:vMerge w:val="restart"/>
          </w:tcPr>
          <w:p>
            <w:pPr>
              <w:jc w:val="right"/>
              <w:ind w:right="397"/>
              <w:spacing w:after="0"/>
              <w:rPr>
                <w:sz w:val="20"/>
                <w:szCs w:val="20"/>
                <w:color w:val="auto"/>
              </w:rPr>
            </w:pPr>
            <w:r>
              <w:rPr>
                <w:rFonts w:ascii="Arial" w:cs="Arial" w:eastAsia="Arial" w:hAnsi="Arial"/>
                <w:sz w:val="17"/>
                <w:szCs w:val="17"/>
                <w:color w:val="auto"/>
              </w:rPr>
              <w:t>179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4,459</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5,409</w:t>
            </w:r>
          </w:p>
        </w:tc>
        <w:tc>
          <w:tcPr>
            <w:tcW w:w="1380" w:type="dxa"/>
            <w:vAlign w:val="bottom"/>
            <w:gridSpan w:val="2"/>
            <w:vMerge w:val="restart"/>
          </w:tcPr>
          <w:p>
            <w:pPr>
              <w:jc w:val="right"/>
              <w:ind w:right="357"/>
              <w:spacing w:after="0"/>
              <w:rPr>
                <w:sz w:val="20"/>
                <w:szCs w:val="20"/>
                <w:color w:val="auto"/>
              </w:rPr>
            </w:pPr>
            <w:r>
              <w:rPr>
                <w:rFonts w:ascii="Arial" w:cs="Arial" w:eastAsia="Arial" w:hAnsi="Arial"/>
                <w:sz w:val="17"/>
                <w:szCs w:val="17"/>
                <w:color w:val="auto"/>
              </w:rPr>
              <w:t>(18)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500" w:type="dxa"/>
            <w:vAlign w:val="bottom"/>
          </w:tcPr>
          <w:p>
            <w:pPr>
              <w:ind w:left="20"/>
              <w:spacing w:after="0"/>
              <w:rPr>
                <w:sz w:val="20"/>
                <w:szCs w:val="20"/>
                <w:color w:val="auto"/>
              </w:rPr>
            </w:pPr>
            <w:r>
              <w:rPr>
                <w:rFonts w:ascii="Arial" w:cs="Arial" w:eastAsia="Arial" w:hAnsi="Arial"/>
                <w:sz w:val="17"/>
                <w:szCs w:val="17"/>
                <w:color w:val="auto"/>
              </w:rPr>
              <w:t>expense</w:t>
            </w:r>
          </w:p>
        </w:tc>
        <w:tc>
          <w:tcPr>
            <w:tcW w:w="6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500" w:type="dxa"/>
            <w:vAlign w:val="bottom"/>
            <w:shd w:val="clear" w:color="auto" w:fill="CCEEFF"/>
          </w:tcPr>
          <w:p>
            <w:pPr>
              <w:ind w:left="500"/>
              <w:spacing w:after="0" w:line="171" w:lineRule="exact"/>
              <w:rPr>
                <w:sz w:val="20"/>
                <w:szCs w:val="20"/>
                <w:color w:val="auto"/>
              </w:rPr>
            </w:pPr>
            <w:r>
              <w:rPr>
                <w:rFonts w:ascii="Arial" w:cs="Arial" w:eastAsia="Arial" w:hAnsi="Arial"/>
                <w:sz w:val="17"/>
                <w:szCs w:val="17"/>
                <w:color w:val="auto"/>
              </w:rPr>
              <w:t>Add:</w:t>
            </w:r>
          </w:p>
        </w:tc>
        <w:tc>
          <w:tcPr>
            <w:tcW w:w="6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3,403</w:t>
            </w:r>
          </w:p>
        </w:tc>
        <w:tc>
          <w:tcPr>
            <w:tcW w:w="1380" w:type="dxa"/>
            <w:vAlign w:val="bottom"/>
            <w:gridSpan w:val="2"/>
            <w:vMerge w:val="restart"/>
            <w:shd w:val="clear" w:color="auto" w:fill="CCEEFF"/>
          </w:tcPr>
          <w:p>
            <w:pPr>
              <w:jc w:val="right"/>
              <w:ind w:right="337"/>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3,403</w:t>
            </w:r>
          </w:p>
        </w:tc>
        <w:tc>
          <w:tcPr>
            <w:tcW w:w="1380" w:type="dxa"/>
            <w:vAlign w:val="bottom"/>
            <w:gridSpan w:val="2"/>
            <w:vMerge w:val="restart"/>
            <w:shd w:val="clear" w:color="auto" w:fill="CCEEFF"/>
          </w:tcPr>
          <w:p>
            <w:pPr>
              <w:jc w:val="right"/>
              <w:ind w:right="337"/>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5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Impairment expense</w:t>
            </w:r>
          </w:p>
        </w:tc>
        <w:tc>
          <w:tcPr>
            <w:tcW w:w="62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500" w:type="dxa"/>
            <w:vAlign w:val="bottom"/>
          </w:tcPr>
          <w:p>
            <w:pPr>
              <w:ind w:left="500"/>
              <w:spacing w:after="0" w:line="171" w:lineRule="exact"/>
              <w:rPr>
                <w:sz w:val="20"/>
                <w:szCs w:val="20"/>
                <w:color w:val="auto"/>
              </w:rPr>
            </w:pPr>
            <w:r>
              <w:rPr>
                <w:rFonts w:ascii="Arial" w:cs="Arial" w:eastAsia="Arial" w:hAnsi="Arial"/>
                <w:sz w:val="17"/>
                <w:szCs w:val="17"/>
                <w:color w:val="auto"/>
              </w:rPr>
              <w:t>Add:</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00" w:type="dxa"/>
            <w:vAlign w:val="bottom"/>
          </w:tcPr>
          <w:p>
            <w:pPr>
              <w:ind w:left="20"/>
              <w:spacing w:after="0" w:line="170" w:lineRule="exact"/>
              <w:rPr>
                <w:sz w:val="20"/>
                <w:szCs w:val="20"/>
                <w:color w:val="auto"/>
              </w:rPr>
            </w:pPr>
            <w:r>
              <w:rPr>
                <w:rFonts w:ascii="Arial" w:cs="Arial" w:eastAsia="Arial" w:hAnsi="Arial"/>
                <w:sz w:val="17"/>
                <w:szCs w:val="17"/>
                <w:color w:val="auto"/>
              </w:rPr>
              <w:t>Intangible</w:t>
            </w:r>
          </w:p>
        </w:tc>
        <w:tc>
          <w:tcPr>
            <w:tcW w:w="6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406</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435</w:t>
            </w:r>
          </w:p>
        </w:tc>
        <w:tc>
          <w:tcPr>
            <w:tcW w:w="1380" w:type="dxa"/>
            <w:vAlign w:val="bottom"/>
            <w:gridSpan w:val="2"/>
            <w:vMerge w:val="restart"/>
          </w:tcPr>
          <w:p>
            <w:pPr>
              <w:jc w:val="right"/>
              <w:ind w:right="357"/>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1,218</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1,293</w:t>
            </w:r>
          </w:p>
        </w:tc>
        <w:tc>
          <w:tcPr>
            <w:tcW w:w="1380" w:type="dxa"/>
            <w:vAlign w:val="bottom"/>
            <w:gridSpan w:val="2"/>
            <w:vMerge w:val="restart"/>
          </w:tcPr>
          <w:p>
            <w:pPr>
              <w:jc w:val="right"/>
              <w:ind w:right="357"/>
              <w:spacing w:after="0"/>
              <w:rPr>
                <w:sz w:val="20"/>
                <w:szCs w:val="20"/>
                <w:color w:val="auto"/>
              </w:rPr>
            </w:pPr>
            <w:r>
              <w:rPr>
                <w:rFonts w:ascii="Arial" w:cs="Arial" w:eastAsia="Arial" w:hAnsi="Arial"/>
                <w:sz w:val="17"/>
                <w:szCs w:val="17"/>
                <w:color w:val="auto"/>
              </w:rPr>
              <w:t>(6)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500" w:type="dxa"/>
            <w:vAlign w:val="bottom"/>
          </w:tcPr>
          <w:p>
            <w:pPr>
              <w:ind w:left="20"/>
              <w:spacing w:after="0"/>
              <w:rPr>
                <w:sz w:val="20"/>
                <w:szCs w:val="20"/>
                <w:color w:val="auto"/>
              </w:rPr>
            </w:pPr>
            <w:r>
              <w:rPr>
                <w:rFonts w:ascii="Arial" w:cs="Arial" w:eastAsia="Arial" w:hAnsi="Arial"/>
                <w:sz w:val="17"/>
                <w:szCs w:val="17"/>
                <w:color w:val="auto"/>
              </w:rPr>
              <w:t>amortization</w:t>
            </w:r>
          </w:p>
        </w:tc>
        <w:tc>
          <w:tcPr>
            <w:tcW w:w="6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500" w:type="dxa"/>
            <w:vAlign w:val="bottom"/>
            <w:shd w:val="clear" w:color="auto" w:fill="CCEEFF"/>
          </w:tcPr>
          <w:p>
            <w:pPr>
              <w:ind w:left="500"/>
              <w:spacing w:after="0" w:line="171" w:lineRule="exact"/>
              <w:rPr>
                <w:sz w:val="20"/>
                <w:szCs w:val="20"/>
                <w:color w:val="auto"/>
              </w:rPr>
            </w:pPr>
            <w:r>
              <w:rPr>
                <w:rFonts w:ascii="Arial" w:cs="Arial" w:eastAsia="Arial" w:hAnsi="Arial"/>
                <w:sz w:val="17"/>
                <w:szCs w:val="17"/>
                <w:color w:val="auto"/>
              </w:rPr>
              <w:t>Add:</w:t>
            </w:r>
          </w:p>
        </w:tc>
        <w:tc>
          <w:tcPr>
            <w:tcW w:w="6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00" w:type="dxa"/>
            <w:vAlign w:val="bottom"/>
            <w:shd w:val="clear" w:color="auto" w:fill="CCEEFF"/>
          </w:tcPr>
          <w:p>
            <w:pPr>
              <w:ind w:left="20"/>
              <w:spacing w:after="0" w:line="170" w:lineRule="exact"/>
              <w:rPr>
                <w:sz w:val="20"/>
                <w:szCs w:val="20"/>
                <w:color w:val="auto"/>
              </w:rPr>
            </w:pPr>
            <w:r>
              <w:rPr>
                <w:rFonts w:ascii="Arial" w:cs="Arial" w:eastAsia="Arial" w:hAnsi="Arial"/>
                <w:sz w:val="17"/>
                <w:szCs w:val="17"/>
                <w:color w:val="auto"/>
                <w:w w:val="95"/>
              </w:rPr>
              <w:t>Currency translation</w:t>
            </w:r>
          </w:p>
        </w:tc>
        <w:tc>
          <w:tcPr>
            <w:tcW w:w="6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00" w:type="dxa"/>
            <w:vAlign w:val="bottom"/>
            <w:shd w:val="clear" w:color="auto" w:fill="CCEEFF"/>
          </w:tcPr>
          <w:p>
            <w:pPr>
              <w:ind w:left="20"/>
              <w:spacing w:after="0" w:line="170" w:lineRule="exact"/>
              <w:rPr>
                <w:sz w:val="20"/>
                <w:szCs w:val="20"/>
                <w:color w:val="auto"/>
              </w:rPr>
            </w:pPr>
            <w:r>
              <w:rPr>
                <w:rFonts w:ascii="Arial" w:cs="Arial" w:eastAsia="Arial" w:hAnsi="Arial"/>
                <w:sz w:val="17"/>
                <w:szCs w:val="17"/>
                <w:color w:val="auto"/>
              </w:rPr>
              <w:t>adjustment</w:t>
            </w:r>
          </w:p>
        </w:tc>
        <w:tc>
          <w:tcPr>
            <w:tcW w:w="6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4,193</w:t>
            </w:r>
          </w:p>
        </w:tc>
        <w:tc>
          <w:tcPr>
            <w:tcW w:w="1380" w:type="dxa"/>
            <w:vAlign w:val="bottom"/>
            <w:gridSpan w:val="2"/>
            <w:vMerge w:val="restart"/>
            <w:shd w:val="clear" w:color="auto" w:fill="CCEEFF"/>
          </w:tcPr>
          <w:p>
            <w:pPr>
              <w:jc w:val="right"/>
              <w:ind w:right="337"/>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4,193</w:t>
            </w:r>
          </w:p>
        </w:tc>
        <w:tc>
          <w:tcPr>
            <w:tcW w:w="1380" w:type="dxa"/>
            <w:vAlign w:val="bottom"/>
            <w:gridSpan w:val="2"/>
            <w:vMerge w:val="restart"/>
            <w:shd w:val="clear" w:color="auto" w:fill="CCEEFF"/>
          </w:tcPr>
          <w:p>
            <w:pPr>
              <w:jc w:val="right"/>
              <w:ind w:right="337"/>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reclassification</w:t>
            </w:r>
          </w:p>
        </w:tc>
        <w:tc>
          <w:tcPr>
            <w:tcW w:w="62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500" w:type="dxa"/>
            <w:vAlign w:val="bottom"/>
          </w:tcPr>
          <w:p>
            <w:pPr>
              <w:ind w:left="500"/>
              <w:spacing w:after="0" w:line="171" w:lineRule="exact"/>
              <w:rPr>
                <w:sz w:val="20"/>
                <w:szCs w:val="20"/>
                <w:color w:val="auto"/>
              </w:rPr>
            </w:pPr>
            <w:r>
              <w:rPr>
                <w:rFonts w:ascii="Arial" w:cs="Arial" w:eastAsia="Arial" w:hAnsi="Arial"/>
                <w:sz w:val="17"/>
                <w:szCs w:val="17"/>
                <w:color w:val="auto"/>
              </w:rPr>
              <w:t>Add: Tax</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00" w:type="dxa"/>
            <w:vAlign w:val="bottom"/>
          </w:tcPr>
          <w:p>
            <w:pPr>
              <w:ind w:left="20"/>
              <w:spacing w:after="0" w:line="170" w:lineRule="exact"/>
              <w:rPr>
                <w:sz w:val="20"/>
                <w:szCs w:val="20"/>
                <w:color w:val="auto"/>
              </w:rPr>
            </w:pPr>
            <w:r>
              <w:rPr>
                <w:rFonts w:ascii="Arial" w:cs="Arial" w:eastAsia="Arial" w:hAnsi="Arial"/>
                <w:sz w:val="17"/>
                <w:szCs w:val="17"/>
                <w:color w:val="auto"/>
              </w:rPr>
              <w:t>benefit from</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00" w:type="dxa"/>
            <w:vAlign w:val="bottom"/>
          </w:tcPr>
          <w:p>
            <w:pPr>
              <w:ind w:left="20"/>
              <w:spacing w:after="0" w:line="170" w:lineRule="exact"/>
              <w:rPr>
                <w:sz w:val="20"/>
                <w:szCs w:val="20"/>
                <w:color w:val="auto"/>
              </w:rPr>
            </w:pPr>
            <w:r>
              <w:rPr>
                <w:rFonts w:ascii="Arial" w:cs="Arial" w:eastAsia="Arial" w:hAnsi="Arial"/>
                <w:sz w:val="17"/>
                <w:szCs w:val="17"/>
                <w:color w:val="auto"/>
              </w:rPr>
              <w:t>goodwill</w:t>
            </w:r>
          </w:p>
        </w:tc>
        <w:tc>
          <w:tcPr>
            <w:tcW w:w="6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59</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59</w:t>
            </w:r>
          </w:p>
        </w:tc>
        <w:tc>
          <w:tcPr>
            <w:tcW w:w="80" w:type="dxa"/>
            <w:vAlign w:val="bottom"/>
          </w:tcPr>
          <w:p>
            <w:pPr>
              <w:spacing w:after="0"/>
              <w:rPr>
                <w:sz w:val="14"/>
                <w:szCs w:val="14"/>
                <w:color w:val="auto"/>
              </w:rPr>
            </w:pPr>
          </w:p>
        </w:tc>
        <w:tc>
          <w:tcPr>
            <w:tcW w:w="1300" w:type="dxa"/>
            <w:vAlign w:val="bottom"/>
            <w:vMerge w:val="restart"/>
          </w:tcPr>
          <w:p>
            <w:pPr>
              <w:jc w:val="right"/>
              <w:ind w:right="397"/>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177</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177</w:t>
            </w:r>
          </w:p>
        </w:tc>
        <w:tc>
          <w:tcPr>
            <w:tcW w:w="80" w:type="dxa"/>
            <w:vAlign w:val="bottom"/>
          </w:tcPr>
          <w:p>
            <w:pPr>
              <w:spacing w:after="0"/>
              <w:rPr>
                <w:sz w:val="14"/>
                <w:szCs w:val="14"/>
                <w:color w:val="auto"/>
              </w:rPr>
            </w:pPr>
          </w:p>
        </w:tc>
        <w:tc>
          <w:tcPr>
            <w:tcW w:w="1300" w:type="dxa"/>
            <w:vAlign w:val="bottom"/>
            <w:vMerge w:val="restart"/>
          </w:tcPr>
          <w:p>
            <w:pPr>
              <w:jc w:val="right"/>
              <w:ind w:right="397"/>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amortization</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1500" w:type="dxa"/>
            <w:vAlign w:val="bottom"/>
            <w:shd w:val="clear" w:color="auto" w:fill="CCEEFF"/>
          </w:tcPr>
          <w:p>
            <w:pPr>
              <w:ind w:left="500"/>
              <w:spacing w:after="0" w:line="150" w:lineRule="exact"/>
              <w:rPr>
                <w:sz w:val="20"/>
                <w:szCs w:val="20"/>
                <w:color w:val="auto"/>
              </w:rPr>
            </w:pPr>
            <w:r>
              <w:rPr>
                <w:rFonts w:ascii="Arial" w:cs="Arial" w:eastAsia="Arial" w:hAnsi="Arial"/>
                <w:sz w:val="17"/>
                <w:szCs w:val="17"/>
                <w:b w:val="1"/>
                <w:bCs w:val="1"/>
                <w:color w:val="auto"/>
              </w:rPr>
              <w:t>Economic</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3,706</w:t>
            </w:r>
          </w:p>
        </w:tc>
        <w:tc>
          <w:tcPr>
            <w:tcW w:w="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(1,711)</w:t>
            </w:r>
          </w:p>
        </w:tc>
        <w:tc>
          <w:tcPr>
            <w:tcW w:w="1380" w:type="dxa"/>
            <w:vAlign w:val="bottom"/>
            <w:gridSpan w:val="2"/>
            <w:vMerge w:val="restart"/>
            <w:shd w:val="clear" w:color="auto" w:fill="CCEEFF"/>
          </w:tcPr>
          <w:p>
            <w:pPr>
              <w:jc w:val="right"/>
              <w:ind w:right="337"/>
              <w:spacing w:after="0"/>
              <w:rPr>
                <w:sz w:val="20"/>
                <w:szCs w:val="20"/>
                <w:color w:val="auto"/>
              </w:rPr>
            </w:pPr>
            <w:r>
              <w:rPr>
                <w:rFonts w:ascii="Arial" w:cs="Arial" w:eastAsia="Arial" w:hAnsi="Arial"/>
                <w:sz w:val="17"/>
                <w:szCs w:val="17"/>
                <w:color w:val="auto"/>
              </w:rPr>
              <w:t>(317)</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12,804</w:t>
            </w:r>
          </w:p>
        </w:tc>
        <w:tc>
          <w:tcPr>
            <w:tcW w:w="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2,713</w:t>
            </w:r>
          </w:p>
        </w:tc>
        <w:tc>
          <w:tcPr>
            <w:tcW w:w="1380" w:type="dxa"/>
            <w:vAlign w:val="bottom"/>
            <w:gridSpan w:val="2"/>
            <w:vMerge w:val="restart"/>
            <w:shd w:val="clear" w:color="auto" w:fill="CCEEFF"/>
          </w:tcPr>
          <w:p>
            <w:pPr>
              <w:jc w:val="right"/>
              <w:ind w:right="397"/>
              <w:spacing w:after="0"/>
              <w:rPr>
                <w:sz w:val="20"/>
                <w:szCs w:val="20"/>
                <w:color w:val="auto"/>
              </w:rPr>
            </w:pPr>
            <w:r>
              <w:rPr>
                <w:rFonts w:ascii="Arial" w:cs="Arial" w:eastAsia="Arial" w:hAnsi="Arial"/>
                <w:sz w:val="17"/>
                <w:szCs w:val="17"/>
                <w:color w:val="auto"/>
              </w:rPr>
              <w:t>372</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Earnings (Loss)</w:t>
            </w: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380" w:type="dxa"/>
            <w:vAlign w:val="bottom"/>
            <w:tcBorders>
              <w:bottom w:val="single" w:sz="8" w:color="CCEEFF"/>
            </w:tcBorders>
            <w:gridSpan w:val="2"/>
            <w:vMerge w:val="continue"/>
            <w:shd w:val="clear" w:color="auto" w:fill="CCEEFF"/>
          </w:tcPr>
          <w:p>
            <w:pPr>
              <w:spacing w:after="0"/>
              <w:rPr>
                <w:sz w:val="18"/>
                <w:szCs w:val="18"/>
                <w:color w:val="auto"/>
              </w:rPr>
            </w:pPr>
          </w:p>
        </w:tc>
        <w:tc>
          <w:tcPr>
            <w:tcW w:w="2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380" w:type="dxa"/>
            <w:vAlign w:val="bottom"/>
            <w:tcBorders>
              <w:bottom w:val="single" w:sz="8" w:color="CCEEFF"/>
            </w:tcBorders>
            <w:gridSpan w:val="2"/>
            <w:vMerge w:val="continue"/>
            <w:shd w:val="clear" w:color="auto" w:fill="CCEEFF"/>
          </w:tcPr>
          <w:p>
            <w:pPr>
              <w:spacing w:after="0"/>
              <w:rPr>
                <w:sz w:val="18"/>
                <w:szCs w:val="18"/>
                <w:color w:val="auto"/>
              </w:rPr>
            </w:pPr>
          </w:p>
        </w:tc>
        <w:tc>
          <w:tcPr>
            <w:tcW w:w="2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500" w:type="dxa"/>
            <w:vAlign w:val="bottom"/>
            <w:shd w:val="clear" w:color="auto" w:fill="CCEEFF"/>
          </w:tcPr>
          <w:p>
            <w:pPr>
              <w:ind w:left="500"/>
              <w:spacing w:after="0" w:line="171" w:lineRule="exact"/>
              <w:rPr>
                <w:sz w:val="20"/>
                <w:szCs w:val="20"/>
                <w:color w:val="auto"/>
              </w:rPr>
            </w:pPr>
            <w:r>
              <w:rPr>
                <w:rFonts w:ascii="Arial" w:cs="Arial" w:eastAsia="Arial" w:hAnsi="Arial"/>
                <w:sz w:val="17"/>
                <w:szCs w:val="17"/>
                <w:color w:val="auto"/>
              </w:rPr>
              <w:t>Diluted</w:t>
            </w:r>
          </w:p>
        </w:tc>
        <w:tc>
          <w:tcPr>
            <w:tcW w:w="6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00" w:type="dxa"/>
            <w:vAlign w:val="bottom"/>
            <w:shd w:val="clear" w:color="auto" w:fill="CCEEFF"/>
          </w:tcPr>
          <w:p>
            <w:pPr>
              <w:ind w:left="20"/>
              <w:spacing w:after="0" w:line="170" w:lineRule="exact"/>
              <w:rPr>
                <w:sz w:val="20"/>
                <w:szCs w:val="20"/>
                <w:color w:val="auto"/>
              </w:rPr>
            </w:pPr>
            <w:r>
              <w:rPr>
                <w:rFonts w:ascii="Arial" w:cs="Arial" w:eastAsia="Arial" w:hAnsi="Arial"/>
                <w:sz w:val="17"/>
                <w:szCs w:val="17"/>
                <w:color w:val="auto"/>
              </w:rPr>
              <w:t>weighted average</w:t>
            </w:r>
          </w:p>
        </w:tc>
        <w:tc>
          <w:tcPr>
            <w:tcW w:w="6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7,956,081</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7,829,478</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7,933,860</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8,040,417</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outstanding</w:t>
            </w:r>
          </w:p>
        </w:tc>
        <w:tc>
          <w:tcPr>
            <w:tcW w:w="6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500" w:type="dxa"/>
            <w:vAlign w:val="bottom"/>
          </w:tcPr>
          <w:p>
            <w:pPr>
              <w:ind w:left="500"/>
              <w:spacing w:after="0" w:line="170" w:lineRule="exact"/>
              <w:rPr>
                <w:sz w:val="20"/>
                <w:szCs w:val="20"/>
                <w:color w:val="auto"/>
              </w:rPr>
            </w:pPr>
            <w:r>
              <w:rPr>
                <w:rFonts w:ascii="Arial" w:cs="Arial" w:eastAsia="Arial" w:hAnsi="Arial"/>
                <w:sz w:val="17"/>
                <w:szCs w:val="17"/>
                <w:b w:val="1"/>
                <w:bCs w:val="1"/>
                <w:color w:val="auto"/>
              </w:rPr>
              <w:t>Economic</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00" w:type="dxa"/>
            <w:vAlign w:val="bottom"/>
          </w:tcPr>
          <w:p>
            <w:pPr>
              <w:ind w:left="20"/>
              <w:spacing w:after="0" w:line="170" w:lineRule="exact"/>
              <w:rPr>
                <w:sz w:val="20"/>
                <w:szCs w:val="20"/>
                <w:color w:val="auto"/>
              </w:rPr>
            </w:pPr>
            <w:r>
              <w:rPr>
                <w:rFonts w:ascii="Arial" w:cs="Arial" w:eastAsia="Arial" w:hAnsi="Arial"/>
                <w:sz w:val="17"/>
                <w:szCs w:val="17"/>
                <w:b w:val="1"/>
                <w:bCs w:val="1"/>
                <w:color w:val="auto"/>
              </w:rPr>
              <w:t>Earnings (Loss)</w:t>
            </w: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0.47</w:t>
            </w:r>
          </w:p>
        </w:tc>
        <w:tc>
          <w:tcPr>
            <w:tcW w:w="80" w:type="dxa"/>
            <w:vAlign w:val="bottom"/>
          </w:tcPr>
          <w:p>
            <w:pPr>
              <w:spacing w:after="0"/>
              <w:rPr>
                <w:sz w:val="14"/>
                <w:szCs w:val="14"/>
                <w:color w:val="auto"/>
              </w:rPr>
            </w:pPr>
          </w:p>
        </w:tc>
        <w:tc>
          <w:tcPr>
            <w:tcW w:w="740" w:type="dxa"/>
            <w:vAlign w:val="bottom"/>
            <w:vMerge w:val="restart"/>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(0.22)</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1.61</w:t>
            </w:r>
          </w:p>
        </w:tc>
        <w:tc>
          <w:tcPr>
            <w:tcW w:w="80" w:type="dxa"/>
            <w:vAlign w:val="bottom"/>
          </w:tcPr>
          <w:p>
            <w:pPr>
              <w:spacing w:after="0"/>
              <w:rPr>
                <w:sz w:val="14"/>
                <w:szCs w:val="14"/>
                <w:color w:val="auto"/>
              </w:rPr>
            </w:pPr>
          </w:p>
        </w:tc>
        <w:tc>
          <w:tcPr>
            <w:tcW w:w="740" w:type="dxa"/>
            <w:vAlign w:val="bottom"/>
            <w:vMerge w:val="restart"/>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0.34</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500" w:type="dxa"/>
            <w:vAlign w:val="bottom"/>
          </w:tcPr>
          <w:p>
            <w:pPr>
              <w:ind w:left="20"/>
              <w:spacing w:after="0"/>
              <w:rPr>
                <w:sz w:val="20"/>
                <w:szCs w:val="20"/>
                <w:color w:val="auto"/>
              </w:rPr>
            </w:pPr>
            <w:r>
              <w:rPr>
                <w:rFonts w:ascii="Arial" w:cs="Arial" w:eastAsia="Arial" w:hAnsi="Arial"/>
                <w:sz w:val="17"/>
                <w:szCs w:val="17"/>
                <w:b w:val="1"/>
                <w:bCs w:val="1"/>
                <w:color w:val="auto"/>
              </w:rPr>
              <w:t>per share</w:t>
            </w:r>
          </w:p>
        </w:tc>
        <w:tc>
          <w:tcPr>
            <w:tcW w:w="62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5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500" w:type="dxa"/>
            <w:vAlign w:val="bottom"/>
          </w:tcPr>
          <w:p>
            <w:pPr>
              <w:ind w:left="500"/>
              <w:spacing w:after="0" w:line="170" w:lineRule="exact"/>
              <w:rPr>
                <w:sz w:val="20"/>
                <w:szCs w:val="20"/>
                <w:color w:val="auto"/>
              </w:rPr>
            </w:pPr>
            <w:r>
              <w:rPr>
                <w:rFonts w:ascii="Arial" w:cs="Arial" w:eastAsia="Arial" w:hAnsi="Arial"/>
                <w:sz w:val="17"/>
                <w:szCs w:val="17"/>
                <w:b w:val="1"/>
                <w:bCs w:val="1"/>
                <w:color w:val="auto"/>
              </w:rPr>
              <w:t>Economic</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00" w:type="dxa"/>
            <w:vAlign w:val="bottom"/>
          </w:tcPr>
          <w:p>
            <w:pPr>
              <w:ind w:left="20"/>
              <w:spacing w:after="0" w:line="170" w:lineRule="exact"/>
              <w:rPr>
                <w:sz w:val="20"/>
                <w:szCs w:val="20"/>
                <w:color w:val="auto"/>
              </w:rPr>
            </w:pPr>
            <w:r>
              <w:rPr>
                <w:rFonts w:ascii="Arial" w:cs="Arial" w:eastAsia="Arial" w:hAnsi="Arial"/>
                <w:sz w:val="17"/>
                <w:szCs w:val="17"/>
                <w:b w:val="1"/>
                <w:bCs w:val="1"/>
                <w:color w:val="auto"/>
                <w:w w:val="95"/>
              </w:rPr>
              <w:t>Earnings (Loss) by</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500" w:type="dxa"/>
            <w:vAlign w:val="bottom"/>
          </w:tcPr>
          <w:p>
            <w:pPr>
              <w:ind w:left="20"/>
              <w:spacing w:after="0"/>
              <w:rPr>
                <w:sz w:val="20"/>
                <w:szCs w:val="20"/>
                <w:color w:val="auto"/>
              </w:rPr>
            </w:pPr>
            <w:r>
              <w:rPr>
                <w:rFonts w:ascii="Arial" w:cs="Arial" w:eastAsia="Arial" w:hAnsi="Arial"/>
                <w:sz w:val="17"/>
                <w:szCs w:val="17"/>
                <w:b w:val="1"/>
                <w:bCs w:val="1"/>
                <w:color w:val="auto"/>
              </w:rPr>
              <w:t>Segment:</w:t>
            </w: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Advisory</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4,416</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1,244</w:t>
            </w:r>
          </w:p>
        </w:tc>
        <w:tc>
          <w:tcPr>
            <w:tcW w:w="1380" w:type="dxa"/>
            <w:vAlign w:val="bottom"/>
            <w:gridSpan w:val="2"/>
            <w:shd w:val="clear" w:color="auto" w:fill="CCEEFF"/>
          </w:tcPr>
          <w:p>
            <w:pPr>
              <w:jc w:val="right"/>
              <w:ind w:right="397"/>
              <w:spacing w:after="0"/>
              <w:rPr>
                <w:sz w:val="20"/>
                <w:szCs w:val="20"/>
                <w:color w:val="auto"/>
              </w:rPr>
            </w:pPr>
            <w:r>
              <w:rPr>
                <w:rFonts w:ascii="Arial" w:cs="Arial" w:eastAsia="Arial" w:hAnsi="Arial"/>
                <w:sz w:val="17"/>
                <w:szCs w:val="17"/>
                <w:color w:val="auto"/>
              </w:rPr>
              <w:t>255</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14,885</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6,550</w:t>
            </w:r>
          </w:p>
        </w:tc>
        <w:tc>
          <w:tcPr>
            <w:tcW w:w="1380" w:type="dxa"/>
            <w:vAlign w:val="bottom"/>
            <w:gridSpan w:val="2"/>
            <w:shd w:val="clear" w:color="auto" w:fill="CCEEFF"/>
          </w:tcPr>
          <w:p>
            <w:pPr>
              <w:jc w:val="right"/>
              <w:ind w:right="397"/>
              <w:spacing w:after="0"/>
              <w:rPr>
                <w:sz w:val="20"/>
                <w:szCs w:val="20"/>
                <w:color w:val="auto"/>
              </w:rPr>
            </w:pPr>
            <w:r>
              <w:rPr>
                <w:rFonts w:ascii="Arial" w:cs="Arial" w:eastAsia="Arial" w:hAnsi="Arial"/>
                <w:sz w:val="17"/>
                <w:szCs w:val="17"/>
                <w:color w:val="auto"/>
              </w:rPr>
              <w:t>127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1500" w:type="dxa"/>
            <w:vAlign w:val="bottom"/>
          </w:tcPr>
          <w:p>
            <w:pPr>
              <w:ind w:left="500"/>
              <w:spacing w:after="0"/>
              <w:rPr>
                <w:sz w:val="20"/>
                <w:szCs w:val="20"/>
                <w:color w:val="auto"/>
              </w:rPr>
            </w:pPr>
            <w:r>
              <w:rPr>
                <w:rFonts w:ascii="Arial" w:cs="Arial" w:eastAsia="Arial" w:hAnsi="Arial"/>
                <w:sz w:val="17"/>
                <w:szCs w:val="17"/>
                <w:color w:val="auto"/>
              </w:rPr>
              <w:t>Trust</w:t>
            </w: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2,015</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1,458</w:t>
            </w:r>
          </w:p>
        </w:tc>
        <w:tc>
          <w:tcPr>
            <w:tcW w:w="1380" w:type="dxa"/>
            <w:vAlign w:val="bottom"/>
            <w:gridSpan w:val="2"/>
          </w:tcPr>
          <w:p>
            <w:pPr>
              <w:jc w:val="right"/>
              <w:ind w:right="397"/>
              <w:spacing w:after="0"/>
              <w:rPr>
                <w:sz w:val="20"/>
                <w:szCs w:val="20"/>
                <w:color w:val="auto"/>
              </w:rPr>
            </w:pPr>
            <w:r>
              <w:rPr>
                <w:rFonts w:ascii="Arial" w:cs="Arial" w:eastAsia="Arial" w:hAnsi="Arial"/>
                <w:sz w:val="17"/>
                <w:szCs w:val="17"/>
                <w:color w:val="auto"/>
              </w:rPr>
              <w:t>38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6,507</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3,783</w:t>
            </w:r>
          </w:p>
        </w:tc>
        <w:tc>
          <w:tcPr>
            <w:tcW w:w="1380" w:type="dxa"/>
            <w:vAlign w:val="bottom"/>
            <w:gridSpan w:val="2"/>
          </w:tcPr>
          <w:p>
            <w:pPr>
              <w:jc w:val="right"/>
              <w:ind w:right="397"/>
              <w:spacing w:after="0"/>
              <w:rPr>
                <w:sz w:val="20"/>
                <w:szCs w:val="20"/>
                <w:color w:val="auto"/>
              </w:rPr>
            </w:pPr>
            <w:r>
              <w:rPr>
                <w:rFonts w:ascii="Arial" w:cs="Arial" w:eastAsia="Arial" w:hAnsi="Arial"/>
                <w:sz w:val="17"/>
                <w:szCs w:val="17"/>
                <w:color w:val="auto"/>
              </w:rPr>
              <w:t>72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500" w:type="dxa"/>
            <w:vAlign w:val="bottom"/>
            <w:shd w:val="clear" w:color="auto" w:fill="CCEEFF"/>
          </w:tcPr>
          <w:p>
            <w:pPr>
              <w:ind w:left="500"/>
              <w:spacing w:after="0" w:line="171" w:lineRule="exact"/>
              <w:rPr>
                <w:sz w:val="20"/>
                <w:szCs w:val="20"/>
                <w:color w:val="auto"/>
              </w:rPr>
            </w:pPr>
            <w:r>
              <w:rPr>
                <w:rFonts w:ascii="Arial" w:cs="Arial" w:eastAsia="Arial" w:hAnsi="Arial"/>
                <w:sz w:val="17"/>
                <w:szCs w:val="17"/>
                <w:color w:val="auto"/>
              </w:rPr>
              <w:t>Westwood</w:t>
            </w:r>
          </w:p>
        </w:tc>
        <w:tc>
          <w:tcPr>
            <w:tcW w:w="6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(2,725)</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(4,413)</w:t>
            </w:r>
          </w:p>
        </w:tc>
        <w:tc>
          <w:tcPr>
            <w:tcW w:w="1380" w:type="dxa"/>
            <w:vAlign w:val="bottom"/>
            <w:gridSpan w:val="2"/>
            <w:vMerge w:val="restart"/>
            <w:shd w:val="clear" w:color="auto" w:fill="CCEEFF"/>
          </w:tcPr>
          <w:p>
            <w:pPr>
              <w:jc w:val="right"/>
              <w:ind w:right="357"/>
              <w:spacing w:after="0"/>
              <w:rPr>
                <w:sz w:val="20"/>
                <w:szCs w:val="20"/>
                <w:color w:val="auto"/>
              </w:rPr>
            </w:pPr>
            <w:r>
              <w:rPr>
                <w:rFonts w:ascii="Arial" w:cs="Arial" w:eastAsia="Arial" w:hAnsi="Arial"/>
                <w:sz w:val="17"/>
                <w:szCs w:val="17"/>
                <w:color w:val="auto"/>
              </w:rPr>
              <w:t>(38)</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(8,588)</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(7,620)</w:t>
            </w:r>
          </w:p>
        </w:tc>
        <w:tc>
          <w:tcPr>
            <w:tcW w:w="1380" w:type="dxa"/>
            <w:vAlign w:val="bottom"/>
            <w:gridSpan w:val="2"/>
            <w:vMerge w:val="restart"/>
            <w:shd w:val="clear" w:color="auto" w:fill="CCEEFF"/>
          </w:tcPr>
          <w:p>
            <w:pPr>
              <w:jc w:val="right"/>
              <w:ind w:right="397"/>
              <w:spacing w:after="0"/>
              <w:rPr>
                <w:sz w:val="20"/>
                <w:szCs w:val="20"/>
                <w:color w:val="auto"/>
              </w:rPr>
            </w:pPr>
            <w:r>
              <w:rPr>
                <w:rFonts w:ascii="Arial" w:cs="Arial" w:eastAsia="Arial" w:hAnsi="Arial"/>
                <w:sz w:val="17"/>
                <w:szCs w:val="17"/>
                <w:color w:val="auto"/>
              </w:rPr>
              <w:t>13</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Holdings</w:t>
            </w: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500" w:type="dxa"/>
            <w:vAlign w:val="bottom"/>
          </w:tcPr>
          <w:p>
            <w:pPr>
              <w:ind w:left="500"/>
              <w:spacing w:after="0"/>
              <w:rPr>
                <w:sz w:val="20"/>
                <w:szCs w:val="20"/>
                <w:color w:val="auto"/>
              </w:rPr>
            </w:pPr>
            <w:r>
              <w:rPr>
                <w:rFonts w:ascii="Arial" w:cs="Arial" w:eastAsia="Arial" w:hAnsi="Arial"/>
                <w:sz w:val="17"/>
                <w:szCs w:val="17"/>
                <w:b w:val="1"/>
                <w:bCs w:val="1"/>
                <w:color w:val="auto"/>
                <w:w w:val="90"/>
              </w:rPr>
              <w:t>Consolidated</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3,706</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(1,711)</w:t>
            </w:r>
          </w:p>
        </w:tc>
        <w:tc>
          <w:tcPr>
            <w:tcW w:w="1380" w:type="dxa"/>
            <w:vAlign w:val="bottom"/>
            <w:gridSpan w:val="2"/>
          </w:tcPr>
          <w:p>
            <w:pPr>
              <w:jc w:val="right"/>
              <w:ind w:right="337"/>
              <w:spacing w:after="0"/>
              <w:rPr>
                <w:sz w:val="20"/>
                <w:szCs w:val="20"/>
                <w:color w:val="auto"/>
              </w:rPr>
            </w:pPr>
            <w:r>
              <w:rPr>
                <w:rFonts w:ascii="Arial" w:cs="Arial" w:eastAsia="Arial" w:hAnsi="Arial"/>
                <w:sz w:val="17"/>
                <w:szCs w:val="17"/>
                <w:color w:val="auto"/>
              </w:rPr>
              <w:t>(317)</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12,804</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2,713</w:t>
            </w:r>
          </w:p>
        </w:tc>
        <w:tc>
          <w:tcPr>
            <w:tcW w:w="1380" w:type="dxa"/>
            <w:vAlign w:val="bottom"/>
            <w:gridSpan w:val="2"/>
          </w:tcPr>
          <w:p>
            <w:pPr>
              <w:jc w:val="right"/>
              <w:ind w:right="397"/>
              <w:spacing w:after="0"/>
              <w:rPr>
                <w:sz w:val="20"/>
                <w:szCs w:val="20"/>
                <w:color w:val="auto"/>
              </w:rPr>
            </w:pPr>
            <w:r>
              <w:rPr>
                <w:rFonts w:ascii="Arial" w:cs="Arial" w:eastAsia="Arial" w:hAnsi="Arial"/>
                <w:sz w:val="17"/>
                <w:szCs w:val="17"/>
                <w:color w:val="auto"/>
              </w:rPr>
              <w:t>372</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Liquidity and Capital Resources</w:t>
      </w:r>
    </w:p>
    <w:p>
      <w:pPr>
        <w:spacing w:after="0" w:line="176" w:lineRule="exact"/>
        <w:rPr>
          <w:sz w:val="20"/>
          <w:szCs w:val="20"/>
          <w:color w:val="auto"/>
        </w:rPr>
      </w:pPr>
    </w:p>
    <w:p>
      <w:pPr>
        <w:ind w:right="160" w:firstLine="470"/>
        <w:spacing w:after="0" w:line="264" w:lineRule="auto"/>
        <w:rPr>
          <w:sz w:val="20"/>
          <w:szCs w:val="20"/>
          <w:color w:val="auto"/>
        </w:rPr>
      </w:pPr>
      <w:r>
        <w:rPr>
          <w:rFonts w:ascii="Arial" w:cs="Arial" w:eastAsia="Arial" w:hAnsi="Arial"/>
          <w:sz w:val="17"/>
          <w:szCs w:val="17"/>
          <w:color w:val="auto"/>
        </w:rPr>
        <w:t>We fund our operations and cash requirements with cash generated from operating activities. We may also use cash from operations to pay dividends to our stockholders. We reinstated our dividend in 2021, following its suspension in the second quarter of 2020 in order to preserve capital and provide additional financial flexibility amid the uncertainties created by COVID-19. On July 27, 2021, we declared a return of capital distribution of $2.50 per common share. This $20.8 million distribution to shareholders was treated as a return of capital and recorded as a reduction to additional paid-in-capital in the condensed consolidated balance sheets as of September 30, 2021.</w:t>
      </w:r>
    </w:p>
    <w:p>
      <w:pPr>
        <w:spacing w:after="0" w:line="126" w:lineRule="exact"/>
        <w:rPr>
          <w:sz w:val="20"/>
          <w:szCs w:val="20"/>
          <w:color w:val="auto"/>
        </w:rPr>
      </w:pPr>
    </w:p>
    <w:p>
      <w:pPr>
        <w:ind w:right="240" w:firstLine="470"/>
        <w:spacing w:after="0" w:line="287" w:lineRule="auto"/>
        <w:rPr>
          <w:sz w:val="20"/>
          <w:szCs w:val="20"/>
          <w:color w:val="auto"/>
        </w:rPr>
      </w:pPr>
      <w:r>
        <w:rPr>
          <w:rFonts w:ascii="Arial" w:cs="Arial" w:eastAsia="Arial" w:hAnsi="Arial"/>
          <w:sz w:val="17"/>
          <w:szCs w:val="17"/>
          <w:color w:val="auto"/>
        </w:rPr>
        <w:t>As of September 30, 2021 and December 31, 2020, we had no debt. The changes in net cash provided by operating activities generally reflect changes in earnings plus the effects of non-cash items and changes in working capital, including</w:t>
      </w:r>
    </w:p>
    <w:p>
      <w:pPr>
        <w:sectPr>
          <w:pgSz w:w="11900" w:h="16838" w:orient="portrait"/>
          <w:cols w:equalWidth="0" w:num="1">
            <w:col w:w="11340"/>
          </w:cols>
          <w:pgMar w:left="320" w:top="1322" w:right="239"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322" w:right="239" w:bottom="533" w:gutter="0" w:footer="0" w:header="0"/>
          <w:type w:val="continuous"/>
        </w:sectPr>
      </w:pPr>
    </w:p>
    <w:bookmarkStart w:id="26" w:name="page27"/>
    <w:bookmarkEnd w:id="26"/>
    <w:p>
      <w:pPr>
        <w:ind w:right="260"/>
        <w:spacing w:after="0" w:line="287" w:lineRule="auto"/>
        <w:rPr>
          <w:sz w:val="20"/>
          <w:szCs w:val="20"/>
          <w:color w:val="auto"/>
        </w:rPr>
      </w:pPr>
      <w:r>
        <w:rPr>
          <w:rFonts w:ascii="Arial" w:cs="Arial" w:eastAsia="Arial" w:hAnsi="Arial"/>
          <w:sz w:val="17"/>
          <w:szCs w:val="17"/>
          <w:color w:val="auto"/>
        </w:rPr>
        <w:t>liquidation of investments used to cover current liabilities. Changes in working capital, especially accounts receivable and accounts payable, are generally the result of timing differences between collection of fees billed and payment of operating expenses.</w:t>
      </w:r>
    </w:p>
    <w:p>
      <w:pPr>
        <w:spacing w:after="0" w:line="55" w:lineRule="exact"/>
        <w:rPr>
          <w:sz w:val="20"/>
          <w:szCs w:val="20"/>
          <w:color w:val="auto"/>
        </w:rPr>
      </w:pPr>
    </w:p>
    <w:p>
      <w:pPr>
        <w:ind w:right="280" w:firstLine="470"/>
        <w:spacing w:after="0" w:line="272" w:lineRule="auto"/>
        <w:rPr>
          <w:sz w:val="20"/>
          <w:szCs w:val="20"/>
          <w:color w:val="auto"/>
        </w:rPr>
      </w:pPr>
      <w:r>
        <w:rPr>
          <w:rFonts w:ascii="Arial" w:cs="Arial" w:eastAsia="Arial" w:hAnsi="Arial"/>
          <w:sz w:val="17"/>
          <w:szCs w:val="17"/>
          <w:color w:val="auto"/>
        </w:rPr>
        <w:t>During the nine months ended September 30, 2021, cash flow provided by operating activities was $21.1 million, which included net sales of $11.2 million of current investments, a $2.2 million change in income taxes payable, and a $1.1 million change in accounts payable and accrued liabilities, partially offset by decreases of $1.2 million in other liabilities and $0.4 million in compensation and benefits payable.</w:t>
      </w:r>
    </w:p>
    <w:p>
      <w:pPr>
        <w:spacing w:after="0" w:line="66" w:lineRule="exact"/>
        <w:rPr>
          <w:sz w:val="20"/>
          <w:szCs w:val="20"/>
          <w:color w:val="auto"/>
        </w:rPr>
      </w:pPr>
    </w:p>
    <w:p>
      <w:pPr>
        <w:ind w:right="40" w:firstLine="470"/>
        <w:spacing w:after="0" w:line="272" w:lineRule="auto"/>
        <w:rPr>
          <w:sz w:val="20"/>
          <w:szCs w:val="20"/>
          <w:color w:val="auto"/>
        </w:rPr>
      </w:pPr>
      <w:r>
        <w:rPr>
          <w:rFonts w:ascii="Arial" w:cs="Arial" w:eastAsia="Arial" w:hAnsi="Arial"/>
          <w:sz w:val="17"/>
          <w:szCs w:val="17"/>
          <w:color w:val="auto"/>
        </w:rPr>
        <w:t>During the nine months ended September 30, 2020, cash flow used in operating activities was $7.1 million, which included liquidation of $11.9 million of current investments and reduction in compensation and benefits payable of $3.8 million, partially offset by a $3.6 million change in accounts receivable and positive adjustments to net income.</w:t>
      </w:r>
    </w:p>
    <w:p>
      <w:pPr>
        <w:spacing w:after="0" w:line="66" w:lineRule="exact"/>
        <w:rPr>
          <w:sz w:val="20"/>
          <w:szCs w:val="20"/>
          <w:color w:val="auto"/>
        </w:rPr>
      </w:pPr>
    </w:p>
    <w:p>
      <w:pPr>
        <w:jc w:val="both"/>
        <w:ind w:right="80" w:firstLine="470"/>
        <w:spacing w:after="0" w:line="272" w:lineRule="auto"/>
        <w:rPr>
          <w:sz w:val="20"/>
          <w:szCs w:val="20"/>
          <w:color w:val="auto"/>
        </w:rPr>
      </w:pPr>
      <w:r>
        <w:rPr>
          <w:rFonts w:ascii="Arial" w:cs="Arial" w:eastAsia="Arial" w:hAnsi="Arial"/>
          <w:sz w:val="17"/>
          <w:szCs w:val="17"/>
          <w:color w:val="auto"/>
        </w:rPr>
        <w:t>Cash flow provided by investing activities during the nine months ended September 30, 2021 was related to realized gains on private investments and the sale of property and equipment following the sublease of a portion of our Dallas, Texas corporate office space. Cash flow used in investing activities during the nine months ended September 30, 2020 was related to purchases of property and equipment.</w:t>
      </w:r>
    </w:p>
    <w:p>
      <w:pPr>
        <w:spacing w:after="0" w:line="66" w:lineRule="exact"/>
        <w:rPr>
          <w:sz w:val="20"/>
          <w:szCs w:val="20"/>
          <w:color w:val="auto"/>
        </w:rPr>
      </w:pPr>
    </w:p>
    <w:p>
      <w:pPr>
        <w:ind w:right="160" w:firstLine="470"/>
        <w:spacing w:after="0" w:line="266" w:lineRule="auto"/>
        <w:rPr>
          <w:sz w:val="20"/>
          <w:szCs w:val="20"/>
          <w:color w:val="auto"/>
        </w:rPr>
      </w:pPr>
      <w:r>
        <w:rPr>
          <w:rFonts w:ascii="Arial" w:cs="Arial" w:eastAsia="Arial" w:hAnsi="Arial"/>
          <w:sz w:val="17"/>
          <w:szCs w:val="17"/>
          <w:color w:val="auto"/>
        </w:rPr>
        <w:t>Cash flows used in financing activities of $25.2 million for the nine months ended September 30, 2021 reflected the payment of dividends, including those treated as a return of capital for accounting purposes, treasury stock repurchases and restricted stock returned for the payment of taxes. Cash flow used in financing activities of $25.8 million for the nine months ended September 30, 2020 reflected treasury stock repurchases, the payment of dividends, restricted stock returned for payment of taxes and purchases of treasury stock under employee stock plans.</w:t>
      </w:r>
    </w:p>
    <w:p>
      <w:pPr>
        <w:spacing w:after="0" w:line="73" w:lineRule="exact"/>
        <w:rPr>
          <w:sz w:val="20"/>
          <w:szCs w:val="20"/>
          <w:color w:val="auto"/>
        </w:rPr>
      </w:pPr>
    </w:p>
    <w:p>
      <w:pPr>
        <w:ind w:right="200" w:firstLine="470"/>
        <w:spacing w:after="0" w:line="287" w:lineRule="auto"/>
        <w:rPr>
          <w:sz w:val="20"/>
          <w:szCs w:val="20"/>
          <w:color w:val="auto"/>
        </w:rPr>
      </w:pPr>
      <w:r>
        <w:rPr>
          <w:rFonts w:ascii="Arial" w:cs="Arial" w:eastAsia="Arial" w:hAnsi="Arial"/>
          <w:sz w:val="17"/>
          <w:szCs w:val="17"/>
          <w:color w:val="auto"/>
        </w:rPr>
        <w:t>We had cash and short-term investments of $76.6 million as of September 30, 2021 and $82.6 million as of December 31, 2020. At September 30, 2021 and December 31, 2020, working capital aggregated $75.6 million and $84.5 million, respectively.</w:t>
      </w:r>
    </w:p>
    <w:p>
      <w:pPr>
        <w:spacing w:after="0" w:line="55" w:lineRule="exact"/>
        <w:rPr>
          <w:sz w:val="20"/>
          <w:szCs w:val="20"/>
          <w:color w:val="auto"/>
        </w:rPr>
      </w:pPr>
    </w:p>
    <w:p>
      <w:pPr>
        <w:ind w:right="360" w:firstLine="470"/>
        <w:spacing w:after="0" w:line="272" w:lineRule="auto"/>
        <w:rPr>
          <w:sz w:val="20"/>
          <w:szCs w:val="20"/>
          <w:color w:val="auto"/>
        </w:rPr>
      </w:pPr>
      <w:r>
        <w:rPr>
          <w:rFonts w:ascii="Arial" w:cs="Arial" w:eastAsia="Arial" w:hAnsi="Arial"/>
          <w:sz w:val="17"/>
          <w:szCs w:val="17"/>
          <w:color w:val="auto"/>
        </w:rPr>
        <w:t>Westwood Trust is required to maintain cash and investments in an amount equal to the minimum restricted capital of $4.0 million, as required by the Texas Finance Code. Restricted capital is included in Investments in the accompanying Condensed Consolidated Balance Sheets. At September 30, 2021, Westwood Trust had approximately $18.3 million in excess of its minimum capital requirement.</w:t>
      </w:r>
    </w:p>
    <w:p>
      <w:pPr>
        <w:spacing w:after="0" w:line="66" w:lineRule="exact"/>
        <w:rPr>
          <w:sz w:val="20"/>
          <w:szCs w:val="20"/>
          <w:color w:val="auto"/>
        </w:rPr>
      </w:pPr>
    </w:p>
    <w:p>
      <w:pPr>
        <w:ind w:firstLine="470"/>
        <w:spacing w:after="0" w:line="282" w:lineRule="auto"/>
        <w:rPr>
          <w:sz w:val="20"/>
          <w:szCs w:val="20"/>
          <w:color w:val="auto"/>
        </w:rPr>
      </w:pPr>
      <w:r>
        <w:rPr>
          <w:rFonts w:ascii="Arial" w:cs="Arial" w:eastAsia="Arial" w:hAnsi="Arial"/>
          <w:sz w:val="16"/>
          <w:szCs w:val="16"/>
          <w:color w:val="auto"/>
        </w:rPr>
        <w:t>Our future liquidity and capital requirements will depend upon numerous factors, including our results of operations, the timing and magnitude of capital expenditures or strategic initiatives, our dividend policy and other business and risk factors described under “Risk Factors” in our Annual Report on Form 10-K for the year ended December 31, 2020, filed with the SEC. We believe that current cash and short-term investment balances plus cash generated from operations will be sufficient to meet both the operating and capital requirements of our ordinary business operations through at least the next twelve months. However, there can be no assurance that we will not require additional financing within this time frame. The failure to raise needed capital on attractive terms, if at all, could have a material adverse effect on our business, financial condition and results of operations.</w:t>
      </w:r>
    </w:p>
    <w:p>
      <w:pPr>
        <w:spacing w:after="0" w:line="60" w:lineRule="exact"/>
        <w:rPr>
          <w:sz w:val="20"/>
          <w:szCs w:val="20"/>
          <w:color w:val="auto"/>
        </w:rPr>
      </w:pPr>
    </w:p>
    <w:p>
      <w:pPr>
        <w:ind w:right="140" w:firstLine="470"/>
        <w:spacing w:after="0" w:line="264" w:lineRule="auto"/>
        <w:rPr>
          <w:sz w:val="20"/>
          <w:szCs w:val="20"/>
          <w:color w:val="auto"/>
        </w:rPr>
      </w:pPr>
      <w:r>
        <w:rPr>
          <w:rFonts w:ascii="Arial" w:cs="Arial" w:eastAsia="Arial" w:hAnsi="Arial"/>
          <w:sz w:val="17"/>
          <w:szCs w:val="17"/>
          <w:color w:val="auto"/>
        </w:rPr>
        <w:t>The United States Department of Labor released its regulatory agenda in the Spring of 2021, which confirmed that a fiduciary rule rewrite is in progress. This rewrite is expected to address the definition of fiduciary. At this time, we cannot predict the content or form of any such rule or its impact on our business, results of operations and financial condition. Our business is highly regulated, and changes in regulation and in supervisory and enforcement policies may materially impact our capitalization or cash flows, reduce our profitability and limit our growth. We will continue to monitor the potential impact of this development on our business.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Contractual Obligations</w:t>
      </w:r>
    </w:p>
    <w:p>
      <w:pPr>
        <w:spacing w:after="0" w:line="176" w:lineRule="exact"/>
        <w:rPr>
          <w:sz w:val="20"/>
          <w:szCs w:val="20"/>
          <w:color w:val="auto"/>
        </w:rPr>
      </w:pPr>
    </w:p>
    <w:p>
      <w:pPr>
        <w:ind w:right="120" w:firstLine="470"/>
        <w:spacing w:after="0" w:line="296" w:lineRule="auto"/>
        <w:rPr>
          <w:sz w:val="20"/>
          <w:szCs w:val="20"/>
          <w:color w:val="auto"/>
        </w:rPr>
      </w:pPr>
      <w:r>
        <w:rPr>
          <w:rFonts w:ascii="Arial" w:cs="Arial" w:eastAsia="Arial" w:hAnsi="Arial"/>
          <w:sz w:val="16"/>
          <w:szCs w:val="16"/>
          <w:color w:val="auto"/>
        </w:rPr>
        <w:t>As of September 30, 2021, there have been no material changes outside of the ordinary course of business to our contractual obligations since December 31, 2020. For information regarding our contractual obligations, refer to “Contractual Obligations” in Part II, Item 7. “Management's Discussion and Analysis of Financial Condition and Results of Operations” in our Annual Report on Form 10-K for the fiscal year ended December 31, 2020.</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Critical and Significant Accounting Policies and Estimates</w:t>
      </w:r>
    </w:p>
    <w:p>
      <w:pPr>
        <w:spacing w:after="0" w:line="124" w:lineRule="exact"/>
        <w:rPr>
          <w:sz w:val="20"/>
          <w:szCs w:val="20"/>
          <w:color w:val="auto"/>
        </w:rPr>
      </w:pPr>
    </w:p>
    <w:p>
      <w:pPr>
        <w:jc w:val="both"/>
        <w:ind w:right="80" w:firstLine="470"/>
        <w:spacing w:after="0" w:line="324" w:lineRule="auto"/>
        <w:rPr>
          <w:sz w:val="20"/>
          <w:szCs w:val="20"/>
          <w:color w:val="auto"/>
        </w:rPr>
      </w:pPr>
      <w:r>
        <w:rPr>
          <w:rFonts w:ascii="Arial" w:cs="Arial" w:eastAsia="Arial" w:hAnsi="Arial"/>
          <w:sz w:val="15"/>
          <w:szCs w:val="15"/>
          <w:color w:val="auto"/>
        </w:rPr>
        <w:t>There have been no significant changes in our critical or significant accounting policies and estimates since December 31, 2020. Information with respect to our critical accounting policies and estimates that we believe could have the most significant effect on our reported consolidated results and require difficult, subjective or complex judgment by management is described under “Critical Accounting Policies and Estimates” in Part II, Item 7. “Management’s Discussion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t>and Analysis of Financial Condition and Results of Operations” in our Annual Report on Form 10-K for the fiscal year ended December 31, 2020.</w:t>
      </w: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Accounting Developments</w:t>
      </w:r>
    </w:p>
    <w:p>
      <w:pPr>
        <w:spacing w:after="0" w:line="176" w:lineRule="exact"/>
        <w:rPr>
          <w:sz w:val="20"/>
          <w:szCs w:val="20"/>
          <w:color w:val="auto"/>
        </w:rPr>
      </w:pPr>
    </w:p>
    <w:p>
      <w:pPr>
        <w:ind w:right="40" w:firstLine="470"/>
        <w:spacing w:after="0" w:line="287" w:lineRule="auto"/>
        <w:rPr>
          <w:sz w:val="20"/>
          <w:szCs w:val="20"/>
          <w:color w:val="auto"/>
        </w:rPr>
      </w:pPr>
      <w:r>
        <w:rPr>
          <w:rFonts w:ascii="Arial" w:cs="Arial" w:eastAsia="Arial" w:hAnsi="Arial"/>
          <w:sz w:val="17"/>
          <w:szCs w:val="17"/>
          <w:color w:val="auto"/>
        </w:rPr>
        <w:t>Refer to Note 2 “Summary of Significant Accounting Policies” in our Condensed Consolidated Financial Statements included in Part I, Item 1. “Financial Statements” of this Quarterly Report on Form 10-Q for a description of recently issued accounting guidance.</w:t>
      </w:r>
    </w:p>
    <w:p>
      <w:pPr>
        <w:spacing w:after="0" w:line="257"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3.</w:t>
        <w:tab/>
        <w:t>QUANTITATIVE AND QUALITATIVE DISCLOSURES ABOUT MARKET RISK</w:t>
      </w:r>
    </w:p>
    <w:p>
      <w:pPr>
        <w:spacing w:after="0" w:line="124" w:lineRule="exact"/>
        <w:rPr>
          <w:sz w:val="20"/>
          <w:szCs w:val="20"/>
          <w:color w:val="auto"/>
        </w:rPr>
      </w:pPr>
    </w:p>
    <w:p>
      <w:pPr>
        <w:ind w:right="160" w:firstLine="470"/>
        <w:spacing w:after="0" w:line="287" w:lineRule="auto"/>
        <w:rPr>
          <w:sz w:val="20"/>
          <w:szCs w:val="20"/>
          <w:color w:val="auto"/>
        </w:rPr>
      </w:pPr>
      <w:r>
        <w:rPr>
          <w:rFonts w:ascii="Arial" w:cs="Arial" w:eastAsia="Arial" w:hAnsi="Arial"/>
          <w:sz w:val="17"/>
          <w:szCs w:val="17"/>
          <w:color w:val="auto"/>
        </w:rPr>
        <w:t>There have been no significant changes in our Quantitative and Qualitative Disclosures about Market Risk from those previously reported in our Annual Report on Form 10-K for the year ended December 31, 2020.</w:t>
      </w:r>
    </w:p>
    <w:p>
      <w:pPr>
        <w:spacing w:after="0" w:line="205"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4.</w:t>
        <w:tab/>
        <w:t>CONTROLS AND PROCEDURES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24" w:lineRule="exact"/>
        <w:rPr>
          <w:sz w:val="20"/>
          <w:szCs w:val="20"/>
          <w:color w:val="auto"/>
        </w:rPr>
      </w:pPr>
    </w:p>
    <w:p>
      <w:pPr>
        <w:ind w:firstLine="470"/>
        <w:spacing w:after="0" w:line="277"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in the reports we file or submit under the Securities Exchange Act of 1934, as amended (the “Exchange Act”), (1) is recorded, processed, summarized and reported within the time periods specified in the SEC’s rules and forms and (2) is accumulated and communicated to our management, including our Chief Executive Officer and our Chief Financial Officer, to allow timely decisions regarding required disclosure. An evaluation was performed under the supervision and with the participation of our management, including our Chief Executive Officer and Chief Financial Officer, of the effectiveness of the design and operation of our disclosure controls and procedures (as defined in Rule 13a-15(e) under the Exchange Act) as of the end of the period covered by this report. Based on this evaluation, our management, including our Chief Executive Officer and our Chief Financial Officer, concluded that, as of the end of the period covered by this report, our disclosure controls and procedures were effective to ensure that information required to be disclosed in the reports we file or submit under the Exchange Act is recorded, processed, summarized and reported within the time periods specified in the SEC’s rules and forms and is accumulated and communicated to management, including our Chief Executive Officer and our Chief Financial Officer, as appropriate, to allow timely decisions regarding required disclosure.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Controls over Financial Reporting</w:t>
      </w:r>
    </w:p>
    <w:p>
      <w:pPr>
        <w:spacing w:after="0" w:line="124" w:lineRule="exact"/>
        <w:rPr>
          <w:sz w:val="20"/>
          <w:szCs w:val="20"/>
          <w:color w:val="auto"/>
        </w:rPr>
      </w:pPr>
    </w:p>
    <w:p>
      <w:pPr>
        <w:ind w:right="120" w:firstLine="470"/>
        <w:spacing w:after="0" w:line="266" w:lineRule="auto"/>
        <w:rPr>
          <w:sz w:val="20"/>
          <w:szCs w:val="20"/>
          <w:color w:val="auto"/>
        </w:rPr>
      </w:pPr>
      <w:r>
        <w:rPr>
          <w:rFonts w:ascii="Arial" w:cs="Arial" w:eastAsia="Arial" w:hAnsi="Arial"/>
          <w:sz w:val="17"/>
          <w:szCs w:val="17"/>
          <w:color w:val="auto"/>
        </w:rPr>
        <w:t>During the quarter ended September 30, 2021, there were no changes in our internal controls over financial reporting (as defined in Rule 13a-15(f) under the Exchange Act) that materially affected, or are reasonably likely to materially affect, our internal control over financial reporting. Due to our significant investments in cloud-based systems, the impact of our employees working remotely did not hinder the execution of our internal control processes and procedures.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71"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PART II. OTHER INFORMATION</w:t>
      </w:r>
    </w:p>
    <w:p>
      <w:pPr>
        <w:spacing w:after="0" w:line="200" w:lineRule="exact"/>
        <w:rPr>
          <w:sz w:val="20"/>
          <w:szCs w:val="20"/>
          <w:color w:val="auto"/>
        </w:rPr>
      </w:pPr>
    </w:p>
    <w:p>
      <w:pPr>
        <w:spacing w:after="0" w:line="244"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w:t>
        <w:tab/>
        <w:t>LEGAL PROCEEDINGS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321"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1A.</w:t>
        <w:tab/>
        <w:t>RISK FACTORS</w:t>
      </w:r>
    </w:p>
    <w:p>
      <w:pPr>
        <w:spacing w:after="0" w:line="124" w:lineRule="exact"/>
        <w:rPr>
          <w:sz w:val="20"/>
          <w:szCs w:val="20"/>
          <w:color w:val="auto"/>
        </w:rPr>
      </w:pPr>
    </w:p>
    <w:p>
      <w:pPr>
        <w:ind w:right="320" w:firstLine="470"/>
        <w:spacing w:after="0" w:line="266" w:lineRule="auto"/>
        <w:rPr>
          <w:sz w:val="20"/>
          <w:szCs w:val="20"/>
          <w:color w:val="auto"/>
        </w:rPr>
      </w:pPr>
      <w:r>
        <w:rPr>
          <w:rFonts w:ascii="Arial" w:cs="Arial" w:eastAsia="Arial" w:hAnsi="Arial"/>
          <w:sz w:val="17"/>
          <w:szCs w:val="17"/>
          <w:color w:val="auto"/>
        </w:rPr>
        <w:t>Our business and future results may be affected by a number of risks and uncertainties that should be considered carefully. In addition, this report also contains forward-looking statements that involve risks and uncertainties. Our actual results could differ materially from those anticipated in such forward-looking statements as a result of certain factors, including the risks described in Part I, Item 1A of the Company’s Annual Report on Form 10-K for the year ended December 31, 2020 and the risks set forth below.</w:t>
      </w:r>
    </w:p>
    <w:p>
      <w:pPr>
        <w:spacing w:after="0" w:line="73" w:lineRule="exact"/>
        <w:rPr>
          <w:sz w:val="20"/>
          <w:szCs w:val="20"/>
          <w:color w:val="auto"/>
        </w:rPr>
      </w:pPr>
    </w:p>
    <w:p>
      <w:pPr>
        <w:ind w:right="100" w:firstLine="470"/>
        <w:spacing w:after="0" w:line="264" w:lineRule="auto"/>
        <w:rPr>
          <w:sz w:val="20"/>
          <w:szCs w:val="20"/>
          <w:color w:val="auto"/>
        </w:rPr>
      </w:pPr>
      <w:r>
        <w:rPr>
          <w:rFonts w:ascii="Arial" w:cs="Arial" w:eastAsia="Arial" w:hAnsi="Arial"/>
          <w:sz w:val="17"/>
          <w:szCs w:val="17"/>
          <w:color w:val="auto"/>
        </w:rPr>
        <w:t>Except as discussed below, there have been no material changes to the risk factors previously disclosed in the Form 10-K. You should carefully consider the following risks and the risks included in the Company’s Annual Report on Form 10-K, together with all of the other information in this Quarterly Report on Form 10-Q, including our unaudited condensed consolidated financial statements and the related notes included elsewhere in this Quarterly Report on Form 10-Q. The occurrence of any single risk or any combination of risks could materially and adversely affect our business, financial condition, results of operations, cash flows and the trading price of our common stock.</w:t>
      </w:r>
    </w:p>
    <w:p>
      <w:pPr>
        <w:spacing w:after="0" w:line="68" w:lineRule="exact"/>
        <w:rPr>
          <w:sz w:val="20"/>
          <w:szCs w:val="20"/>
          <w:color w:val="auto"/>
        </w:rPr>
      </w:pPr>
    </w:p>
    <w:p>
      <w:pPr>
        <w:ind w:left="480"/>
        <w:spacing w:after="0"/>
        <w:rPr>
          <w:sz w:val="20"/>
          <w:szCs w:val="20"/>
          <w:color w:val="auto"/>
        </w:rPr>
      </w:pPr>
      <w:r>
        <w:rPr>
          <w:rFonts w:ascii="Arial" w:cs="Arial" w:eastAsia="Arial" w:hAnsi="Arial"/>
          <w:sz w:val="17"/>
          <w:szCs w:val="17"/>
          <w:b w:val="1"/>
          <w:bCs w:val="1"/>
          <w:u w:val="single" w:color="auto"/>
          <w:color w:val="auto"/>
        </w:rPr>
        <w:t>Risks Related to Ownership of Stock and Corporate Governance</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Distributions to our common stockholders have included and may in the future include a return of capital.</w:t>
      </w:r>
    </w:p>
    <w:p>
      <w:pPr>
        <w:spacing w:after="0" w:line="124" w:lineRule="exact"/>
        <w:rPr>
          <w:sz w:val="20"/>
          <w:szCs w:val="20"/>
          <w:color w:val="auto"/>
        </w:rPr>
      </w:pPr>
    </w:p>
    <w:p>
      <w:pPr>
        <w:ind w:firstLine="470"/>
        <w:spacing w:after="0" w:line="282" w:lineRule="auto"/>
        <w:rPr>
          <w:sz w:val="20"/>
          <w:szCs w:val="20"/>
          <w:color w:val="auto"/>
        </w:rPr>
      </w:pPr>
      <w:r>
        <w:rPr>
          <w:rFonts w:ascii="Arial" w:cs="Arial" w:eastAsia="Arial" w:hAnsi="Arial"/>
          <w:sz w:val="16"/>
          <w:szCs w:val="16"/>
          <w:color w:val="auto"/>
        </w:rPr>
        <w:t>Future distributions to our common stockholders may include a return of capital. To the extent that we distribute amounts that exceed our accumulated earnings, these distributions would constitute a return of capital to the extent of the common stockholder’s adjusted tax basis in its shares of our common stock. A return of capital represents a return of a common stockholder’s original investment in shares of our common stock and should not be confused with a distribution from earnings. Although return of capital distributions may not be taxable, such distributions may increase an investor’s tax liability for capital gains upon the sale of our common stock by reducing the investor’s tax basis in its shares of our common stock. Such returns of capital reduce our asset base and could result in future needs for debt or capital infusions, which could have a material adverse impact on our business.</w:t>
      </w:r>
    </w:p>
    <w:p>
      <w:pPr>
        <w:spacing w:after="0" w:line="54" w:lineRule="exact"/>
        <w:rPr>
          <w:sz w:val="20"/>
          <w:szCs w:val="20"/>
          <w:color w:val="auto"/>
        </w:rPr>
      </w:pPr>
    </w:p>
    <w:p>
      <w:pPr>
        <w:ind w:right="480" w:firstLine="470"/>
        <w:spacing w:after="0" w:line="295" w:lineRule="auto"/>
        <w:rPr>
          <w:sz w:val="20"/>
          <w:szCs w:val="20"/>
          <w:color w:val="auto"/>
        </w:rPr>
      </w:pPr>
      <w:r>
        <w:rPr>
          <w:rFonts w:ascii="Arial" w:cs="Arial" w:eastAsia="Arial" w:hAnsi="Arial"/>
          <w:sz w:val="17"/>
          <w:szCs w:val="17"/>
          <w:b w:val="1"/>
          <w:bCs w:val="1"/>
          <w:color w:val="auto"/>
        </w:rPr>
        <w:t>Our stockholder rights agreement (“</w:t>
      </w:r>
      <w:r>
        <w:rPr>
          <w:rFonts w:ascii="Arial" w:cs="Arial" w:eastAsia="Arial" w:hAnsi="Arial"/>
          <w:sz w:val="17"/>
          <w:szCs w:val="17"/>
          <w:b w:val="1"/>
          <w:bCs w:val="1"/>
          <w:u w:val="single" w:color="auto"/>
          <w:color w:val="auto"/>
        </w:rPr>
        <w:t>Rights Agreement</w:t>
      </w:r>
      <w:r>
        <w:rPr>
          <w:rFonts w:ascii="Arial" w:cs="Arial" w:eastAsia="Arial" w:hAnsi="Arial"/>
          <w:sz w:val="17"/>
          <w:szCs w:val="17"/>
          <w:b w:val="1"/>
          <w:bCs w:val="1"/>
          <w:color w:val="auto"/>
        </w:rPr>
        <w:t>”) may make it more difficult for others to obtain control over us, even if it would be beneficial to our stockholders.</w:t>
      </w:r>
    </w:p>
    <w:p>
      <w:pPr>
        <w:spacing w:after="0" w:line="48" w:lineRule="exact"/>
        <w:rPr>
          <w:sz w:val="20"/>
          <w:szCs w:val="20"/>
          <w:color w:val="auto"/>
        </w:rPr>
      </w:pPr>
    </w:p>
    <w:p>
      <w:pPr>
        <w:ind w:right="40" w:firstLine="470"/>
        <w:spacing w:after="0" w:line="264" w:lineRule="auto"/>
        <w:rPr>
          <w:sz w:val="20"/>
          <w:szCs w:val="20"/>
          <w:color w:val="auto"/>
        </w:rPr>
      </w:pPr>
      <w:r>
        <w:rPr>
          <w:rFonts w:ascii="Arial" w:cs="Arial" w:eastAsia="Arial" w:hAnsi="Arial"/>
          <w:sz w:val="17"/>
          <w:szCs w:val="17"/>
          <w:color w:val="auto"/>
        </w:rPr>
        <w:t>In May of 2021, our Board of Directors adopted a stockholder rights agreement. Pursuant to its terms, we have distributed a dividend of one right for each outstanding share of common stock of the Company to stockholders of record at the close of business on May 12, 2021. These rights would cause substantial dilution to the ownership of any person or group that attempts to acquire us on terms not approved by our Board of Directors and may have the effect of deterring hostile takeover attempts. These provisions could discourage a future takeover attempt which individual stockholders might deem to be in their best interests or in which stockholders could receive a premium for their shares over current prices.</w:t>
      </w:r>
    </w:p>
    <w:p>
      <w:pPr>
        <w:spacing w:after="0" w:line="74" w:lineRule="exact"/>
        <w:rPr>
          <w:sz w:val="20"/>
          <w:szCs w:val="20"/>
          <w:color w:val="auto"/>
        </w:rPr>
      </w:pPr>
    </w:p>
    <w:p>
      <w:pPr>
        <w:ind w:right="20" w:firstLine="470"/>
        <w:spacing w:after="0" w:line="288" w:lineRule="auto"/>
        <w:rPr>
          <w:sz w:val="20"/>
          <w:szCs w:val="20"/>
          <w:color w:val="auto"/>
        </w:rPr>
      </w:pPr>
      <w:r>
        <w:rPr>
          <w:rFonts w:ascii="Arial" w:cs="Arial" w:eastAsia="Arial" w:hAnsi="Arial"/>
          <w:sz w:val="16"/>
          <w:szCs w:val="16"/>
          <w:color w:val="auto"/>
        </w:rPr>
        <w:t>We believe these provisions protect our stockholders from coercive or otherwise unfair takeover tactics by effectively requiring those who seek to obtain control of the Company to negotiate with our Board of Directors and by providing our Board with more time to assess any acquisition of control. However, these provisions could apply even if an acquisition of control of the Company may be considered beneficial by some stockholders and could delay or prevent an acquisition of control that our Board of Directors determines is not in the best interests of our Company and our stockholders.</w:t>
      </w:r>
    </w:p>
    <w:p>
      <w:pPr>
        <w:spacing w:after="0" w:line="51" w:lineRule="exact"/>
        <w:rPr>
          <w:sz w:val="20"/>
          <w:szCs w:val="20"/>
          <w:color w:val="auto"/>
        </w:rPr>
      </w:pPr>
    </w:p>
    <w:p>
      <w:pPr>
        <w:ind w:right="100" w:firstLine="470"/>
        <w:spacing w:after="0" w:line="295" w:lineRule="auto"/>
        <w:rPr>
          <w:sz w:val="20"/>
          <w:szCs w:val="20"/>
          <w:color w:val="auto"/>
        </w:rPr>
      </w:pPr>
      <w:r>
        <w:rPr>
          <w:rFonts w:ascii="Arial" w:cs="Arial" w:eastAsia="Arial" w:hAnsi="Arial"/>
          <w:sz w:val="17"/>
          <w:szCs w:val="17"/>
          <w:b w:val="1"/>
          <w:bCs w:val="1"/>
          <w:color w:val="auto"/>
        </w:rPr>
        <w:t>Actions of activist stockholders could cause us to incur substantial costs, divert the attention and resources of our management and the Board of Directors, and have an adverse effect on our business and stock price.</w:t>
      </w:r>
    </w:p>
    <w:p>
      <w:pPr>
        <w:spacing w:after="0" w:line="48" w:lineRule="exact"/>
        <w:rPr>
          <w:sz w:val="20"/>
          <w:szCs w:val="20"/>
          <w:color w:val="auto"/>
        </w:rPr>
      </w:pPr>
    </w:p>
    <w:p>
      <w:pPr>
        <w:ind w:firstLine="470"/>
        <w:spacing w:after="0" w:line="261" w:lineRule="auto"/>
        <w:rPr>
          <w:sz w:val="20"/>
          <w:szCs w:val="20"/>
          <w:color w:val="auto"/>
        </w:rPr>
      </w:pPr>
      <w:r>
        <w:rPr>
          <w:rFonts w:ascii="Arial" w:cs="Arial" w:eastAsia="Arial" w:hAnsi="Arial"/>
          <w:sz w:val="17"/>
          <w:szCs w:val="17"/>
          <w:color w:val="auto"/>
        </w:rPr>
        <w:t>We have been and may continue to be subject to proposals by stockholders urging us to take certain corporate actions or seeking to acquire control over the Company. If activist stockholder activities continue or new activities arise, our business could be adversely affected as responding to actions by activist stockholders can be costly and time-consuming, disrupt our operations, and divert the attention of management and our Board of Directors, all of which could interfere with our ability to execute our strategic plan. We have retained, and may be required to continue to retain, the services of various professionals to advise us on activist stockholder matters, including legal, financial and communications advisors, the costs of which may adversely affect our financial results. In addition, the perceived uncertainties as to our future direction, strategy or leadership created as a consequence of activist stockholder initiatives may result in the loss of potential business opportunities, result in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bookmarkStart w:id="29" w:name="page30"/>
    <w:bookmarkEnd w:id="29"/>
    <w:p>
      <w:pPr>
        <w:ind w:right="580"/>
        <w:spacing w:after="0" w:line="287" w:lineRule="auto"/>
        <w:rPr>
          <w:sz w:val="20"/>
          <w:szCs w:val="20"/>
          <w:color w:val="auto"/>
        </w:rPr>
      </w:pPr>
      <w:r>
        <w:rPr>
          <w:rFonts w:ascii="Arial" w:cs="Arial" w:eastAsia="Arial" w:hAnsi="Arial"/>
          <w:sz w:val="17"/>
          <w:szCs w:val="17"/>
          <w:color w:val="auto"/>
        </w:rPr>
        <w:t>the loss of key personnel, harm our ability to attract new investors, clients and employees, and cause our stock price to experience periods of volatility or stagnation.</w:t>
      </w:r>
    </w:p>
    <w:p>
      <w:pPr>
        <w:spacing w:after="0" w:line="49" w:lineRule="exact"/>
        <w:rPr>
          <w:sz w:val="20"/>
          <w:szCs w:val="20"/>
          <w:color w:val="auto"/>
        </w:rPr>
      </w:pPr>
    </w:p>
    <w:p>
      <w:pPr>
        <w:ind w:right="200" w:firstLine="470"/>
        <w:spacing w:after="0" w:line="295" w:lineRule="auto"/>
        <w:rPr>
          <w:sz w:val="20"/>
          <w:szCs w:val="20"/>
          <w:color w:val="auto"/>
        </w:rPr>
      </w:pPr>
      <w:r>
        <w:rPr>
          <w:rFonts w:ascii="Arial" w:cs="Arial" w:eastAsia="Arial" w:hAnsi="Arial"/>
          <w:sz w:val="17"/>
          <w:szCs w:val="17"/>
          <w:b w:val="1"/>
          <w:bCs w:val="1"/>
          <w:color w:val="auto"/>
        </w:rPr>
        <w:t>In addition to our Rights Agreement, our organizational documents contain provisions that may prevent or deter another group from paying a premium over the market price to our stockholders to acquire our stock.</w:t>
      </w:r>
    </w:p>
    <w:p>
      <w:pPr>
        <w:spacing w:after="0" w:line="48"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Our organizational documents currently contain provisions that establish that stockholders cannot act by written consent, and that authorize our Board of Directors to issue, without shareholder approval, blank check preferred stock. In addition, as a Delaware corporation, we are subject to Section 203 of the Delaware General Corporation Law relating to business combinations. These provisions could delay, deter or prevent a merger, consolidation, tender offer or other business combination or change of control involving us that could include a premium over the market price of our common stock that some or a majority of our stockholders might consider to be in their best interests.</w:t>
      </w:r>
    </w:p>
    <w:p>
      <w:pPr>
        <w:spacing w:after="0" w:line="276"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2.</w:t>
        <w:tab/>
        <w:t>UNREGISTERED SALES OF EQUITY SECURITIES AND USE OF PROCEEDS</w:t>
      </w:r>
    </w:p>
    <w:p>
      <w:pPr>
        <w:spacing w:after="0" w:line="124" w:lineRule="exact"/>
        <w:rPr>
          <w:sz w:val="20"/>
          <w:szCs w:val="20"/>
          <w:color w:val="auto"/>
        </w:rPr>
      </w:pPr>
    </w:p>
    <w:p>
      <w:pPr>
        <w:jc w:val="both"/>
        <w:ind w:right="80" w:firstLine="470"/>
        <w:spacing w:after="0" w:line="266" w:lineRule="auto"/>
        <w:rPr>
          <w:sz w:val="20"/>
          <w:szCs w:val="20"/>
          <w:color w:val="auto"/>
        </w:rPr>
      </w:pPr>
      <w:r>
        <w:rPr>
          <w:rFonts w:ascii="Arial" w:cs="Arial" w:eastAsia="Arial" w:hAnsi="Arial"/>
          <w:sz w:val="17"/>
          <w:szCs w:val="17"/>
          <w:color w:val="auto"/>
        </w:rPr>
        <w:t>On July 20, 2012, our Board of Directors authorized management to repurchase up to $10.0 million of our outstanding common stock on the open market or in privately negotiated transactions. Westwood's Board of Directors authorized an additional $5.0 million of repurchases under the share repurchase program in July 2016, an additional $10.0 million in February 2020, and an additional $10.0 million in April 2020. The share repurchase program has no expiration date and may be discontinued at any time by the Board of Directors.</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displays information with respect to the treasury shares we purchased during the three months ended September 30, 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1240" w:type="dxa"/>
            <w:vAlign w:val="bottom"/>
            <w:gridSpan w:val="2"/>
            <w:vMerge w:val="restart"/>
          </w:tcPr>
          <w:p>
            <w:pPr>
              <w:ind w:left="620"/>
              <w:spacing w:after="0"/>
              <w:rPr>
                <w:sz w:val="20"/>
                <w:szCs w:val="20"/>
                <w:color w:val="auto"/>
              </w:rPr>
            </w:pPr>
            <w:r>
              <w:rPr>
                <w:rFonts w:ascii="Arial" w:cs="Arial" w:eastAsia="Arial" w:hAnsi="Arial"/>
                <w:sz w:val="16"/>
                <w:szCs w:val="16"/>
                <w:b w:val="1"/>
                <w:bCs w:val="1"/>
                <w:color w:val="auto"/>
              </w:rPr>
              <w:t>Total</w:t>
            </w: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Total number</w:t>
            </w:r>
          </w:p>
        </w:tc>
        <w:tc>
          <w:tcPr>
            <w:tcW w:w="580" w:type="dxa"/>
            <w:vAlign w:val="bottom"/>
          </w:tcPr>
          <w:p>
            <w:pPr>
              <w:spacing w:after="0"/>
              <w:rPr>
                <w:sz w:val="16"/>
                <w:szCs w:val="16"/>
                <w:color w:val="auto"/>
              </w:rPr>
            </w:pPr>
          </w:p>
        </w:tc>
        <w:tc>
          <w:tcPr>
            <w:tcW w:w="2060" w:type="dxa"/>
            <w:vAlign w:val="bottom"/>
          </w:tcPr>
          <w:p>
            <w:pPr>
              <w:jc w:val="right"/>
              <w:ind w:right="240"/>
              <w:spacing w:after="0"/>
              <w:rPr>
                <w:sz w:val="20"/>
                <w:szCs w:val="20"/>
                <w:color w:val="auto"/>
              </w:rPr>
            </w:pPr>
            <w:r>
              <w:rPr>
                <w:rFonts w:ascii="Arial" w:cs="Arial" w:eastAsia="Arial" w:hAnsi="Arial"/>
                <w:sz w:val="16"/>
                <w:szCs w:val="16"/>
                <w:b w:val="1"/>
                <w:bCs w:val="1"/>
                <w:color w:val="auto"/>
              </w:rPr>
              <w:t>Maximum number (or</w:t>
            </w:r>
          </w:p>
        </w:tc>
        <w:tc>
          <w:tcPr>
            <w:tcW w:w="0" w:type="dxa"/>
            <w:vAlign w:val="bottom"/>
          </w:tcPr>
          <w:p>
            <w:pPr>
              <w:spacing w:after="0"/>
              <w:rPr>
                <w:sz w:val="1"/>
                <w:szCs w:val="1"/>
                <w:color w:val="auto"/>
              </w:rPr>
            </w:pPr>
          </w:p>
        </w:tc>
      </w:tr>
      <w:tr>
        <w:trPr>
          <w:trHeight w:val="157"/>
        </w:trPr>
        <w:tc>
          <w:tcPr>
            <w:tcW w:w="40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700" w:type="dxa"/>
            <w:vAlign w:val="bottom"/>
            <w:gridSpan w:val="3"/>
            <w:vMerge w:val="restart"/>
          </w:tcPr>
          <w:p>
            <w:pPr>
              <w:ind w:left="760"/>
              <w:spacing w:after="0"/>
              <w:rPr>
                <w:sz w:val="20"/>
                <w:szCs w:val="20"/>
                <w:color w:val="auto"/>
              </w:rPr>
            </w:pPr>
            <w:r>
              <w:rPr>
                <w:rFonts w:ascii="Arial" w:cs="Arial" w:eastAsia="Arial" w:hAnsi="Arial"/>
                <w:sz w:val="16"/>
                <w:szCs w:val="16"/>
                <w:b w:val="1"/>
                <w:bCs w:val="1"/>
                <w:color w:val="auto"/>
              </w:rPr>
              <w:t>Average</w:t>
            </w:r>
          </w:p>
        </w:tc>
        <w:tc>
          <w:tcPr>
            <w:tcW w:w="1620" w:type="dxa"/>
            <w:vAlign w:val="bottom"/>
            <w:gridSpan w:val="2"/>
          </w:tcPr>
          <w:p>
            <w:pPr>
              <w:jc w:val="center"/>
              <w:ind w:right="100"/>
              <w:spacing w:after="0" w:line="157" w:lineRule="exact"/>
              <w:rPr>
                <w:sz w:val="20"/>
                <w:szCs w:val="20"/>
                <w:color w:val="auto"/>
              </w:rPr>
            </w:pPr>
            <w:r>
              <w:rPr>
                <w:rFonts w:ascii="Arial" w:cs="Arial" w:eastAsia="Arial" w:hAnsi="Arial"/>
                <w:sz w:val="16"/>
                <w:szCs w:val="16"/>
                <w:b w:val="1"/>
                <w:bCs w:val="1"/>
                <w:color w:val="auto"/>
                <w:w w:val="84"/>
              </w:rPr>
              <w:t>of shares purchased</w:t>
            </w:r>
          </w:p>
        </w:tc>
        <w:tc>
          <w:tcPr>
            <w:tcW w:w="264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9"/>
              </w:rPr>
              <w:t>approximate dollar value)</w:t>
            </w:r>
          </w:p>
        </w:tc>
        <w:tc>
          <w:tcPr>
            <w:tcW w:w="0" w:type="dxa"/>
            <w:vAlign w:val="bottom"/>
          </w:tcPr>
          <w:p>
            <w:pPr>
              <w:spacing w:after="0"/>
              <w:rPr>
                <w:sz w:val="1"/>
                <w:szCs w:val="1"/>
                <w:color w:val="auto"/>
              </w:rPr>
            </w:pPr>
          </w:p>
        </w:tc>
      </w:tr>
      <w:tr>
        <w:trPr>
          <w:trHeight w:val="157"/>
        </w:trPr>
        <w:tc>
          <w:tcPr>
            <w:tcW w:w="4040" w:type="dxa"/>
            <w:vAlign w:val="bottom"/>
          </w:tcPr>
          <w:p>
            <w:pPr>
              <w:spacing w:after="0"/>
              <w:rPr>
                <w:sz w:val="13"/>
                <w:szCs w:val="13"/>
                <w:color w:val="auto"/>
              </w:rPr>
            </w:pPr>
          </w:p>
        </w:tc>
        <w:tc>
          <w:tcPr>
            <w:tcW w:w="1240" w:type="dxa"/>
            <w:vAlign w:val="bottom"/>
            <w:gridSpan w:val="2"/>
          </w:tcPr>
          <w:p>
            <w:pPr>
              <w:jc w:val="center"/>
              <w:ind w:right="100"/>
              <w:spacing w:after="0" w:line="157" w:lineRule="exact"/>
              <w:rPr>
                <w:sz w:val="20"/>
                <w:szCs w:val="20"/>
                <w:color w:val="auto"/>
              </w:rPr>
            </w:pPr>
            <w:r>
              <w:rPr>
                <w:rFonts w:ascii="Arial" w:cs="Arial" w:eastAsia="Arial" w:hAnsi="Arial"/>
                <w:sz w:val="16"/>
                <w:szCs w:val="16"/>
                <w:b w:val="1"/>
                <w:bCs w:val="1"/>
                <w:color w:val="auto"/>
                <w:w w:val="89"/>
              </w:rPr>
              <w:t>number of</w:t>
            </w:r>
          </w:p>
        </w:tc>
        <w:tc>
          <w:tcPr>
            <w:tcW w:w="1700" w:type="dxa"/>
            <w:vAlign w:val="bottom"/>
            <w:gridSpan w:val="3"/>
            <w:vMerge w:val="continue"/>
          </w:tcPr>
          <w:p>
            <w:pPr>
              <w:spacing w:after="0"/>
              <w:rPr>
                <w:sz w:val="13"/>
                <w:szCs w:val="13"/>
                <w:color w:val="auto"/>
              </w:rPr>
            </w:pPr>
          </w:p>
        </w:tc>
        <w:tc>
          <w:tcPr>
            <w:tcW w:w="1620" w:type="dxa"/>
            <w:vAlign w:val="bottom"/>
            <w:gridSpan w:val="2"/>
          </w:tcPr>
          <w:p>
            <w:pPr>
              <w:jc w:val="center"/>
              <w:ind w:right="80"/>
              <w:spacing w:after="0" w:line="157" w:lineRule="exact"/>
              <w:rPr>
                <w:sz w:val="20"/>
                <w:szCs w:val="20"/>
                <w:color w:val="auto"/>
              </w:rPr>
            </w:pPr>
            <w:r>
              <w:rPr>
                <w:rFonts w:ascii="Arial" w:cs="Arial" w:eastAsia="Arial" w:hAnsi="Arial"/>
                <w:sz w:val="16"/>
                <w:szCs w:val="16"/>
                <w:b w:val="1"/>
                <w:bCs w:val="1"/>
                <w:color w:val="auto"/>
                <w:w w:val="89"/>
              </w:rPr>
              <w:t>as part of publicly</w:t>
            </w:r>
          </w:p>
        </w:tc>
        <w:tc>
          <w:tcPr>
            <w:tcW w:w="264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6"/>
              </w:rPr>
              <w:t>of shares that may yet be</w:t>
            </w:r>
          </w:p>
        </w:tc>
        <w:tc>
          <w:tcPr>
            <w:tcW w:w="0" w:type="dxa"/>
            <w:vAlign w:val="bottom"/>
          </w:tcPr>
          <w:p>
            <w:pPr>
              <w:spacing w:after="0"/>
              <w:rPr>
                <w:sz w:val="1"/>
                <w:szCs w:val="1"/>
                <w:color w:val="auto"/>
              </w:rPr>
            </w:pPr>
          </w:p>
        </w:tc>
      </w:tr>
      <w:tr>
        <w:trPr>
          <w:trHeight w:val="157"/>
        </w:trPr>
        <w:tc>
          <w:tcPr>
            <w:tcW w:w="4040" w:type="dxa"/>
            <w:vAlign w:val="bottom"/>
          </w:tcPr>
          <w:p>
            <w:pPr>
              <w:spacing w:after="0"/>
              <w:rPr>
                <w:sz w:val="13"/>
                <w:szCs w:val="13"/>
                <w:color w:val="auto"/>
              </w:rPr>
            </w:pPr>
          </w:p>
        </w:tc>
        <w:tc>
          <w:tcPr>
            <w:tcW w:w="1240" w:type="dxa"/>
            <w:vAlign w:val="bottom"/>
            <w:gridSpan w:val="2"/>
          </w:tcPr>
          <w:p>
            <w:pPr>
              <w:jc w:val="center"/>
              <w:ind w:right="100"/>
              <w:spacing w:after="0" w:line="157" w:lineRule="exact"/>
              <w:rPr>
                <w:sz w:val="20"/>
                <w:szCs w:val="20"/>
                <w:color w:val="auto"/>
              </w:rPr>
            </w:pPr>
            <w:r>
              <w:rPr>
                <w:rFonts w:ascii="Arial" w:cs="Arial" w:eastAsia="Arial" w:hAnsi="Arial"/>
                <w:sz w:val="16"/>
                <w:szCs w:val="16"/>
                <w:b w:val="1"/>
                <w:bCs w:val="1"/>
                <w:color w:val="auto"/>
                <w:w w:val="81"/>
              </w:rPr>
              <w:t>shares</w:t>
            </w:r>
          </w:p>
        </w:tc>
        <w:tc>
          <w:tcPr>
            <w:tcW w:w="1140" w:type="dxa"/>
            <w:vAlign w:val="bottom"/>
          </w:tcPr>
          <w:p>
            <w:pPr>
              <w:ind w:left="460"/>
              <w:spacing w:after="0" w:line="157" w:lineRule="exact"/>
              <w:rPr>
                <w:sz w:val="20"/>
                <w:szCs w:val="20"/>
                <w:color w:val="auto"/>
              </w:rPr>
            </w:pPr>
            <w:r>
              <w:rPr>
                <w:rFonts w:ascii="Arial" w:cs="Arial" w:eastAsia="Arial" w:hAnsi="Arial"/>
                <w:sz w:val="16"/>
                <w:szCs w:val="16"/>
                <w:b w:val="1"/>
                <w:bCs w:val="1"/>
                <w:color w:val="auto"/>
                <w:w w:val="87"/>
              </w:rPr>
              <w:t>price paid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jc w:val="center"/>
              <w:ind w:right="100"/>
              <w:spacing w:after="0" w:line="157" w:lineRule="exact"/>
              <w:rPr>
                <w:sz w:val="20"/>
                <w:szCs w:val="20"/>
                <w:color w:val="auto"/>
              </w:rPr>
            </w:pPr>
            <w:r>
              <w:rPr>
                <w:rFonts w:ascii="Arial" w:cs="Arial" w:eastAsia="Arial" w:hAnsi="Arial"/>
                <w:sz w:val="16"/>
                <w:szCs w:val="16"/>
                <w:b w:val="1"/>
                <w:bCs w:val="1"/>
                <w:color w:val="auto"/>
                <w:w w:val="86"/>
              </w:rPr>
              <w:t>announced plans or</w:t>
            </w:r>
          </w:p>
        </w:tc>
        <w:tc>
          <w:tcPr>
            <w:tcW w:w="580" w:type="dxa"/>
            <w:vAlign w:val="bottom"/>
          </w:tcPr>
          <w:p>
            <w:pPr>
              <w:spacing w:after="0"/>
              <w:rPr>
                <w:sz w:val="13"/>
                <w:szCs w:val="13"/>
                <w:color w:val="auto"/>
              </w:rPr>
            </w:pPr>
          </w:p>
        </w:tc>
        <w:tc>
          <w:tcPr>
            <w:tcW w:w="2060" w:type="dxa"/>
            <w:vAlign w:val="bottom"/>
          </w:tcPr>
          <w:p>
            <w:pPr>
              <w:jc w:val="center"/>
              <w:ind w:right="480"/>
              <w:spacing w:after="0" w:line="157" w:lineRule="exact"/>
              <w:rPr>
                <w:sz w:val="20"/>
                <w:szCs w:val="20"/>
                <w:color w:val="auto"/>
              </w:rPr>
            </w:pPr>
            <w:r>
              <w:rPr>
                <w:rFonts w:ascii="Arial" w:cs="Arial" w:eastAsia="Arial" w:hAnsi="Arial"/>
                <w:sz w:val="16"/>
                <w:szCs w:val="16"/>
                <w:b w:val="1"/>
                <w:bCs w:val="1"/>
                <w:color w:val="auto"/>
                <w:w w:val="87"/>
              </w:rPr>
              <w:t>purchased under the</w:t>
            </w:r>
          </w:p>
        </w:tc>
        <w:tc>
          <w:tcPr>
            <w:tcW w:w="0" w:type="dxa"/>
            <w:vAlign w:val="bottom"/>
          </w:tcPr>
          <w:p>
            <w:pPr>
              <w:spacing w:after="0"/>
              <w:rPr>
                <w:sz w:val="1"/>
                <w:szCs w:val="1"/>
                <w:color w:val="auto"/>
              </w:rPr>
            </w:pPr>
          </w:p>
        </w:tc>
      </w:tr>
      <w:tr>
        <w:trPr>
          <w:trHeight w:val="206"/>
        </w:trPr>
        <w:tc>
          <w:tcPr>
            <w:tcW w:w="404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purchased</w:t>
            </w:r>
          </w:p>
        </w:tc>
        <w:tc>
          <w:tcPr>
            <w:tcW w:w="1140" w:type="dxa"/>
            <w:vAlign w:val="bottom"/>
          </w:tcPr>
          <w:p>
            <w:pPr>
              <w:ind w:left="480"/>
              <w:spacing w:after="0"/>
              <w:rPr>
                <w:sz w:val="20"/>
                <w:szCs w:val="20"/>
                <w:color w:val="auto"/>
              </w:rPr>
            </w:pPr>
            <w:r>
              <w:rPr>
                <w:rFonts w:ascii="Arial" w:cs="Arial" w:eastAsia="Arial" w:hAnsi="Arial"/>
                <w:sz w:val="16"/>
                <w:szCs w:val="16"/>
                <w:b w:val="1"/>
                <w:bCs w:val="1"/>
                <w:color w:val="auto"/>
                <w:w w:val="88"/>
              </w:rPr>
              <w:t>per share</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programs</w:t>
            </w:r>
          </w:p>
        </w:tc>
        <w:tc>
          <w:tcPr>
            <w:tcW w:w="580" w:type="dxa"/>
            <w:vAlign w:val="bottom"/>
          </w:tcPr>
          <w:p>
            <w:pPr>
              <w:spacing w:after="0"/>
              <w:rPr>
                <w:sz w:val="17"/>
                <w:szCs w:val="17"/>
                <w:color w:val="auto"/>
              </w:rPr>
            </w:pPr>
          </w:p>
        </w:tc>
        <w:tc>
          <w:tcPr>
            <w:tcW w:w="2060" w:type="dxa"/>
            <w:vAlign w:val="bottom"/>
          </w:tcPr>
          <w:p>
            <w:pPr>
              <w:jc w:val="center"/>
              <w:ind w:right="480"/>
              <w:spacing w:after="0"/>
              <w:rPr>
                <w:sz w:val="20"/>
                <w:szCs w:val="20"/>
                <w:color w:val="auto"/>
              </w:rPr>
            </w:pPr>
            <w:r>
              <w:rPr>
                <w:rFonts w:ascii="Arial" w:cs="Arial" w:eastAsia="Arial" w:hAnsi="Arial"/>
                <w:sz w:val="16"/>
                <w:szCs w:val="16"/>
                <w:b w:val="1"/>
                <w:bCs w:val="1"/>
                <w:color w:val="auto"/>
                <w:w w:val="88"/>
              </w:rPr>
              <w:t>plans or programs (1)</w:t>
            </w:r>
          </w:p>
        </w:tc>
        <w:tc>
          <w:tcPr>
            <w:tcW w:w="0" w:type="dxa"/>
            <w:vAlign w:val="bottom"/>
          </w:tcPr>
          <w:p>
            <w:pPr>
              <w:spacing w:after="0"/>
              <w:rPr>
                <w:sz w:val="1"/>
                <w:szCs w:val="1"/>
                <w:color w:val="auto"/>
              </w:rPr>
            </w:pPr>
          </w:p>
        </w:tc>
      </w:tr>
      <w:tr>
        <w:trPr>
          <w:trHeight w:val="218"/>
        </w:trPr>
        <w:tc>
          <w:tcPr>
            <w:tcW w:w="4040" w:type="dxa"/>
            <w:vAlign w:val="bottom"/>
            <w:tcBorders>
              <w:top w:val="single" w:sz="8" w:color="CCEEFF"/>
            </w:tcBorders>
            <w:shd w:val="clear" w:color="auto" w:fill="CCEEFF"/>
          </w:tcPr>
          <w:p>
            <w:pPr>
              <w:ind w:left="500"/>
              <w:spacing w:after="0" w:line="218" w:lineRule="exact"/>
              <w:rPr>
                <w:sz w:val="20"/>
                <w:szCs w:val="20"/>
                <w:color w:val="auto"/>
              </w:rPr>
            </w:pPr>
            <w:r>
              <w:rPr>
                <w:rFonts w:ascii="Arial" w:cs="Arial" w:eastAsia="Arial" w:hAnsi="Arial"/>
                <w:sz w:val="17"/>
                <w:szCs w:val="17"/>
                <w:color w:val="auto"/>
              </w:rPr>
              <w:t xml:space="preserve">Repurchase program </w:t>
            </w:r>
            <w:r>
              <w:rPr>
                <w:rFonts w:ascii="Arial" w:cs="Arial" w:eastAsia="Arial" w:hAnsi="Arial"/>
                <w:sz w:val="22"/>
                <w:szCs w:val="22"/>
                <w:color w:val="auto"/>
                <w:vertAlign w:val="superscript"/>
              </w:rPr>
              <w:t>(1)</w:t>
            </w: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7,800,000</w:t>
            </w:r>
          </w:p>
        </w:tc>
        <w:tc>
          <w:tcPr>
            <w:tcW w:w="0" w:type="dxa"/>
            <w:vAlign w:val="bottom"/>
          </w:tcPr>
          <w:p>
            <w:pPr>
              <w:spacing w:after="0"/>
              <w:rPr>
                <w:sz w:val="1"/>
                <w:szCs w:val="1"/>
                <w:color w:val="auto"/>
              </w:rPr>
            </w:pPr>
          </w:p>
        </w:tc>
      </w:tr>
      <w:tr>
        <w:trPr>
          <w:trHeight w:val="222"/>
        </w:trPr>
        <w:tc>
          <w:tcPr>
            <w:tcW w:w="4040" w:type="dxa"/>
            <w:vAlign w:val="bottom"/>
          </w:tcPr>
          <w:p>
            <w:pPr>
              <w:ind w:left="800"/>
              <w:spacing w:after="0"/>
              <w:rPr>
                <w:sz w:val="20"/>
                <w:szCs w:val="20"/>
                <w:color w:val="auto"/>
              </w:rPr>
            </w:pPr>
            <w:r>
              <w:rPr>
                <w:rFonts w:ascii="Arial" w:cs="Arial" w:eastAsia="Arial" w:hAnsi="Arial"/>
                <w:sz w:val="17"/>
                <w:szCs w:val="17"/>
                <w:color w:val="auto"/>
              </w:rPr>
              <w:t>September 2021</w:t>
            </w:r>
          </w:p>
        </w:tc>
        <w:tc>
          <w:tcPr>
            <w:tcW w:w="1140" w:type="dxa"/>
            <w:vAlign w:val="bottom"/>
          </w:tcPr>
          <w:p>
            <w:pPr>
              <w:jc w:val="right"/>
              <w:spacing w:after="0"/>
              <w:rPr>
                <w:sz w:val="20"/>
                <w:szCs w:val="20"/>
                <w:color w:val="auto"/>
              </w:rPr>
            </w:pPr>
            <w:r>
              <w:rPr>
                <w:rFonts w:ascii="Arial" w:cs="Arial" w:eastAsia="Arial" w:hAnsi="Arial"/>
                <w:sz w:val="17"/>
                <w:szCs w:val="17"/>
                <w:color w:val="auto"/>
              </w:rPr>
              <w:t>25,502</w:t>
            </w:r>
          </w:p>
        </w:tc>
        <w:tc>
          <w:tcPr>
            <w:tcW w:w="100" w:type="dxa"/>
            <w:vAlign w:val="bottom"/>
          </w:tcPr>
          <w:p>
            <w:pPr>
              <w:spacing w:after="0"/>
              <w:rPr>
                <w:sz w:val="19"/>
                <w:szCs w:val="19"/>
                <w:color w:val="auto"/>
              </w:rPr>
            </w:pPr>
          </w:p>
        </w:tc>
        <w:tc>
          <w:tcPr>
            <w:tcW w:w="1140" w:type="dxa"/>
            <w:vAlign w:val="bottom"/>
          </w:tcPr>
          <w:p>
            <w:pPr>
              <w:ind w:left="4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9"/>
              </w:rPr>
              <w:t>19.57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25,502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66" w:lineRule="exact"/>
        <w:rPr>
          <w:sz w:val="20"/>
          <w:szCs w:val="20"/>
          <w:color w:val="auto"/>
        </w:rPr>
      </w:pPr>
    </w:p>
    <w:p>
      <w:pPr>
        <w:ind w:left="860" w:hanging="856"/>
        <w:spacing w:after="0"/>
        <w:tabs>
          <w:tab w:leader="none" w:pos="860" w:val="left"/>
        </w:tabs>
        <w:numPr>
          <w:ilvl w:val="0"/>
          <w:numId w:val="12"/>
        </w:numPr>
        <w:rPr>
          <w:rFonts w:ascii="Arial" w:cs="Arial" w:eastAsia="Arial" w:hAnsi="Arial"/>
          <w:sz w:val="16"/>
          <w:szCs w:val="16"/>
          <w:color w:val="auto"/>
        </w:rPr>
      </w:pPr>
      <w:r>
        <w:rPr>
          <w:rFonts w:ascii="Arial" w:cs="Arial" w:eastAsia="Arial" w:hAnsi="Arial"/>
          <w:sz w:val="17"/>
          <w:szCs w:val="17"/>
          <w:color w:val="auto"/>
        </w:rPr>
        <w:t>These purchases relate to the share repurchase program and were authorized in April 2020.</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79"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71" w:right="339" w:bottom="1440" w:gutter="0" w:footer="0" w:header="0"/>
        </w:sectPr>
      </w:pPr>
    </w:p>
    <w:bookmarkStart w:id="30" w:name="page31"/>
    <w:bookmarkEnd w:id="30"/>
    <w:p>
      <w:pPr>
        <w:ind w:left="100"/>
        <w:spacing w:after="0"/>
        <w:tabs>
          <w:tab w:leader="none" w:pos="900" w:val="left"/>
        </w:tabs>
        <w:rPr>
          <w:sz w:val="20"/>
          <w:szCs w:val="20"/>
          <w:color w:val="auto"/>
        </w:rPr>
      </w:pPr>
      <w:r>
        <w:rPr>
          <w:rFonts w:ascii="Arial" w:cs="Arial" w:eastAsia="Arial" w:hAnsi="Arial"/>
          <w:sz w:val="17"/>
          <w:szCs w:val="17"/>
          <w:b w:val="1"/>
          <w:bCs w:val="1"/>
          <w:color w:val="auto"/>
        </w:rPr>
        <w:t>ITEM 6.</w:t>
        <w:tab/>
        <w:t>EXHIBITS</w:t>
      </w:r>
    </w:p>
    <w:p>
      <w:pPr>
        <w:spacing w:after="0" w:line="267" w:lineRule="exact"/>
        <w:rPr>
          <w:sz w:val="20"/>
          <w:szCs w:val="20"/>
          <w:color w:val="auto"/>
        </w:rPr>
      </w:pPr>
    </w:p>
    <w:p>
      <w:pPr>
        <w:spacing w:after="0"/>
        <w:rPr>
          <w:rFonts w:ascii="Arial" w:cs="Arial" w:eastAsia="Arial" w:hAnsi="Arial"/>
          <w:sz w:val="17"/>
          <w:szCs w:val="17"/>
          <w:u w:val="single" w:color="auto"/>
          <w:color w:val="0000FF"/>
        </w:rPr>
      </w:pPr>
      <w:hyperlink w:anchor="page33">
        <w:r>
          <w:rPr>
            <w:rFonts w:ascii="Arial" w:cs="Arial" w:eastAsia="Arial" w:hAnsi="Arial"/>
            <w:sz w:val="17"/>
            <w:szCs w:val="17"/>
            <w:u w:val="single" w:color="auto"/>
            <w:color w:val="0000FF"/>
          </w:rPr>
          <w:t>ification of Chief Executive Officer Pursuant to Securities Exchange Act Rule 13a-14(a)</w:t>
        </w:r>
      </w:hyperlink>
    </w:p>
    <w:p>
      <w:pPr>
        <w:spacing w:after="0" w:line="235" w:lineRule="exact"/>
        <w:rPr>
          <w:sz w:val="20"/>
          <w:szCs w:val="20"/>
          <w:color w:val="auto"/>
        </w:rPr>
      </w:pPr>
    </w:p>
    <w:p>
      <w:pPr>
        <w:spacing w:after="0"/>
        <w:rPr>
          <w:rFonts w:ascii="Arial" w:cs="Arial" w:eastAsia="Arial" w:hAnsi="Arial"/>
          <w:sz w:val="17"/>
          <w:szCs w:val="17"/>
          <w:u w:val="single" w:color="auto"/>
          <w:color w:val="0000FF"/>
        </w:rPr>
      </w:pPr>
      <w:hyperlink w:anchor="page34">
        <w:r>
          <w:rPr>
            <w:rFonts w:ascii="Arial" w:cs="Arial" w:eastAsia="Arial" w:hAnsi="Arial"/>
            <w:sz w:val="17"/>
            <w:szCs w:val="17"/>
            <w:u w:val="single" w:color="auto"/>
            <w:color w:val="0000FF"/>
          </w:rPr>
          <w:t>ification of Chief Financial Officer Pursuant to Securities Exchange Act Rule 13a-14(a)</w:t>
        </w:r>
      </w:hyperlink>
    </w:p>
    <w:p>
      <w:pPr>
        <w:spacing w:after="0" w:line="235" w:lineRule="exact"/>
        <w:rPr>
          <w:sz w:val="20"/>
          <w:szCs w:val="20"/>
          <w:color w:val="auto"/>
        </w:rPr>
      </w:pPr>
    </w:p>
    <w:p>
      <w:pPr>
        <w:ind w:left="1340" w:right="599" w:hanging="1335"/>
        <w:spacing w:after="0" w:line="239" w:lineRule="auto"/>
        <w:rPr>
          <w:rFonts w:ascii="Arial" w:cs="Arial" w:eastAsia="Arial" w:hAnsi="Arial"/>
          <w:sz w:val="17"/>
          <w:szCs w:val="17"/>
          <w:u w:val="single" w:color="auto"/>
          <w:color w:val="0000FF"/>
        </w:rPr>
      </w:pPr>
      <w:hyperlink w:anchor="page35">
        <w:r>
          <w:rPr>
            <w:rFonts w:ascii="Arial" w:cs="Arial" w:eastAsia="Arial" w:hAnsi="Arial"/>
            <w:sz w:val="17"/>
            <w:szCs w:val="17"/>
            <w:u w:val="single" w:color="auto"/>
            <w:color w:val="0000FF"/>
          </w:rPr>
          <w:t>ification of Chief Executive Officer Pursuant to 18 U.S.C. Section 1350, as Adopted Pursuant to Section 906 of the Sarbanes-Oxley Act of</w:t>
        </w:r>
      </w:hyperlink>
      <w:r>
        <w:rPr>
          <w:rFonts w:ascii="Arial" w:cs="Arial" w:eastAsia="Arial" w:hAnsi="Arial"/>
          <w:sz w:val="17"/>
          <w:szCs w:val="17"/>
          <w:u w:val="single" w:color="auto"/>
          <w:color w:val="0000FF"/>
        </w:rPr>
        <w:t xml:space="preserve"> </w:t>
      </w:r>
      <w:hyperlink w:anchor="page35">
        <w:r>
          <w:rPr>
            <w:rFonts w:ascii="Arial" w:cs="Arial" w:eastAsia="Arial" w:hAnsi="Arial"/>
            <w:sz w:val="17"/>
            <w:szCs w:val="17"/>
            <w:u w:val="single" w:color="auto"/>
            <w:color w:val="0000FF"/>
          </w:rPr>
          <w:t>2002</w:t>
        </w:r>
      </w:hyperlink>
    </w:p>
    <w:p>
      <w:pPr>
        <w:spacing w:after="0" w:line="211" w:lineRule="exact"/>
        <w:rPr>
          <w:sz w:val="20"/>
          <w:szCs w:val="20"/>
          <w:color w:val="auto"/>
        </w:rPr>
      </w:pPr>
    </w:p>
    <w:p>
      <w:pPr>
        <w:ind w:left="1340" w:right="639" w:hanging="1335"/>
        <w:spacing w:after="0" w:line="239" w:lineRule="auto"/>
        <w:rPr>
          <w:rFonts w:ascii="Arial" w:cs="Arial" w:eastAsia="Arial" w:hAnsi="Arial"/>
          <w:sz w:val="17"/>
          <w:szCs w:val="17"/>
          <w:u w:val="single" w:color="auto"/>
          <w:color w:val="0000FF"/>
        </w:rPr>
      </w:pPr>
      <w:hyperlink w:anchor="page36">
        <w:r>
          <w:rPr>
            <w:rFonts w:ascii="Arial" w:cs="Arial" w:eastAsia="Arial" w:hAnsi="Arial"/>
            <w:sz w:val="17"/>
            <w:szCs w:val="17"/>
            <w:u w:val="single" w:color="auto"/>
            <w:color w:val="0000FF"/>
          </w:rPr>
          <w:t>ification of Chief Financial Officer Pursuant to 18 U.S.C. Section 1350, as Adopted Pursuant to Section 906 of the Sarbanes-Oxley Act of</w:t>
        </w:r>
      </w:hyperlink>
      <w:r>
        <w:rPr>
          <w:rFonts w:ascii="Arial" w:cs="Arial" w:eastAsia="Arial" w:hAnsi="Arial"/>
          <w:sz w:val="17"/>
          <w:szCs w:val="17"/>
          <w:u w:val="single" w:color="auto"/>
          <w:color w:val="0000FF"/>
        </w:rPr>
        <w:t xml:space="preserve"> </w:t>
      </w:r>
      <w:hyperlink w:anchor="page36">
        <w:r>
          <w:rPr>
            <w:rFonts w:ascii="Arial" w:cs="Arial" w:eastAsia="Arial" w:hAnsi="Arial"/>
            <w:sz w:val="17"/>
            <w:szCs w:val="17"/>
            <w:u w:val="single" w:color="auto"/>
            <w:color w:val="0000FF"/>
          </w:rPr>
          <w:t>2002</w:t>
        </w:r>
      </w:hyperlink>
    </w:p>
    <w:p>
      <w:pPr>
        <w:spacing w:after="0" w:line="211" w:lineRule="exact"/>
        <w:rPr>
          <w:sz w:val="20"/>
          <w:szCs w:val="20"/>
          <w:color w:val="auto"/>
        </w:rPr>
      </w:pPr>
    </w:p>
    <w:p>
      <w:pPr>
        <w:ind w:left="1340" w:right="619" w:hanging="1330"/>
        <w:spacing w:after="0" w:line="249" w:lineRule="auto"/>
        <w:rPr>
          <w:sz w:val="20"/>
          <w:szCs w:val="20"/>
          <w:color w:val="auto"/>
        </w:rPr>
      </w:pPr>
      <w:r>
        <w:rPr>
          <w:rFonts w:ascii="Arial" w:cs="Arial" w:eastAsia="Arial" w:hAnsi="Arial"/>
          <w:sz w:val="15"/>
          <w:szCs w:val="15"/>
          <w:color w:val="auto"/>
        </w:rPr>
        <w:t>following financial information from Westwood Holdings Group, Inc.'s Quarterly Report on Form 10-Q for the period ended September 30, 2021, formatted in Inline eXtensible Business Reporting Language (iXBRL): (i) Condensed Consolidated Balance Sheets as of September 30, 2021 and December 31, 2020; (ii) Condensed Consolidated Statements of Comprehensive Income (Loss) for the three and nine months ended September 30, 2021 and 2020; (iii) Condensed Consolidated Statements of Stockholders' Equity; (iv) Condensed Consolidated Statements of Cash Flows for the nine months ended September 30, 2021 and 2020; and (v) Notes to the Condensed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er Page Interactive Data File (formatted as iXBRL and contained in Exhibit 101)</w:t>
      </w:r>
    </w:p>
    <w:p>
      <w:pPr>
        <w:spacing w:after="0" w:line="314" w:lineRule="exact"/>
        <w:rPr>
          <w:sz w:val="20"/>
          <w:szCs w:val="20"/>
          <w:color w:val="auto"/>
        </w:rPr>
      </w:pPr>
    </w:p>
    <w:p>
      <w:pPr>
        <w:ind w:left="100"/>
        <w:spacing w:after="0"/>
        <w:tabs>
          <w:tab w:leader="none" w:pos="3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Filed herewith.</w:t>
      </w:r>
    </w:p>
    <w:p>
      <w:pPr>
        <w:spacing w:after="0" w:line="26" w:lineRule="exact"/>
        <w:rPr>
          <w:sz w:val="20"/>
          <w:szCs w:val="20"/>
          <w:color w:val="auto"/>
        </w:rPr>
      </w:pPr>
    </w:p>
    <w:p>
      <w:pPr>
        <w:ind w:left="100"/>
        <w:spacing w:after="0"/>
        <w:tabs>
          <w:tab w:leader="none" w:pos="4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69850</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239"/>
          </w:cols>
          <w:pgMar w:left="220" w:top="1061" w:right="1440" w:bottom="1440" w:gutter="0" w:footer="0" w:header="0"/>
        </w:sectPr>
      </w:pPr>
    </w:p>
    <w:bookmarkStart w:id="31" w:name="page32"/>
    <w:bookmarkEnd w:id="31"/>
    <w:p>
      <w:pPr>
        <w:jc w:val="center"/>
        <w:ind w:right="-839"/>
        <w:spacing w:after="0"/>
        <w:rPr>
          <w:sz w:val="20"/>
          <w:szCs w:val="20"/>
          <w:color w:val="auto"/>
        </w:rPr>
      </w:pPr>
      <w:r>
        <w:rPr>
          <w:rFonts w:ascii="Arial" w:cs="Arial" w:eastAsia="Arial" w:hAnsi="Arial"/>
          <w:sz w:val="17"/>
          <w:szCs w:val="17"/>
          <w:color w:val="auto"/>
        </w:rPr>
        <w:t>SIGNATURES</w:t>
      </w:r>
    </w:p>
    <w:p>
      <w:pPr>
        <w:spacing w:after="0" w:line="222" w:lineRule="exact"/>
        <w:rPr>
          <w:sz w:val="20"/>
          <w:szCs w:val="20"/>
          <w:color w:val="auto"/>
        </w:rPr>
      </w:pPr>
    </w:p>
    <w:p>
      <w:pPr>
        <w:ind w:firstLine="470"/>
        <w:spacing w:after="0" w:line="28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221"/>
        </w:trPr>
        <w:tc>
          <w:tcPr>
            <w:tcW w:w="3440" w:type="dxa"/>
            <w:vAlign w:val="bottom"/>
          </w:tcPr>
          <w:p>
            <w:pPr>
              <w:spacing w:after="0"/>
              <w:rPr>
                <w:sz w:val="20"/>
                <w:szCs w:val="20"/>
                <w:color w:val="auto"/>
              </w:rPr>
            </w:pPr>
            <w:r>
              <w:rPr>
                <w:rFonts w:ascii="Arial" w:cs="Arial" w:eastAsia="Arial" w:hAnsi="Arial"/>
                <w:sz w:val="17"/>
                <w:szCs w:val="17"/>
                <w:color w:val="auto"/>
              </w:rPr>
              <w:t>Dated:   October 27, 2021</w:t>
            </w:r>
          </w:p>
        </w:tc>
        <w:tc>
          <w:tcPr>
            <w:tcW w:w="5960" w:type="dxa"/>
            <w:vAlign w:val="bottom"/>
            <w:gridSpan w:val="2"/>
          </w:tcPr>
          <w:p>
            <w:pPr>
              <w:ind w:left="1520"/>
              <w:spacing w:after="0"/>
              <w:rPr>
                <w:sz w:val="20"/>
                <w:szCs w:val="20"/>
                <w:color w:val="auto"/>
              </w:rPr>
            </w:pPr>
            <w:r>
              <w:rPr>
                <w:rFonts w:ascii="Arial" w:cs="Arial" w:eastAsia="Arial" w:hAnsi="Arial"/>
                <w:sz w:val="17"/>
                <w:szCs w:val="17"/>
                <w:color w:val="auto"/>
              </w:rPr>
              <w:t>WESTWOOD HOLDINGS GROUP, INC.</w:t>
            </w:r>
          </w:p>
        </w:tc>
      </w:tr>
      <w:tr>
        <w:trPr>
          <w:trHeight w:val="470"/>
        </w:trPr>
        <w:tc>
          <w:tcPr>
            <w:tcW w:w="3440" w:type="dxa"/>
            <w:vAlign w:val="bottom"/>
          </w:tcPr>
          <w:p>
            <w:pPr>
              <w:spacing w:after="0"/>
              <w:rPr>
                <w:sz w:val="24"/>
                <w:szCs w:val="24"/>
                <w:color w:val="auto"/>
              </w:rPr>
            </w:pPr>
          </w:p>
        </w:tc>
        <w:tc>
          <w:tcPr>
            <w:tcW w:w="2140" w:type="dxa"/>
            <w:vAlign w:val="bottom"/>
          </w:tcPr>
          <w:p>
            <w:pPr>
              <w:ind w:left="1520"/>
              <w:spacing w:after="0"/>
              <w:rPr>
                <w:sz w:val="20"/>
                <w:szCs w:val="20"/>
                <w:color w:val="auto"/>
              </w:rPr>
            </w:pPr>
            <w:r>
              <w:rPr>
                <w:rFonts w:ascii="Arial" w:cs="Arial" w:eastAsia="Arial" w:hAnsi="Arial"/>
                <w:sz w:val="17"/>
                <w:szCs w:val="17"/>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Brian O. Casey</w:t>
            </w:r>
          </w:p>
        </w:tc>
      </w:tr>
      <w:tr>
        <w:trPr>
          <w:trHeight w:val="215"/>
        </w:trPr>
        <w:tc>
          <w:tcPr>
            <w:tcW w:w="3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7"/>
                <w:szCs w:val="17"/>
                <w:color w:val="auto"/>
              </w:rPr>
              <w:t>Brian O. Casey</w:t>
            </w:r>
          </w:p>
        </w:tc>
      </w:tr>
      <w:tr>
        <w:trPr>
          <w:trHeight w:val="222"/>
        </w:trPr>
        <w:tc>
          <w:tcPr>
            <w:tcW w:w="3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7"/>
                <w:szCs w:val="17"/>
                <w:color w:val="auto"/>
              </w:rPr>
              <w:t>President and Chief Executive Officer</w:t>
            </w:r>
          </w:p>
        </w:tc>
      </w:tr>
      <w:tr>
        <w:trPr>
          <w:trHeight w:val="431"/>
        </w:trPr>
        <w:tc>
          <w:tcPr>
            <w:tcW w:w="3440" w:type="dxa"/>
            <w:vAlign w:val="bottom"/>
          </w:tcPr>
          <w:p>
            <w:pPr>
              <w:spacing w:after="0"/>
              <w:rPr>
                <w:sz w:val="24"/>
                <w:szCs w:val="24"/>
                <w:color w:val="auto"/>
              </w:rPr>
            </w:pPr>
          </w:p>
        </w:tc>
        <w:tc>
          <w:tcPr>
            <w:tcW w:w="2140" w:type="dxa"/>
            <w:vAlign w:val="bottom"/>
          </w:tcPr>
          <w:p>
            <w:pPr>
              <w:ind w:left="1520"/>
              <w:spacing w:after="0"/>
              <w:rPr>
                <w:sz w:val="20"/>
                <w:szCs w:val="20"/>
                <w:color w:val="auto"/>
              </w:rPr>
            </w:pPr>
            <w:r>
              <w:rPr>
                <w:rFonts w:ascii="Arial" w:cs="Arial" w:eastAsia="Arial" w:hAnsi="Arial"/>
                <w:sz w:val="17"/>
                <w:szCs w:val="17"/>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Murray Forbes III</w:t>
            </w:r>
          </w:p>
        </w:tc>
      </w:tr>
      <w:tr>
        <w:trPr>
          <w:trHeight w:val="215"/>
        </w:trPr>
        <w:tc>
          <w:tcPr>
            <w:tcW w:w="3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7"/>
                <w:szCs w:val="17"/>
                <w:color w:val="auto"/>
              </w:rPr>
              <w:t>Murray Forbes III</w:t>
            </w:r>
          </w:p>
        </w:tc>
      </w:tr>
      <w:tr>
        <w:trPr>
          <w:trHeight w:val="222"/>
        </w:trPr>
        <w:tc>
          <w:tcPr>
            <w:tcW w:w="3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7"/>
                <w:szCs w:val="17"/>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400"/>
          </w:cols>
          <w:pgMar w:left="320" w:top="1067" w:right="1179" w:bottom="1440" w:gutter="0" w:footer="0" w:header="0"/>
        </w:sectPr>
      </w:pPr>
    </w:p>
    <w:bookmarkStart w:id="32" w:name="page33"/>
    <w:bookmarkEnd w:id="32"/>
    <w:p>
      <w:pPr>
        <w:jc w:val="right"/>
        <w:spacing w:after="0"/>
        <w:rPr>
          <w:sz w:val="20"/>
          <w:szCs w:val="20"/>
          <w:color w:val="auto"/>
        </w:rPr>
      </w:pPr>
      <w:r>
        <w:rPr>
          <w:rFonts w:ascii="Arial" w:cs="Arial" w:eastAsia="Arial" w:hAnsi="Arial"/>
          <w:sz w:val="16"/>
          <w:szCs w:val="16"/>
          <w:b w:val="1"/>
          <w:bCs w:val="1"/>
          <w:color w:val="auto"/>
        </w:rPr>
        <w:t>Exhibit 31.1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EXCHANGE ACT RULES 13a-14(a)</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I, Brian O. Casey, certify that:</w:t>
      </w:r>
    </w:p>
    <w:p>
      <w:pPr>
        <w:spacing w:after="0" w:line="200" w:lineRule="exact"/>
        <w:rPr>
          <w:sz w:val="20"/>
          <w:szCs w:val="20"/>
          <w:color w:val="auto"/>
        </w:rPr>
      </w:pPr>
    </w:p>
    <w:p>
      <w:pPr>
        <w:spacing w:after="0" w:line="243" w:lineRule="exact"/>
        <w:rPr>
          <w:sz w:val="20"/>
          <w:szCs w:val="20"/>
          <w:color w:val="auto"/>
        </w:rPr>
      </w:pPr>
    </w:p>
    <w:p>
      <w:pPr>
        <w:ind w:left="640" w:hanging="322"/>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 have reviewed this report on Form 10-Q of Westwood Holdings Group, Inc.;</w:t>
      </w:r>
    </w:p>
    <w:p>
      <w:pPr>
        <w:spacing w:after="0" w:line="103" w:lineRule="exact"/>
        <w:rPr>
          <w:rFonts w:ascii="Arial" w:cs="Arial" w:eastAsia="Arial" w:hAnsi="Arial"/>
          <w:sz w:val="16"/>
          <w:szCs w:val="16"/>
          <w:color w:val="auto"/>
        </w:rPr>
      </w:pPr>
    </w:p>
    <w:p>
      <w:pPr>
        <w:ind w:left="640" w:right="220" w:hanging="322"/>
        <w:spacing w:after="0" w:line="291" w:lineRule="auto"/>
        <w:tabs>
          <w:tab w:leader="none" w:pos="6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Arial" w:cs="Arial" w:eastAsia="Arial" w:hAnsi="Arial"/>
          <w:sz w:val="15"/>
          <w:szCs w:val="15"/>
          <w:color w:val="auto"/>
        </w:rPr>
      </w:pPr>
    </w:p>
    <w:p>
      <w:pPr>
        <w:ind w:left="640" w:right="200" w:hanging="322"/>
        <w:spacing w:after="0" w:line="258"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16"/>
          <w:szCs w:val="16"/>
          <w:color w:val="auto"/>
        </w:rPr>
      </w:pPr>
    </w:p>
    <w:p>
      <w:pPr>
        <w:ind w:left="640" w:hanging="322"/>
        <w:spacing w:after="0"/>
        <w:tabs>
          <w:tab w:leader="none" w:pos="6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w:t>
      </w:r>
    </w:p>
    <w:p>
      <w:pPr>
        <w:spacing w:after="0" w:line="47" w:lineRule="exact"/>
        <w:rPr>
          <w:rFonts w:ascii="Arial" w:cs="Arial" w:eastAsia="Arial" w:hAnsi="Arial"/>
          <w:sz w:val="13"/>
          <w:szCs w:val="13"/>
          <w:color w:val="auto"/>
        </w:rPr>
      </w:pPr>
    </w:p>
    <w:p>
      <w:pPr>
        <w:ind w:left="640"/>
        <w:spacing w:after="0"/>
        <w:rPr>
          <w:rFonts w:ascii="Arial" w:cs="Arial" w:eastAsia="Arial" w:hAnsi="Arial"/>
          <w:sz w:val="13"/>
          <w:szCs w:val="13"/>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00" w:lineRule="exact"/>
        <w:rPr>
          <w:rFonts w:ascii="Arial" w:cs="Arial" w:eastAsia="Arial" w:hAnsi="Arial"/>
          <w:sz w:val="13"/>
          <w:szCs w:val="13"/>
          <w:color w:val="auto"/>
        </w:rPr>
      </w:pPr>
    </w:p>
    <w:p>
      <w:pPr>
        <w:ind w:left="1260" w:right="140" w:hanging="316"/>
        <w:spacing w:after="0" w:line="248" w:lineRule="auto"/>
        <w:tabs>
          <w:tab w:leader="none" w:pos="1251"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6"/>
          <w:szCs w:val="16"/>
          <w:color w:val="auto"/>
        </w:rPr>
      </w:pPr>
    </w:p>
    <w:p>
      <w:pPr>
        <w:ind w:left="1260" w:right="280" w:hanging="316"/>
        <w:spacing w:after="0" w:line="248" w:lineRule="auto"/>
        <w:tabs>
          <w:tab w:leader="none" w:pos="12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6"/>
          <w:szCs w:val="16"/>
          <w:color w:val="auto"/>
        </w:rPr>
      </w:pPr>
    </w:p>
    <w:p>
      <w:pPr>
        <w:ind w:left="1260" w:right="300" w:hanging="316"/>
        <w:spacing w:after="0" w:line="258" w:lineRule="auto"/>
        <w:tabs>
          <w:tab w:leader="none" w:pos="1251"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16"/>
          <w:szCs w:val="16"/>
          <w:color w:val="auto"/>
        </w:rPr>
      </w:pPr>
    </w:p>
    <w:p>
      <w:pPr>
        <w:ind w:left="1260" w:right="220" w:hanging="316"/>
        <w:spacing w:after="0" w:line="248" w:lineRule="auto"/>
        <w:tabs>
          <w:tab w:leader="none" w:pos="12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6"/>
          <w:szCs w:val="16"/>
          <w:color w:val="auto"/>
        </w:rPr>
      </w:pPr>
    </w:p>
    <w:p>
      <w:pPr>
        <w:ind w:left="640" w:right="500" w:hanging="322"/>
        <w:spacing w:after="0" w:line="258"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rFonts w:ascii="Arial" w:cs="Arial" w:eastAsia="Arial" w:hAnsi="Arial"/>
          <w:sz w:val="16"/>
          <w:szCs w:val="16"/>
          <w:color w:val="auto"/>
        </w:rPr>
      </w:pPr>
    </w:p>
    <w:p>
      <w:pPr>
        <w:ind w:left="1260" w:right="500" w:hanging="316"/>
        <w:spacing w:after="0" w:line="258" w:lineRule="auto"/>
        <w:tabs>
          <w:tab w:leader="none" w:pos="1203"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16"/>
          <w:szCs w:val="16"/>
          <w:color w:val="auto"/>
        </w:rPr>
      </w:pPr>
    </w:p>
    <w:p>
      <w:pPr>
        <w:ind w:left="1260" w:right="120" w:hanging="316"/>
        <w:spacing w:after="0" w:line="258" w:lineRule="auto"/>
        <w:tabs>
          <w:tab w:leader="none" w:pos="1212"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Dated: October 27, 2021</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30505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50540" cy="825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Brian O. Casey</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&amp; Chief Executive Officer</w:t>
      </w:r>
    </w:p>
    <w:p>
      <w:pPr>
        <w:sectPr>
          <w:pgSz w:w="11900" w:h="16838" w:orient="portrait"/>
          <w:cols w:equalWidth="0" w:num="1">
            <w:col w:w="11240"/>
          </w:cols>
          <w:pgMar w:left="320" w:top="143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6"/>
          <w:szCs w:val="16"/>
          <w:b w:val="1"/>
          <w:bCs w:val="1"/>
          <w:color w:val="auto"/>
        </w:rPr>
        <w:t>Exhibit 31.2</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EXCHANGE ACT RULES 13a-14(a)</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I, Murray Forbes III, certify that:</w:t>
      </w:r>
    </w:p>
    <w:p>
      <w:pPr>
        <w:spacing w:after="0" w:line="200" w:lineRule="exact"/>
        <w:rPr>
          <w:sz w:val="20"/>
          <w:szCs w:val="20"/>
          <w:color w:val="auto"/>
        </w:rPr>
      </w:pPr>
    </w:p>
    <w:p>
      <w:pPr>
        <w:spacing w:after="0" w:line="243" w:lineRule="exact"/>
        <w:rPr>
          <w:sz w:val="20"/>
          <w:szCs w:val="20"/>
          <w:color w:val="auto"/>
        </w:rPr>
      </w:pPr>
    </w:p>
    <w:p>
      <w:pPr>
        <w:ind w:left="640" w:hanging="322"/>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have reviewed this report on Form 10-Q of Westwood Holdings Group, Inc.;</w:t>
      </w:r>
    </w:p>
    <w:p>
      <w:pPr>
        <w:spacing w:after="0" w:line="103" w:lineRule="exact"/>
        <w:rPr>
          <w:rFonts w:ascii="Arial" w:cs="Arial" w:eastAsia="Arial" w:hAnsi="Arial"/>
          <w:sz w:val="16"/>
          <w:szCs w:val="16"/>
          <w:color w:val="auto"/>
        </w:rPr>
      </w:pPr>
    </w:p>
    <w:p>
      <w:pPr>
        <w:ind w:left="640" w:right="220" w:hanging="322"/>
        <w:spacing w:after="0" w:line="291" w:lineRule="auto"/>
        <w:tabs>
          <w:tab w:leader="none" w:pos="6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Arial" w:cs="Arial" w:eastAsia="Arial" w:hAnsi="Arial"/>
          <w:sz w:val="15"/>
          <w:szCs w:val="15"/>
          <w:color w:val="auto"/>
        </w:rPr>
      </w:pPr>
    </w:p>
    <w:p>
      <w:pPr>
        <w:ind w:left="640" w:right="200" w:hanging="322"/>
        <w:spacing w:after="0" w:line="258" w:lineRule="auto"/>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16"/>
          <w:szCs w:val="16"/>
          <w:color w:val="auto"/>
        </w:rPr>
      </w:pPr>
    </w:p>
    <w:p>
      <w:pPr>
        <w:ind w:left="640" w:hanging="322"/>
        <w:spacing w:after="0"/>
        <w:tabs>
          <w:tab w:leader="none" w:pos="6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w:t>
      </w:r>
    </w:p>
    <w:p>
      <w:pPr>
        <w:spacing w:after="0" w:line="47" w:lineRule="exact"/>
        <w:rPr>
          <w:rFonts w:ascii="Arial" w:cs="Arial" w:eastAsia="Arial" w:hAnsi="Arial"/>
          <w:sz w:val="13"/>
          <w:szCs w:val="13"/>
          <w:color w:val="auto"/>
        </w:rPr>
      </w:pPr>
    </w:p>
    <w:p>
      <w:pPr>
        <w:ind w:left="640"/>
        <w:spacing w:after="0"/>
        <w:rPr>
          <w:rFonts w:ascii="Arial" w:cs="Arial" w:eastAsia="Arial" w:hAnsi="Arial"/>
          <w:sz w:val="13"/>
          <w:szCs w:val="13"/>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00" w:lineRule="exact"/>
        <w:rPr>
          <w:rFonts w:ascii="Arial" w:cs="Arial" w:eastAsia="Arial" w:hAnsi="Arial"/>
          <w:sz w:val="13"/>
          <w:szCs w:val="13"/>
          <w:color w:val="auto"/>
        </w:rPr>
      </w:pPr>
    </w:p>
    <w:p>
      <w:pPr>
        <w:ind w:left="1260" w:right="140" w:hanging="316"/>
        <w:spacing w:after="0" w:line="248" w:lineRule="auto"/>
        <w:tabs>
          <w:tab w:leader="none" w:pos="1251"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6"/>
          <w:szCs w:val="16"/>
          <w:color w:val="auto"/>
        </w:rPr>
      </w:pPr>
    </w:p>
    <w:p>
      <w:pPr>
        <w:ind w:left="1260" w:right="280" w:hanging="316"/>
        <w:spacing w:after="0" w:line="248" w:lineRule="auto"/>
        <w:tabs>
          <w:tab w:leader="none" w:pos="12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6"/>
          <w:szCs w:val="16"/>
          <w:color w:val="auto"/>
        </w:rPr>
      </w:pPr>
    </w:p>
    <w:p>
      <w:pPr>
        <w:ind w:left="1260" w:right="300" w:hanging="316"/>
        <w:spacing w:after="0" w:line="258" w:lineRule="auto"/>
        <w:tabs>
          <w:tab w:leader="none" w:pos="1251"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16"/>
          <w:szCs w:val="16"/>
          <w:color w:val="auto"/>
        </w:rPr>
      </w:pPr>
    </w:p>
    <w:p>
      <w:pPr>
        <w:ind w:left="1260" w:right="220" w:hanging="316"/>
        <w:spacing w:after="0" w:line="248" w:lineRule="auto"/>
        <w:tabs>
          <w:tab w:leader="none" w:pos="12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6"/>
          <w:szCs w:val="16"/>
          <w:color w:val="auto"/>
        </w:rPr>
      </w:pPr>
    </w:p>
    <w:p>
      <w:pPr>
        <w:ind w:left="640" w:hanging="322"/>
        <w:spacing w:after="0" w:line="258" w:lineRule="auto"/>
        <w:tabs>
          <w:tab w:leader="none" w:pos="5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rFonts w:ascii="Arial" w:cs="Arial" w:eastAsia="Arial" w:hAnsi="Arial"/>
          <w:sz w:val="16"/>
          <w:szCs w:val="16"/>
          <w:color w:val="auto"/>
        </w:rPr>
      </w:pPr>
    </w:p>
    <w:p>
      <w:pPr>
        <w:ind w:left="1260" w:right="500" w:hanging="316"/>
        <w:spacing w:after="0" w:line="258" w:lineRule="auto"/>
        <w:tabs>
          <w:tab w:leader="none" w:pos="1203"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16"/>
          <w:szCs w:val="16"/>
          <w:color w:val="auto"/>
        </w:rPr>
      </w:pPr>
    </w:p>
    <w:p>
      <w:pPr>
        <w:ind w:left="1260" w:right="120" w:hanging="316"/>
        <w:spacing w:after="0" w:line="258" w:lineRule="auto"/>
        <w:tabs>
          <w:tab w:leader="none" w:pos="1212"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Dated: October 27, 2021</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30505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50540" cy="825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Murray Forbes III</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 and Treasurer</w:t>
      </w:r>
    </w:p>
    <w:p>
      <w:pPr>
        <w:sectPr>
          <w:pgSz w:w="11900" w:h="16838" w:orient="portrait"/>
          <w:cols w:equalWidth="0" w:num="1">
            <w:col w:w="11240"/>
          </w:cols>
          <w:pgMar w:left="320" w:top="143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6"/>
          <w:szCs w:val="16"/>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jc w:val="center"/>
        <w:spacing w:after="0" w:line="238" w:lineRule="auto"/>
        <w:rPr>
          <w:sz w:val="20"/>
          <w:szCs w:val="20"/>
          <w:color w:val="auto"/>
        </w:rPr>
      </w:pPr>
      <w:r>
        <w:rPr>
          <w:rFonts w:ascii="Arial" w:cs="Arial" w:eastAsia="Arial" w:hAnsi="Arial"/>
          <w:sz w:val="16"/>
          <w:szCs w:val="16"/>
          <w:b w:val="1"/>
          <w:bCs w:val="1"/>
          <w:color w:val="auto"/>
        </w:rPr>
        <w:t>AS ADOPTED PURSUANT TO</w:t>
      </w: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94"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In connection with the Quarterly Report of Westwood Holdings Group, Inc. (the “Company”) on Form 10-Q for the period ended September 30, 2021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spacing w:after="0" w:line="82" w:lineRule="exact"/>
        <w:rPr>
          <w:sz w:val="20"/>
          <w:szCs w:val="20"/>
          <w:color w:val="auto"/>
        </w:rPr>
      </w:pPr>
    </w:p>
    <w:p>
      <w:pPr>
        <w:ind w:left="700" w:hanging="226"/>
        <w:spacing w:after="0"/>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U.S.C.78m or 78o(d)); and</w:t>
      </w:r>
    </w:p>
    <w:p>
      <w:pPr>
        <w:spacing w:after="0" w:line="103" w:lineRule="exact"/>
        <w:rPr>
          <w:rFonts w:ascii="Arial" w:cs="Arial" w:eastAsia="Arial" w:hAnsi="Arial"/>
          <w:sz w:val="16"/>
          <w:szCs w:val="16"/>
          <w:color w:val="auto"/>
        </w:rPr>
      </w:pPr>
    </w:p>
    <w:p>
      <w:pPr>
        <w:ind w:left="60" w:right="1460" w:firstLine="414"/>
        <w:spacing w:after="0" w:line="309" w:lineRule="auto"/>
        <w:tabs>
          <w:tab w:leader="none" w:pos="6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Dated: October 27, 2021</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13970</wp:posOffset>
            </wp:positionV>
            <wp:extent cx="30505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50540" cy="8255"/>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Arial" w:cs="Arial" w:eastAsia="Arial" w:hAnsi="Arial"/>
          <w:sz w:val="16"/>
          <w:szCs w:val="16"/>
          <w:color w:val="auto"/>
        </w:rPr>
        <w:t>Brian O. Casey</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President &amp; Chief Executive Officer</w:t>
      </w:r>
    </w:p>
    <w:p>
      <w:pPr>
        <w:spacing w:after="0" w:line="312" w:lineRule="exact"/>
        <w:rPr>
          <w:sz w:val="20"/>
          <w:szCs w:val="20"/>
          <w:color w:val="auto"/>
        </w:rPr>
      </w:pPr>
    </w:p>
    <w:p>
      <w:pPr>
        <w:ind w:right="380" w:firstLine="470"/>
        <w:spacing w:after="0" w:line="248" w:lineRule="auto"/>
        <w:rPr>
          <w:sz w:val="20"/>
          <w:szCs w:val="20"/>
          <w:color w:val="auto"/>
        </w:rPr>
      </w:pPr>
      <w:r>
        <w:rPr>
          <w:rFonts w:ascii="Arial" w:cs="Arial" w:eastAsia="Arial" w:hAnsi="Arial"/>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379"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color w:val="auto"/>
        </w:rPr>
        <w:t>Exhibit 32.2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jc w:val="center"/>
        <w:spacing w:after="0" w:line="238" w:lineRule="auto"/>
        <w:rPr>
          <w:sz w:val="20"/>
          <w:szCs w:val="20"/>
          <w:color w:val="auto"/>
        </w:rPr>
      </w:pPr>
      <w:r>
        <w:rPr>
          <w:rFonts w:ascii="Arial" w:cs="Arial" w:eastAsia="Arial" w:hAnsi="Arial"/>
          <w:sz w:val="16"/>
          <w:szCs w:val="16"/>
          <w:b w:val="1"/>
          <w:bCs w:val="1"/>
          <w:color w:val="auto"/>
        </w:rPr>
        <w:t>AS ADOPTED PURSUANT TO</w:t>
      </w: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94"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In connection with the Quarterly Report of Westwood Holdings Group, Inc. (the “Company”) on Form 10-Q for the period ended September 30, 2021 as filed with the Securities and Exchange Commission on the date hereof (the “Report”), I, Murray Forbes III, Chief Financial Officer of the Company, certify, pursuant to 18 U.S.C. § 1350, as adopted pursuant to § 906 of the Sarbanes-Oxley Act of 2002, that, to the best of my knowledge:</w:t>
      </w:r>
    </w:p>
    <w:p>
      <w:pPr>
        <w:spacing w:after="0" w:line="82" w:lineRule="exact"/>
        <w:rPr>
          <w:sz w:val="20"/>
          <w:szCs w:val="20"/>
          <w:color w:val="auto"/>
        </w:rPr>
      </w:pPr>
    </w:p>
    <w:p>
      <w:pPr>
        <w:ind w:left="700" w:hanging="226"/>
        <w:spacing w:after="0"/>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 or 78o(d)); and</w:t>
      </w:r>
    </w:p>
    <w:p>
      <w:pPr>
        <w:spacing w:after="0" w:line="103" w:lineRule="exact"/>
        <w:rPr>
          <w:rFonts w:ascii="Arial" w:cs="Arial" w:eastAsia="Arial" w:hAnsi="Arial"/>
          <w:sz w:val="16"/>
          <w:szCs w:val="16"/>
          <w:color w:val="auto"/>
        </w:rPr>
      </w:pPr>
    </w:p>
    <w:p>
      <w:pPr>
        <w:ind w:left="60" w:right="1460" w:firstLine="414"/>
        <w:spacing w:after="0" w:line="309" w:lineRule="auto"/>
        <w:tabs>
          <w:tab w:leader="none" w:pos="69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Dated: October 27, 2021</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13970</wp:posOffset>
            </wp:positionV>
            <wp:extent cx="30505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50540" cy="8255"/>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Arial" w:cs="Arial" w:eastAsia="Arial" w:hAnsi="Arial"/>
          <w:sz w:val="16"/>
          <w:szCs w:val="16"/>
          <w:color w:val="auto"/>
        </w:rPr>
        <w:t>Murray Forbes III</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Chief Financial Officer and Treasurer</w:t>
      </w:r>
    </w:p>
    <w:p>
      <w:pPr>
        <w:spacing w:after="0" w:line="312" w:lineRule="exact"/>
        <w:rPr>
          <w:sz w:val="20"/>
          <w:szCs w:val="20"/>
          <w:color w:val="auto"/>
        </w:rPr>
      </w:pPr>
    </w:p>
    <w:p>
      <w:pPr>
        <w:ind w:right="380" w:firstLine="470"/>
        <w:spacing w:after="0" w:line="248" w:lineRule="auto"/>
        <w:rPr>
          <w:sz w:val="20"/>
          <w:szCs w:val="20"/>
          <w:color w:val="auto"/>
        </w:rPr>
      </w:pPr>
      <w:r>
        <w:rPr>
          <w:rFonts w:ascii="Arial" w:cs="Arial" w:eastAsia="Arial" w:hAnsi="Arial"/>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3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1."/>
      <w:numFmt w:val="decimal"/>
      <w:start w:val="3"/>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1"/>
    </w:lvl>
  </w:abstractNum>
  <w:abstractNum w:abstractNumId="7">
    <w:nsid w:val="66EF438D"/>
    <w:multiLevelType w:val="hybridMultilevel"/>
    <w:lvl w:ilvl="0">
      <w:lvlJc w:val="left"/>
      <w:lvlText w:val="%1."/>
      <w:numFmt w:val="decimal"/>
      <w:start w:val="14"/>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2021-10-27T16:07:19Z</dcterms:created>
  <dcterms:modified xsi:type="dcterms:W3CDTF">2021-10-27T16:07:19Z</dcterms:modified>
</cp:coreProperties>
</file>