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9"/>
        <w:spacing w:after="0"/>
        <w:rPr>
          <w:sz w:val="20"/>
          <w:szCs w:val="20"/>
          <w:color w:val="auto"/>
        </w:rPr>
      </w:pPr>
      <w:r>
        <w:rPr>
          <w:rFonts w:ascii="Arial" w:cs="Arial" w:eastAsia="Arial" w:hAnsi="Arial"/>
          <w:sz w:val="32"/>
          <w:szCs w:val="32"/>
          <w:b w:val="1"/>
          <w:bCs w:val="1"/>
          <w:color w:val="auto"/>
        </w:rPr>
        <w:t>UNITED STATES</w:t>
      </w:r>
    </w:p>
    <w:p>
      <w:pPr>
        <w:spacing w:after="0" w:line="19"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Washington, D.C. 20549</w:t>
      </w:r>
    </w:p>
    <w:p>
      <w:pPr>
        <w:spacing w:after="0" w:line="222"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FORM 8-K</w:t>
      </w:r>
    </w:p>
    <w:p>
      <w:pPr>
        <w:spacing w:after="0" w:line="258" w:lineRule="exact"/>
        <w:rPr>
          <w:sz w:val="24"/>
          <w:szCs w:val="24"/>
          <w:color w:val="auto"/>
        </w:rPr>
      </w:pPr>
    </w:p>
    <w:p>
      <w:pPr>
        <w:jc w:val="center"/>
        <w:ind w:right="-219"/>
        <w:spacing w:after="0"/>
        <w:rPr>
          <w:sz w:val="20"/>
          <w:szCs w:val="20"/>
          <w:color w:val="auto"/>
        </w:rPr>
      </w:pPr>
      <w:r>
        <w:rPr>
          <w:rFonts w:ascii="Arial" w:cs="Arial" w:eastAsia="Arial" w:hAnsi="Arial"/>
          <w:sz w:val="20"/>
          <w:szCs w:val="20"/>
          <w:b w:val="1"/>
          <w:bCs w:val="1"/>
          <w:color w:val="auto"/>
        </w:rPr>
        <w:t>CURRENT REPORT</w:t>
      </w:r>
    </w:p>
    <w:p>
      <w:pPr>
        <w:spacing w:after="0" w:line="26" w:lineRule="exact"/>
        <w:rPr>
          <w:sz w:val="24"/>
          <w:szCs w:val="24"/>
          <w:color w:val="auto"/>
        </w:rPr>
      </w:pPr>
    </w:p>
    <w:p>
      <w:pPr>
        <w:jc w:val="center"/>
        <w:ind w:right="-219"/>
        <w:spacing w:after="0"/>
        <w:rPr>
          <w:sz w:val="20"/>
          <w:szCs w:val="20"/>
          <w:color w:val="auto"/>
        </w:rPr>
      </w:pPr>
      <w:r>
        <w:rPr>
          <w:rFonts w:ascii="Arial" w:cs="Arial" w:eastAsia="Arial" w:hAnsi="Arial"/>
          <w:sz w:val="20"/>
          <w:szCs w:val="20"/>
          <w:b w:val="1"/>
          <w:bCs w:val="1"/>
          <w:color w:val="auto"/>
        </w:rPr>
        <w:t>Pursuant to Section 13 or 15(d) of the Securities Exchange Act of 1934</w:t>
      </w:r>
    </w:p>
    <w:p>
      <w:pPr>
        <w:spacing w:after="0" w:line="251"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Date of Report (Date of earliest event reported): October 31, 2023</w:t>
      </w:r>
    </w:p>
    <w:p>
      <w:pPr>
        <w:spacing w:after="0" w:line="23" w:lineRule="exact"/>
        <w:rPr>
          <w:sz w:val="24"/>
          <w:szCs w:val="24"/>
          <w:color w:val="auto"/>
        </w:rPr>
      </w:pPr>
    </w:p>
    <w:p>
      <w:pPr>
        <w:ind w:left="1040"/>
        <w:spacing w:after="0"/>
        <w:rPr>
          <w:sz w:val="20"/>
          <w:szCs w:val="20"/>
          <w:color w:val="auto"/>
        </w:rPr>
      </w:pPr>
      <w:r>
        <w:rPr>
          <w:rFonts w:ascii="Arial" w:cs="Arial" w:eastAsia="Arial" w:hAnsi="Arial"/>
          <w:sz w:val="16"/>
          <w:szCs w:val="16"/>
          <w:color w:val="auto"/>
        </w:rPr>
        <w:t>______________________________________________________________________________________________________</w:t>
      </w:r>
    </w:p>
    <w:p>
      <w:pPr>
        <w:spacing w:after="0" w:line="247"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WESTWOOD HOLDINGS GROUP, INC.</w:t>
      </w:r>
    </w:p>
    <w:p>
      <w:pPr>
        <w:spacing w:after="0" w:line="39"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(Exact name of registrant as specified in charter)</w:t>
      </w:r>
    </w:p>
    <w:p>
      <w:pPr>
        <w:spacing w:after="0" w:line="7" w:lineRule="exact"/>
        <w:rPr>
          <w:sz w:val="24"/>
          <w:szCs w:val="24"/>
          <w:color w:val="auto"/>
        </w:rPr>
      </w:pPr>
    </w:p>
    <w:p>
      <w:pPr>
        <w:ind w:left="1040"/>
        <w:spacing w:after="0"/>
        <w:rPr>
          <w:sz w:val="20"/>
          <w:szCs w:val="20"/>
          <w:color w:val="auto"/>
        </w:rPr>
      </w:pPr>
      <w:r>
        <w:rPr>
          <w:rFonts w:ascii="Arial" w:cs="Arial" w:eastAsia="Arial" w:hAnsi="Arial"/>
          <w:sz w:val="16"/>
          <w:szCs w:val="16"/>
          <w:color w:val="auto"/>
        </w:rPr>
        <w:t>______________________________________________________________________________________________________</w:t>
      </w:r>
    </w:p>
    <w:p>
      <w:pPr>
        <w:sectPr>
          <w:pgSz w:w="11900" w:h="16838" w:orient="portrait"/>
          <w:cols w:equalWidth="0" w:num="1">
            <w:col w:w="11040"/>
          </w:cols>
          <w:pgMar w:left="320" w:top="1057" w:right="539" w:bottom="1440" w:gutter="0" w:footer="0" w:header="0"/>
        </w:sectPr>
      </w:pPr>
    </w:p>
    <w:p>
      <w:pPr>
        <w:spacing w:after="0" w:line="301" w:lineRule="exact"/>
        <w:rPr>
          <w:sz w:val="24"/>
          <w:szCs w:val="24"/>
          <w:color w:val="auto"/>
        </w:rPr>
      </w:pPr>
    </w:p>
    <w:p>
      <w:pPr>
        <w:jc w:val="center"/>
        <w:ind w:right="200"/>
        <w:spacing w:after="0"/>
        <w:rPr>
          <w:sz w:val="20"/>
          <w:szCs w:val="20"/>
          <w:color w:val="auto"/>
        </w:rPr>
      </w:pPr>
      <w:r>
        <w:rPr>
          <w:rFonts w:ascii="Arial" w:cs="Arial" w:eastAsia="Arial" w:hAnsi="Arial"/>
          <w:sz w:val="18"/>
          <w:szCs w:val="18"/>
          <w:color w:val="auto"/>
        </w:rPr>
        <w:t>Delaware</w:t>
      </w:r>
    </w:p>
    <w:p>
      <w:pPr>
        <w:spacing w:after="0" w:line="23"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w:t>
      </w:r>
    </w:p>
    <w:p>
      <w:pPr>
        <w:spacing w:after="0" w:line="20" w:lineRule="exact"/>
        <w:rPr>
          <w:sz w:val="24"/>
          <w:szCs w:val="24"/>
          <w:color w:val="auto"/>
        </w:rPr>
      </w:pPr>
      <w:r>
        <w:rPr>
          <w:sz w:val="24"/>
          <w:szCs w:val="24"/>
          <w:color w:val="auto"/>
        </w:rPr>
        <w:br w:type="column"/>
      </w:r>
    </w:p>
    <w:p>
      <w:pPr>
        <w:spacing w:after="0" w:line="281" w:lineRule="exact"/>
        <w:rPr>
          <w:sz w:val="24"/>
          <w:szCs w:val="24"/>
          <w:color w:val="auto"/>
        </w:rPr>
      </w:pPr>
    </w:p>
    <w:p>
      <w:pPr>
        <w:jc w:val="center"/>
        <w:ind w:right="820"/>
        <w:spacing w:after="0"/>
        <w:rPr>
          <w:sz w:val="20"/>
          <w:szCs w:val="20"/>
          <w:color w:val="auto"/>
        </w:rPr>
      </w:pPr>
      <w:r>
        <w:rPr>
          <w:rFonts w:ascii="Arial" w:cs="Arial" w:eastAsia="Arial" w:hAnsi="Arial"/>
          <w:sz w:val="18"/>
          <w:szCs w:val="18"/>
          <w:color w:val="auto"/>
        </w:rPr>
        <w:t>001-31234</w:t>
      </w:r>
    </w:p>
    <w:p>
      <w:pPr>
        <w:spacing w:after="0" w:line="23" w:lineRule="exact"/>
        <w:rPr>
          <w:sz w:val="24"/>
          <w:szCs w:val="24"/>
          <w:color w:val="auto"/>
        </w:rPr>
      </w:pPr>
    </w:p>
    <w:p>
      <w:pPr>
        <w:jc w:val="center"/>
        <w:ind w:right="8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81" w:lineRule="exact"/>
        <w:rPr>
          <w:sz w:val="24"/>
          <w:szCs w:val="24"/>
          <w:color w:val="auto"/>
        </w:rPr>
      </w:pPr>
    </w:p>
    <w:p>
      <w:pPr>
        <w:jc w:val="center"/>
        <w:ind w:right="440"/>
        <w:spacing w:after="0"/>
        <w:rPr>
          <w:sz w:val="20"/>
          <w:szCs w:val="20"/>
          <w:color w:val="auto"/>
        </w:rPr>
      </w:pPr>
      <w:r>
        <w:rPr>
          <w:rFonts w:ascii="Arial" w:cs="Arial" w:eastAsia="Arial" w:hAnsi="Arial"/>
          <w:sz w:val="18"/>
          <w:szCs w:val="18"/>
          <w:color w:val="auto"/>
        </w:rPr>
        <w:t>75-2969997</w:t>
      </w:r>
    </w:p>
    <w:p>
      <w:pPr>
        <w:spacing w:after="0" w:line="23" w:lineRule="exact"/>
        <w:rPr>
          <w:sz w:val="24"/>
          <w:szCs w:val="24"/>
          <w:color w:val="auto"/>
        </w:rPr>
      </w:pPr>
    </w:p>
    <w:p>
      <w:pPr>
        <w:jc w:val="center"/>
        <w:ind w:right="440"/>
        <w:spacing w:after="0"/>
        <w:rPr>
          <w:sz w:val="20"/>
          <w:szCs w:val="20"/>
          <w:color w:val="auto"/>
        </w:rPr>
      </w:pPr>
      <w:r>
        <w:rPr>
          <w:rFonts w:ascii="Arial" w:cs="Arial" w:eastAsia="Arial" w:hAnsi="Arial"/>
          <w:sz w:val="16"/>
          <w:szCs w:val="16"/>
          <w:color w:val="auto"/>
        </w:rPr>
        <w:t>(IRS Employer Identification No.)</w:t>
      </w:r>
    </w:p>
    <w:p>
      <w:pPr>
        <w:spacing w:after="0" w:line="46" w:lineRule="exact"/>
        <w:rPr>
          <w:sz w:val="24"/>
          <w:szCs w:val="24"/>
          <w:color w:val="auto"/>
        </w:rPr>
      </w:pPr>
    </w:p>
    <w:p>
      <w:pPr>
        <w:sectPr>
          <w:pgSz w:w="11900" w:h="16838" w:orient="portrait"/>
          <w:cols w:equalWidth="0" w:num="3">
            <w:col w:w="3880" w:space="720"/>
            <w:col w:w="2820" w:space="720"/>
            <w:col w:w="2900"/>
          </w:cols>
          <w:pgMar w:left="320" w:top="1057" w:right="539" w:bottom="1440" w:gutter="0" w:footer="0" w:header="0"/>
          <w:type w:val="continuous"/>
        </w:sectPr>
      </w:pPr>
    </w:p>
    <w:p>
      <w:pPr>
        <w:ind w:left="1220"/>
        <w:spacing w:after="0"/>
        <w:rPr>
          <w:sz w:val="20"/>
          <w:szCs w:val="20"/>
          <w:color w:val="auto"/>
        </w:rPr>
      </w:pPr>
      <w:r>
        <w:rPr>
          <w:rFonts w:ascii="Arial" w:cs="Arial" w:eastAsia="Arial" w:hAnsi="Arial"/>
          <w:sz w:val="18"/>
          <w:szCs w:val="18"/>
          <w:color w:val="auto"/>
        </w:rPr>
        <w:t>of incorporation)</w:t>
      </w:r>
    </w:p>
    <w:p>
      <w:pPr>
        <w:spacing w:after="0" w:line="346"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200 Crescent Court, Suite 1200</w:t>
      </w:r>
    </w:p>
    <w:p>
      <w:pPr>
        <w:spacing w:after="0" w:line="23"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Dallas, Texas 75201</w:t>
      </w:r>
    </w:p>
    <w:p>
      <w:pPr>
        <w:spacing w:after="0" w:line="9"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(Address of principal executive offices)</w:t>
      </w:r>
    </w:p>
    <w:p>
      <w:pPr>
        <w:spacing w:after="0" w:line="238"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(214) 756-6900</w:t>
      </w:r>
    </w:p>
    <w:p>
      <w:pPr>
        <w:spacing w:after="0" w:line="23" w:lineRule="exact"/>
        <w:rPr>
          <w:sz w:val="24"/>
          <w:szCs w:val="24"/>
          <w:color w:val="auto"/>
        </w:rPr>
      </w:pPr>
    </w:p>
    <w:p>
      <w:pPr>
        <w:jc w:val="center"/>
        <w:ind w:right="-199"/>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040"/>
          </w:cols>
          <w:pgMar w:left="320" w:top="1057" w:right="539" w:bottom="1440" w:gutter="0" w:footer="0" w:header="0"/>
          <w:type w:val="continuous"/>
        </w:sectPr>
      </w:pPr>
    </w:p>
    <w:p>
      <w:pPr>
        <w:spacing w:after="0" w:line="274" w:lineRule="exact"/>
        <w:rPr>
          <w:sz w:val="24"/>
          <w:szCs w:val="24"/>
          <w:color w:val="auto"/>
        </w:rPr>
      </w:pPr>
    </w:p>
    <w:p>
      <w:pPr>
        <w:ind w:right="300" w:firstLine="180"/>
        <w:spacing w:after="0" w:line="293"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210" w:lineRule="exact"/>
        <w:rPr>
          <w:sz w:val="24"/>
          <w:szCs w:val="24"/>
          <w:color w:val="auto"/>
        </w:rPr>
      </w:pPr>
    </w:p>
    <w:p>
      <w:pPr>
        <w:ind w:left="460" w:hanging="27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65" w:lineRule="exact"/>
        <w:rPr>
          <w:rFonts w:ascii="Arial" w:cs="Arial" w:eastAsia="Arial" w:hAnsi="Arial"/>
          <w:sz w:val="18"/>
          <w:szCs w:val="18"/>
          <w:color w:val="auto"/>
        </w:rPr>
      </w:pPr>
    </w:p>
    <w:p>
      <w:pPr>
        <w:ind w:left="460" w:hanging="27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65" w:lineRule="exact"/>
        <w:rPr>
          <w:rFonts w:ascii="Arial" w:cs="Arial" w:eastAsia="Arial" w:hAnsi="Arial"/>
          <w:sz w:val="18"/>
          <w:szCs w:val="18"/>
          <w:color w:val="auto"/>
        </w:rPr>
      </w:pPr>
    </w:p>
    <w:p>
      <w:pPr>
        <w:ind w:left="460" w:hanging="27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79" w:lineRule="exact"/>
        <w:rPr>
          <w:rFonts w:ascii="Arial" w:cs="Arial" w:eastAsia="Arial" w:hAnsi="Arial"/>
          <w:sz w:val="18"/>
          <w:szCs w:val="18"/>
          <w:color w:val="auto"/>
        </w:rPr>
      </w:pPr>
    </w:p>
    <w:p>
      <w:pPr>
        <w:ind w:left="460" w:hanging="27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73" w:lineRule="exact"/>
        <w:rPr>
          <w:sz w:val="24"/>
          <w:szCs w:val="24"/>
          <w:color w:val="auto"/>
        </w:rPr>
      </w:pPr>
    </w:p>
    <w:tbl>
      <w:tblPr>
        <w:tblLayout w:type="fixed"/>
        <w:tblInd w:w="560" w:type="dxa"/>
        <w:tblCellMar>
          <w:top w:w="0" w:type="dxa"/>
          <w:left w:w="0" w:type="dxa"/>
          <w:bottom w:w="0" w:type="dxa"/>
          <w:right w:w="0" w:type="dxa"/>
        </w:tblCellMar>
      </w:tblPr>
      <w:tr>
        <w:trPr>
          <w:trHeight w:val="206"/>
        </w:trPr>
        <w:tc>
          <w:tcPr>
            <w:tcW w:w="8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180" w:type="dxa"/>
            <w:vAlign w:val="bottom"/>
            <w:gridSpan w:val="5"/>
          </w:tcPr>
          <w:p>
            <w:pPr>
              <w:jc w:val="center"/>
              <w:ind w:right="3150"/>
              <w:spacing w:after="0"/>
              <w:rPr>
                <w:sz w:val="20"/>
                <w:szCs w:val="20"/>
                <w:color w:val="auto"/>
              </w:rPr>
            </w:pPr>
            <w:r>
              <w:rPr>
                <w:rFonts w:ascii="Arial" w:cs="Arial" w:eastAsia="Arial" w:hAnsi="Arial"/>
                <w:sz w:val="16"/>
                <w:szCs w:val="16"/>
                <w:color w:val="auto"/>
                <w:w w:val="92"/>
              </w:rPr>
              <w:t>Securities registered pursuant to Section 12(b) of the Act:</w:t>
            </w:r>
          </w:p>
        </w:tc>
      </w:tr>
      <w:tr>
        <w:trPr>
          <w:trHeight w:val="209"/>
        </w:trPr>
        <w:tc>
          <w:tcPr>
            <w:tcW w:w="82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1"/>
              </w:rPr>
              <w:t>Title of Each Class</w:t>
            </w:r>
          </w:p>
        </w:tc>
        <w:tc>
          <w:tcPr>
            <w:tcW w:w="9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960" w:type="dxa"/>
            <w:vAlign w:val="bottom"/>
            <w:gridSpan w:val="2"/>
          </w:tcPr>
          <w:p>
            <w:pPr>
              <w:jc w:val="center"/>
              <w:ind w:right="600"/>
              <w:spacing w:after="0"/>
              <w:rPr>
                <w:sz w:val="20"/>
                <w:szCs w:val="20"/>
                <w:color w:val="auto"/>
              </w:rPr>
            </w:pPr>
            <w:r>
              <w:rPr>
                <w:rFonts w:ascii="Arial" w:cs="Arial" w:eastAsia="Arial" w:hAnsi="Arial"/>
                <w:sz w:val="18"/>
                <w:szCs w:val="18"/>
                <w:color w:val="auto"/>
                <w:w w:val="92"/>
              </w:rPr>
              <w:t>Trading Symbol(s)</w:t>
            </w:r>
          </w:p>
        </w:tc>
        <w:tc>
          <w:tcPr>
            <w:tcW w:w="3960" w:type="dxa"/>
            <w:vAlign w:val="bottom"/>
            <w:gridSpan w:val="2"/>
          </w:tcPr>
          <w:p>
            <w:pPr>
              <w:jc w:val="center"/>
              <w:ind w:left="510"/>
              <w:spacing w:after="0"/>
              <w:rPr>
                <w:sz w:val="20"/>
                <w:szCs w:val="20"/>
                <w:color w:val="auto"/>
              </w:rPr>
            </w:pPr>
            <w:r>
              <w:rPr>
                <w:rFonts w:ascii="Arial" w:cs="Arial" w:eastAsia="Arial" w:hAnsi="Arial"/>
                <w:sz w:val="18"/>
                <w:szCs w:val="18"/>
                <w:color w:val="auto"/>
                <w:w w:val="90"/>
              </w:rPr>
              <w:t>Name of Each Exchange on Which Registered</w:t>
            </w:r>
          </w:p>
        </w:tc>
      </w:tr>
      <w:tr>
        <w:trPr>
          <w:trHeight w:val="20"/>
        </w:trPr>
        <w:tc>
          <w:tcPr>
            <w:tcW w:w="8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360" w:type="dxa"/>
            <w:vAlign w:val="bottom"/>
            <w:shd w:val="clear" w:color="auto" w:fill="000000"/>
          </w:tcPr>
          <w:p>
            <w:pPr>
              <w:spacing w:after="0" w:line="20" w:lineRule="exact"/>
              <w:rPr>
                <w:sz w:val="1"/>
                <w:szCs w:val="1"/>
                <w:color w:val="auto"/>
              </w:rPr>
            </w:pPr>
          </w:p>
        </w:tc>
      </w:tr>
      <w:tr>
        <w:trPr>
          <w:trHeight w:val="250"/>
        </w:trPr>
        <w:tc>
          <w:tcPr>
            <w:tcW w:w="3100" w:type="dxa"/>
            <w:vAlign w:val="bottom"/>
            <w:gridSpan w:val="3"/>
          </w:tcPr>
          <w:p>
            <w:pPr>
              <w:jc w:val="center"/>
              <w:ind w:right="100"/>
              <w:spacing w:after="0"/>
              <w:rPr>
                <w:sz w:val="20"/>
                <w:szCs w:val="20"/>
                <w:color w:val="auto"/>
              </w:rPr>
            </w:pPr>
            <w:r>
              <w:rPr>
                <w:rFonts w:ascii="Arial" w:cs="Arial" w:eastAsia="Arial" w:hAnsi="Arial"/>
                <w:sz w:val="18"/>
                <w:szCs w:val="18"/>
                <w:color w:val="auto"/>
                <w:w w:val="89"/>
              </w:rPr>
              <w:t>Common stock, par value $0.01 per share</w:t>
            </w:r>
          </w:p>
        </w:tc>
        <w:tc>
          <w:tcPr>
            <w:tcW w:w="1260" w:type="dxa"/>
            <w:vAlign w:val="bottom"/>
          </w:tcPr>
          <w:p>
            <w:pPr>
              <w:spacing w:after="0"/>
              <w:rPr>
                <w:sz w:val="21"/>
                <w:szCs w:val="21"/>
                <w:color w:val="auto"/>
              </w:rPr>
            </w:pPr>
          </w:p>
        </w:tc>
        <w:tc>
          <w:tcPr>
            <w:tcW w:w="1960" w:type="dxa"/>
            <w:vAlign w:val="bottom"/>
            <w:gridSpan w:val="2"/>
          </w:tcPr>
          <w:p>
            <w:pPr>
              <w:jc w:val="center"/>
              <w:ind w:right="600"/>
              <w:spacing w:after="0"/>
              <w:rPr>
                <w:sz w:val="20"/>
                <w:szCs w:val="20"/>
                <w:color w:val="auto"/>
              </w:rPr>
            </w:pPr>
            <w:r>
              <w:rPr>
                <w:rFonts w:ascii="Arial" w:cs="Arial" w:eastAsia="Arial" w:hAnsi="Arial"/>
                <w:sz w:val="18"/>
                <w:szCs w:val="18"/>
                <w:color w:val="auto"/>
                <w:w w:val="99"/>
              </w:rPr>
              <w:t>WHG</w:t>
            </w:r>
          </w:p>
        </w:tc>
        <w:tc>
          <w:tcPr>
            <w:tcW w:w="600" w:type="dxa"/>
            <w:vAlign w:val="bottom"/>
          </w:tcPr>
          <w:p>
            <w:pPr>
              <w:spacing w:after="0"/>
              <w:rPr>
                <w:sz w:val="21"/>
                <w:szCs w:val="21"/>
                <w:color w:val="auto"/>
              </w:rPr>
            </w:pPr>
          </w:p>
        </w:tc>
        <w:tc>
          <w:tcPr>
            <w:tcW w:w="336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337" w:lineRule="exact"/>
        <w:rPr>
          <w:sz w:val="24"/>
          <w:szCs w:val="24"/>
          <w:color w:val="auto"/>
        </w:rPr>
      </w:pPr>
    </w:p>
    <w:p>
      <w:pPr>
        <w:ind w:right="360"/>
        <w:spacing w:after="0" w:line="293" w:lineRule="auto"/>
        <w:rPr>
          <w:sz w:val="20"/>
          <w:szCs w:val="20"/>
          <w:color w:val="auto"/>
        </w:rPr>
      </w:pPr>
      <w:r>
        <w:rPr>
          <w:rFonts w:ascii="Arial" w:cs="Arial" w:eastAsia="Arial" w:hAnsi="Arial"/>
          <w:sz w:val="18"/>
          <w:szCs w:val="18"/>
          <w:color w:val="auto"/>
        </w:rPr>
        <w:t>Indicate by checkmark whether the registrant is an emerging growth company as defined in Rule 405 of the Securities Act of 1933 (§230.405 of this chapter) or Rule 12b-2 of the Securities Exchange Act of 1934 (§240.12b-2 of this chapter).</w:t>
      </w:r>
    </w:p>
    <w:p>
      <w:pPr>
        <w:spacing w:after="0" w:line="80"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30" w:lineRule="exact"/>
        <w:rPr>
          <w:sz w:val="24"/>
          <w:szCs w:val="24"/>
          <w:color w:val="auto"/>
        </w:rPr>
      </w:pPr>
    </w:p>
    <w:p>
      <w:pPr>
        <w:spacing w:after="0" w:line="247" w:lineRule="exact"/>
        <w:rPr>
          <w:sz w:val="20"/>
          <w:szCs w:val="20"/>
          <w:color w:val="auto"/>
        </w:rPr>
      </w:pPr>
      <w:r>
        <w:rPr>
          <w:rFonts w:ascii="Arial" w:cs="Arial" w:eastAsia="Arial" w:hAnsi="Arial"/>
          <w:sz w:val="18"/>
          <w:szCs w:val="18"/>
          <w:color w:val="auto"/>
        </w:rPr>
        <w:t xml:space="preserve">If an emerging growth company, indicate by checkmark if the registrant has elected not to use the extended transition period for complying with any new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532130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057" w:right="539" w:bottom="1440" w:gutter="0" w:footer="0" w:header="0"/>
          <w:type w:val="continuous"/>
        </w:sectPr>
      </w:pPr>
    </w:p>
    <w:bookmarkStart w:id="1" w:name="page2"/>
    <w:bookmarkEnd w:id="1"/>
    <w:p>
      <w:pPr>
        <w:spacing w:after="0"/>
        <w:tabs>
          <w:tab w:leader="none" w:pos="1120" w:val="left"/>
        </w:tabs>
        <w:rPr>
          <w:sz w:val="20"/>
          <w:szCs w:val="20"/>
          <w:color w:val="auto"/>
        </w:rPr>
      </w:pPr>
      <w:r>
        <w:rPr>
          <w:rFonts w:ascii="Arial" w:cs="Arial" w:eastAsia="Arial" w:hAnsi="Arial"/>
          <w:sz w:val="20"/>
          <w:szCs w:val="20"/>
          <w:color w:val="auto"/>
        </w:rPr>
        <w:t>ITEM 2.02:</w:t>
      </w:r>
      <w:r>
        <w:rPr>
          <w:sz w:val="20"/>
          <w:szCs w:val="20"/>
          <w:color w:val="auto"/>
        </w:rPr>
        <w:tab/>
      </w:r>
      <w:r>
        <w:rPr>
          <w:rFonts w:ascii="Arial" w:cs="Arial" w:eastAsia="Arial" w:hAnsi="Arial"/>
          <w:sz w:val="19"/>
          <w:szCs w:val="19"/>
          <w:color w:val="auto"/>
        </w:rPr>
        <w:t>RESULTS OF OPERATIONS AND FINANCIAL CONDITION</w:t>
      </w:r>
    </w:p>
    <w:p>
      <w:pPr>
        <w:spacing w:after="0" w:line="256" w:lineRule="exact"/>
        <w:rPr>
          <w:sz w:val="20"/>
          <w:szCs w:val="20"/>
          <w:color w:val="auto"/>
        </w:rPr>
      </w:pPr>
    </w:p>
    <w:p>
      <w:pPr>
        <w:ind w:right="280"/>
        <w:spacing w:after="0" w:line="260" w:lineRule="auto"/>
        <w:rPr>
          <w:sz w:val="20"/>
          <w:szCs w:val="20"/>
          <w:color w:val="auto"/>
        </w:rPr>
      </w:pPr>
      <w:r>
        <w:rPr>
          <w:rFonts w:ascii="Arial" w:cs="Arial" w:eastAsia="Arial" w:hAnsi="Arial"/>
          <w:sz w:val="20"/>
          <w:szCs w:val="20"/>
          <w:color w:val="auto"/>
        </w:rPr>
        <w:t>On October 31, 2023, Westwood Holdings Group, Inc. (“Westwood”) announced its financial results for the quarter ended September 30, 2023, a copy of which is furnished with this Current Report on Form 8-K as Exhibit 99.1.</w:t>
      </w:r>
    </w:p>
    <w:p>
      <w:pPr>
        <w:spacing w:after="0" w:line="217" w:lineRule="exact"/>
        <w:rPr>
          <w:sz w:val="20"/>
          <w:szCs w:val="20"/>
          <w:color w:val="auto"/>
        </w:rPr>
      </w:pPr>
    </w:p>
    <w:p>
      <w:pPr>
        <w:spacing w:after="0" w:line="255" w:lineRule="auto"/>
        <w:rPr>
          <w:sz w:val="20"/>
          <w:szCs w:val="20"/>
          <w:color w:val="auto"/>
        </w:rPr>
      </w:pPr>
      <w:r>
        <w:rPr>
          <w:rFonts w:ascii="Arial" w:cs="Arial" w:eastAsia="Arial" w:hAnsi="Arial"/>
          <w:sz w:val="20"/>
          <w:szCs w:val="20"/>
          <w:color w:val="auto"/>
        </w:rPr>
        <w:t>The information in this Current Report on Form 8-K, including Exhibit 99.1, shall not be deemed to be “filed” for the purposes of Section 18 of the Securities Exchange Act of 1934 (the “Exchange Act”), as amended, or otherwise subject to the liabilities of that Section, nor shall it be incorporated by reference in any filing under the Securities Act of 1933, as amended, or the Exchange Act, except as otherwise expressly stated in such filing.</w:t>
      </w:r>
    </w:p>
    <w:p>
      <w:pPr>
        <w:spacing w:after="0" w:line="76" w:lineRule="exact"/>
        <w:rPr>
          <w:sz w:val="20"/>
          <w:szCs w:val="20"/>
          <w:color w:val="auto"/>
        </w:rPr>
      </w:pPr>
    </w:p>
    <w:p>
      <w:pPr>
        <w:spacing w:after="0"/>
        <w:tabs>
          <w:tab w:leader="none" w:pos="1120" w:val="left"/>
        </w:tabs>
        <w:rPr>
          <w:sz w:val="20"/>
          <w:szCs w:val="20"/>
          <w:color w:val="auto"/>
        </w:rPr>
      </w:pPr>
      <w:r>
        <w:rPr>
          <w:rFonts w:ascii="Arial" w:cs="Arial" w:eastAsia="Arial" w:hAnsi="Arial"/>
          <w:sz w:val="20"/>
          <w:szCs w:val="20"/>
          <w:color w:val="auto"/>
        </w:rPr>
        <w:t>ITEM 7.01:</w:t>
      </w:r>
      <w:r>
        <w:rPr>
          <w:sz w:val="20"/>
          <w:szCs w:val="20"/>
          <w:color w:val="auto"/>
        </w:rPr>
        <w:tab/>
      </w:r>
      <w:r>
        <w:rPr>
          <w:rFonts w:ascii="Arial" w:cs="Arial" w:eastAsia="Arial" w:hAnsi="Arial"/>
          <w:sz w:val="18"/>
          <w:szCs w:val="18"/>
          <w:color w:val="auto"/>
        </w:rPr>
        <w:t>REGULATION FD DISCLOSURE</w:t>
      </w:r>
    </w:p>
    <w:p>
      <w:pPr>
        <w:spacing w:after="0" w:line="121" w:lineRule="exact"/>
        <w:rPr>
          <w:sz w:val="20"/>
          <w:szCs w:val="20"/>
          <w:color w:val="auto"/>
        </w:rPr>
      </w:pPr>
    </w:p>
    <w:p>
      <w:pPr>
        <w:ind w:right="160"/>
        <w:spacing w:after="0" w:line="260" w:lineRule="auto"/>
        <w:rPr>
          <w:sz w:val="20"/>
          <w:szCs w:val="20"/>
          <w:color w:val="auto"/>
        </w:rPr>
      </w:pPr>
      <w:r>
        <w:rPr>
          <w:rFonts w:ascii="Arial" w:cs="Arial" w:eastAsia="Arial" w:hAnsi="Arial"/>
          <w:sz w:val="20"/>
          <w:szCs w:val="20"/>
          <w:color w:val="auto"/>
        </w:rPr>
        <w:t>Westwood announced today that its Board of Directors has approved the payment of a quarterly cash dividend of $0.15 per common share, payable on January 3, 2024 to stockholders of record on December 1, 2023.</w:t>
      </w:r>
    </w:p>
    <w:p>
      <w:pPr>
        <w:spacing w:after="0" w:line="217" w:lineRule="exact"/>
        <w:rPr>
          <w:sz w:val="20"/>
          <w:szCs w:val="20"/>
          <w:color w:val="auto"/>
        </w:rPr>
      </w:pPr>
    </w:p>
    <w:p>
      <w:pPr>
        <w:spacing w:after="0"/>
        <w:tabs>
          <w:tab w:leader="none" w:pos="1120" w:val="left"/>
        </w:tabs>
        <w:rPr>
          <w:sz w:val="20"/>
          <w:szCs w:val="20"/>
          <w:color w:val="auto"/>
        </w:rPr>
      </w:pPr>
      <w:r>
        <w:rPr>
          <w:rFonts w:ascii="Arial" w:cs="Arial" w:eastAsia="Arial" w:hAnsi="Arial"/>
          <w:sz w:val="20"/>
          <w:szCs w:val="20"/>
          <w:color w:val="auto"/>
        </w:rPr>
        <w:t>ITEM 9.01:</w:t>
      </w:r>
      <w:r>
        <w:rPr>
          <w:sz w:val="20"/>
          <w:szCs w:val="20"/>
          <w:color w:val="auto"/>
        </w:rPr>
        <w:tab/>
      </w:r>
      <w:r>
        <w:rPr>
          <w:rFonts w:ascii="Arial" w:cs="Arial" w:eastAsia="Arial" w:hAnsi="Arial"/>
          <w:sz w:val="19"/>
          <w:szCs w:val="19"/>
          <w:color w:val="auto"/>
        </w:rPr>
        <w:t>FINANCIAL STATEMENTS AND EXHIBITS</w:t>
      </w:r>
    </w:p>
    <w:p>
      <w:pPr>
        <w:spacing w:after="0" w:line="256"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color w:val="auto"/>
        </w:rPr>
        <w:t>(d)</w:t>
      </w:r>
      <w:r>
        <w:rPr>
          <w:sz w:val="20"/>
          <w:szCs w:val="20"/>
          <w:color w:val="auto"/>
        </w:rPr>
        <w:tab/>
      </w:r>
      <w:r>
        <w:rPr>
          <w:rFonts w:ascii="Arial" w:cs="Arial" w:eastAsia="Arial" w:hAnsi="Arial"/>
          <w:sz w:val="18"/>
          <w:szCs w:val="18"/>
          <w:color w:val="auto"/>
        </w:rPr>
        <w:t>Exhibits: The following exhibit is furnished with this report:</w:t>
      </w:r>
    </w:p>
    <w:p>
      <w:pPr>
        <w:spacing w:after="0" w:line="243" w:lineRule="exact"/>
        <w:rPr>
          <w:sz w:val="20"/>
          <w:szCs w:val="20"/>
          <w:color w:val="auto"/>
        </w:rPr>
      </w:pPr>
    </w:p>
    <w:p>
      <w:pPr>
        <w:spacing w:after="0"/>
        <w:tabs>
          <w:tab w:leader="none" w:pos="2260" w:val="left"/>
        </w:tabs>
        <w:rPr>
          <w:sz w:val="20"/>
          <w:szCs w:val="20"/>
          <w:color w:val="auto"/>
        </w:rPr>
      </w:pPr>
      <w:r>
        <w:rPr>
          <w:rFonts w:ascii="Arial" w:cs="Arial" w:eastAsia="Arial" w:hAnsi="Arial"/>
          <w:sz w:val="20"/>
          <w:szCs w:val="20"/>
          <w:color w:val="auto"/>
        </w:rPr>
        <w:t>Exhibit Number</w:t>
      </w:r>
      <w:r>
        <w:rPr>
          <w:sz w:val="20"/>
          <w:szCs w:val="20"/>
          <w:color w:val="auto"/>
        </w:rPr>
        <w:tab/>
      </w:r>
      <w:r>
        <w:rPr>
          <w:rFonts w:ascii="Arial" w:cs="Arial" w:eastAsia="Arial" w:hAnsi="Arial"/>
          <w:sz w:val="18"/>
          <w:szCs w:val="18"/>
          <w:color w:val="auto"/>
        </w:rPr>
        <w:t>Description</w:t>
      </w:r>
    </w:p>
    <w:p>
      <w:pPr>
        <w:spacing w:after="0" w:line="256" w:lineRule="exact"/>
        <w:rPr>
          <w:sz w:val="20"/>
          <w:szCs w:val="20"/>
          <w:color w:val="auto"/>
        </w:rPr>
      </w:pPr>
    </w:p>
    <w:p>
      <w:pPr>
        <w:spacing w:after="0"/>
        <w:tabs>
          <w:tab w:leader="none" w:pos="540" w:val="left"/>
        </w:tabs>
        <w:rPr>
          <w:sz w:val="20"/>
          <w:szCs w:val="20"/>
          <w:color w:val="auto"/>
        </w:rPr>
      </w:pPr>
      <w:r>
        <w:rPr>
          <w:rFonts w:ascii="Arial" w:cs="Arial" w:eastAsia="Arial" w:hAnsi="Arial"/>
          <w:sz w:val="20"/>
          <w:szCs w:val="20"/>
          <w:color w:val="auto"/>
        </w:rPr>
        <w:t>99.1</w:t>
      </w:r>
      <w:r>
        <w:rPr>
          <w:sz w:val="20"/>
          <w:szCs w:val="20"/>
          <w:color w:val="auto"/>
        </w:rPr>
        <w:tab/>
      </w:r>
      <w:r>
        <w:rPr>
          <w:rFonts w:ascii="Arial" w:cs="Arial" w:eastAsia="Arial" w:hAnsi="Arial"/>
          <w:sz w:val="16"/>
          <w:szCs w:val="16"/>
          <w:u w:val="single" w:color="auto"/>
          <w:color w:val="0000FF"/>
        </w:rPr>
        <w:t>Press Release Dated October 31, 2023</w:t>
      </w:r>
    </w:p>
    <w:p>
      <w:pPr>
        <w:spacing w:after="0" w:line="16" w:lineRule="exact"/>
        <w:rPr>
          <w:sz w:val="20"/>
          <w:szCs w:val="20"/>
          <w:color w:val="auto"/>
        </w:rPr>
      </w:pPr>
    </w:p>
    <w:p>
      <w:pPr>
        <w:spacing w:after="0"/>
        <w:tabs>
          <w:tab w:leader="none" w:pos="480" w:val="left"/>
        </w:tabs>
        <w:rPr>
          <w:sz w:val="20"/>
          <w:szCs w:val="20"/>
          <w:color w:val="auto"/>
        </w:rPr>
      </w:pPr>
      <w:r>
        <w:rPr>
          <w:rFonts w:ascii="Arial" w:cs="Arial" w:eastAsia="Arial" w:hAnsi="Arial"/>
          <w:sz w:val="20"/>
          <w:szCs w:val="20"/>
          <w:color w:val="auto"/>
        </w:rPr>
        <w:t>104</w:t>
      </w:r>
      <w:r>
        <w:rPr>
          <w:sz w:val="20"/>
          <w:szCs w:val="20"/>
          <w:color w:val="auto"/>
        </w:rPr>
        <w:tab/>
      </w:r>
      <w:r>
        <w:rPr>
          <w:rFonts w:ascii="Arial" w:cs="Arial" w:eastAsia="Arial" w:hAnsi="Arial"/>
          <w:sz w:val="18"/>
          <w:szCs w:val="18"/>
          <w:color w:val="auto"/>
        </w:rPr>
        <w:t>Cover Page Interactive Date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1478915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892" w:right="41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20"/>
          <w:szCs w:val="20"/>
          <w:color w:val="auto"/>
        </w:rPr>
        <w:t>SIGNATURES</w:t>
      </w:r>
    </w:p>
    <w:p>
      <w:pPr>
        <w:spacing w:after="0" w:line="256" w:lineRule="exact"/>
        <w:rPr>
          <w:sz w:val="20"/>
          <w:szCs w:val="20"/>
          <w:color w:val="auto"/>
        </w:rPr>
      </w:pPr>
    </w:p>
    <w:p>
      <w:pPr>
        <w:ind w:firstLine="198"/>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color w:val="auto"/>
        </w:rPr>
        <w:t>Date: October 31, 2023</w:t>
      </w:r>
    </w:p>
    <w:p>
      <w:pPr>
        <w:spacing w:after="0" w:line="200" w:lineRule="exact"/>
        <w:rPr>
          <w:sz w:val="20"/>
          <w:szCs w:val="20"/>
          <w:color w:val="auto"/>
        </w:rPr>
      </w:pPr>
    </w:p>
    <w:p>
      <w:pPr>
        <w:spacing w:after="0" w:line="329" w:lineRule="exact"/>
        <w:rPr>
          <w:sz w:val="20"/>
          <w:szCs w:val="20"/>
          <w:color w:val="auto"/>
        </w:rPr>
      </w:pPr>
    </w:p>
    <w:p>
      <w:pPr>
        <w:ind w:left="7960"/>
        <w:spacing w:after="0"/>
        <w:rPr>
          <w:sz w:val="20"/>
          <w:szCs w:val="20"/>
          <w:color w:val="auto"/>
        </w:rPr>
      </w:pPr>
      <w:r>
        <w:rPr>
          <w:rFonts w:ascii="Arial" w:cs="Arial" w:eastAsia="Arial" w:hAnsi="Arial"/>
          <w:sz w:val="17"/>
          <w:szCs w:val="17"/>
          <w:color w:val="auto"/>
        </w:rPr>
        <w:t>WESTWOOD HOLDINGS GROUP, INC.</w:t>
      </w:r>
    </w:p>
    <w:p>
      <w:pPr>
        <w:spacing w:after="0" w:line="200" w:lineRule="exact"/>
        <w:rPr>
          <w:sz w:val="20"/>
          <w:szCs w:val="20"/>
          <w:color w:val="auto"/>
        </w:rPr>
      </w:pPr>
    </w:p>
    <w:p>
      <w:pPr>
        <w:spacing w:after="0" w:line="374"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Murray Forbes III</w:t>
      </w:r>
    </w:p>
    <w:p>
      <w:pPr>
        <w:spacing w:after="0" w:line="23" w:lineRule="exact"/>
        <w:rPr>
          <w:sz w:val="20"/>
          <w:szCs w:val="20"/>
          <w:color w:val="auto"/>
        </w:rPr>
      </w:pPr>
    </w:p>
    <w:p>
      <w:pPr>
        <w:ind w:left="7960"/>
        <w:spacing w:after="0"/>
        <w:rPr>
          <w:sz w:val="20"/>
          <w:szCs w:val="20"/>
          <w:color w:val="auto"/>
        </w:rPr>
      </w:pPr>
      <w:r>
        <w:rPr>
          <w:rFonts w:ascii="Arial" w:cs="Arial" w:eastAsia="Arial" w:hAnsi="Arial"/>
          <w:sz w:val="18"/>
          <w:szCs w:val="18"/>
          <w:color w:val="auto"/>
        </w:rPr>
        <w:t>Murray Forbes III</w:t>
      </w:r>
    </w:p>
    <w:p>
      <w:pPr>
        <w:spacing w:after="0" w:line="23" w:lineRule="exact"/>
        <w:rPr>
          <w:sz w:val="20"/>
          <w:szCs w:val="20"/>
          <w:color w:val="auto"/>
        </w:rPr>
      </w:pPr>
    </w:p>
    <w:p>
      <w:pPr>
        <w:ind w:left="7960"/>
        <w:spacing w:after="0"/>
        <w:rPr>
          <w:sz w:val="20"/>
          <w:szCs w:val="20"/>
          <w:color w:val="auto"/>
        </w:rPr>
      </w:pPr>
      <w:r>
        <w:rPr>
          <w:rFonts w:ascii="Arial" w:cs="Arial" w:eastAsia="Arial" w:hAnsi="Arial"/>
          <w:sz w:val="18"/>
          <w:szCs w:val="18"/>
          <w:color w:val="auto"/>
        </w:rPr>
        <w:t>Chief Financial Officer and Treasurer</w:t>
      </w:r>
    </w:p>
    <w:p>
      <w:pPr>
        <w:sectPr>
          <w:pgSz w:w="11900" w:h="16838" w:orient="portrait"/>
          <w:cols w:equalWidth="0" w:num="1">
            <w:col w:w="11220"/>
          </w:cols>
          <w:pgMar w:left="320" w:top="892" w:right="35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2642870</wp:posOffset>
            </wp:positionH>
            <wp:positionV relativeFrom="page">
              <wp:posOffset>732155</wp:posOffset>
            </wp:positionV>
            <wp:extent cx="2271395" cy="7200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2271395" cy="720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Westwood Holdings Group, Inc. Reports Third Quarter 2023 Results</w:t>
      </w:r>
    </w:p>
    <w:p>
      <w:pPr>
        <w:spacing w:after="0" w:line="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Strong Performance Delivered Across Multiple Strategies</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Introduction of Managed Investment Solutions</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Westwood Energy Secondaries Fund Launched</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9"/>
          <w:szCs w:val="19"/>
          <w:color w:val="auto"/>
        </w:rPr>
        <w:t>Dallas, TX, October 31, 2023 – Westwood Holdings Group, Inc. (NYSE: WHG) today reported third quarter 2023 earnings.</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Significant items included:</w:t>
      </w:r>
    </w:p>
    <w:p>
      <w:pPr>
        <w:spacing w:after="0" w:line="188" w:lineRule="exact"/>
        <w:rPr>
          <w:sz w:val="20"/>
          <w:szCs w:val="20"/>
          <w:color w:val="auto"/>
        </w:rPr>
      </w:pPr>
    </w:p>
    <w:p>
      <w:pPr>
        <w:ind w:left="660" w:right="180" w:hanging="328"/>
        <w:spacing w:after="0" w:line="263" w:lineRule="auto"/>
        <w:tabs>
          <w:tab w:leader="none" w:pos="656" w:val="left"/>
        </w:tabs>
        <w:numPr>
          <w:ilvl w:val="0"/>
          <w:numId w:val="2"/>
        </w:numPr>
        <w:rPr>
          <w:rFonts w:ascii="Arial" w:cs="Arial" w:eastAsia="Arial" w:hAnsi="Arial"/>
          <w:sz w:val="22"/>
          <w:szCs w:val="22"/>
          <w:color w:val="auto"/>
        </w:rPr>
      </w:pPr>
      <w:r>
        <w:rPr>
          <w:rFonts w:ascii="Arial" w:cs="Arial" w:eastAsia="Arial" w:hAnsi="Arial"/>
          <w:sz w:val="22"/>
          <w:szCs w:val="22"/>
          <w:color w:val="auto"/>
        </w:rPr>
        <w:t>SMidCap Value, MidCap Value, Platinum, Dividend Select, Enhanced Balanced, Income Opportunity, High Income and Global Real Estate strategies all beat their primary benchmarks.</w:t>
      </w:r>
    </w:p>
    <w:p>
      <w:pPr>
        <w:spacing w:after="0" w:line="66" w:lineRule="exact"/>
        <w:rPr>
          <w:rFonts w:ascii="Arial" w:cs="Arial" w:eastAsia="Arial" w:hAnsi="Arial"/>
          <w:sz w:val="22"/>
          <w:szCs w:val="22"/>
          <w:color w:val="auto"/>
        </w:rPr>
      </w:pPr>
    </w:p>
    <w:p>
      <w:pPr>
        <w:ind w:left="660" w:right="740" w:hanging="328"/>
        <w:spacing w:after="0" w:line="263" w:lineRule="auto"/>
        <w:tabs>
          <w:tab w:leader="none" w:pos="656" w:val="left"/>
        </w:tabs>
        <w:numPr>
          <w:ilvl w:val="0"/>
          <w:numId w:val="2"/>
        </w:numPr>
        <w:rPr>
          <w:rFonts w:ascii="Arial" w:cs="Arial" w:eastAsia="Arial" w:hAnsi="Arial"/>
          <w:sz w:val="22"/>
          <w:szCs w:val="22"/>
          <w:color w:val="auto"/>
        </w:rPr>
      </w:pPr>
      <w:r>
        <w:rPr>
          <w:rFonts w:ascii="Arial" w:cs="Arial" w:eastAsia="Arial" w:hAnsi="Arial"/>
          <w:sz w:val="22"/>
          <w:szCs w:val="22"/>
          <w:color w:val="auto"/>
        </w:rPr>
        <w:t>Our strong investment performance was reflected in quarterly peer rankings with SMidCap Value, MidCap Value, Platinum and Tactical Growth all posting top quartile rankings.</w:t>
      </w:r>
    </w:p>
    <w:p>
      <w:pPr>
        <w:spacing w:after="0" w:line="80" w:lineRule="exact"/>
        <w:rPr>
          <w:rFonts w:ascii="Arial" w:cs="Arial" w:eastAsia="Arial" w:hAnsi="Arial"/>
          <w:sz w:val="22"/>
          <w:szCs w:val="22"/>
          <w:color w:val="auto"/>
        </w:rPr>
      </w:pPr>
    </w:p>
    <w:p>
      <w:pPr>
        <w:ind w:left="660" w:right="420" w:hanging="328"/>
        <w:spacing w:after="0" w:line="341" w:lineRule="auto"/>
        <w:tabs>
          <w:tab w:leader="none" w:pos="656" w:val="left"/>
        </w:tabs>
        <w:numPr>
          <w:ilvl w:val="0"/>
          <w:numId w:val="2"/>
        </w:numPr>
        <w:rPr>
          <w:rFonts w:ascii="Arial" w:cs="Arial" w:eastAsia="Arial" w:hAnsi="Arial"/>
          <w:sz w:val="19"/>
          <w:szCs w:val="19"/>
          <w:color w:val="auto"/>
        </w:rPr>
      </w:pPr>
      <w:r>
        <w:rPr>
          <w:rFonts w:ascii="Arial" w:cs="Arial" w:eastAsia="Arial" w:hAnsi="Arial"/>
          <w:sz w:val="19"/>
          <w:szCs w:val="19"/>
          <w:color w:val="auto"/>
        </w:rPr>
        <w:t>Revenues totaled $21.9 million versus the second quarter's $21.9 million and $15.4 million a year ago. Net income of $4.4 million compared with the second quarter's $2.9 million and a net loss of $1.2 million in 2022's third quarter.</w:t>
      </w:r>
    </w:p>
    <w:p>
      <w:pPr>
        <w:ind w:left="660" w:right="460" w:hanging="328"/>
        <w:spacing w:after="0" w:line="263" w:lineRule="auto"/>
        <w:tabs>
          <w:tab w:leader="none" w:pos="656" w:val="left"/>
        </w:tabs>
        <w:numPr>
          <w:ilvl w:val="0"/>
          <w:numId w:val="2"/>
        </w:numPr>
        <w:rPr>
          <w:rFonts w:ascii="Arial" w:cs="Arial" w:eastAsia="Arial" w:hAnsi="Arial"/>
          <w:sz w:val="22"/>
          <w:szCs w:val="22"/>
          <w:color w:val="auto"/>
        </w:rPr>
      </w:pPr>
      <w:r>
        <w:rPr>
          <w:rFonts w:ascii="Arial" w:cs="Arial" w:eastAsia="Arial" w:hAnsi="Arial"/>
          <w:sz w:val="22"/>
          <w:szCs w:val="22"/>
          <w:color w:val="auto"/>
        </w:rPr>
        <w:t>Our comprehensive income included $4.0 million of life insurance proceeds, partially offset by a $2.5 million charge following an increase in the fair value of contingent consideration, both related to Salient.</w:t>
      </w:r>
    </w:p>
    <w:p>
      <w:pPr>
        <w:spacing w:after="0" w:line="66" w:lineRule="exact"/>
        <w:rPr>
          <w:rFonts w:ascii="Arial" w:cs="Arial" w:eastAsia="Arial" w:hAnsi="Arial"/>
          <w:sz w:val="22"/>
          <w:szCs w:val="22"/>
          <w:color w:val="auto"/>
        </w:rPr>
      </w:pPr>
    </w:p>
    <w:p>
      <w:pPr>
        <w:ind w:left="660" w:right="220" w:hanging="328"/>
        <w:spacing w:after="0" w:line="276" w:lineRule="auto"/>
        <w:tabs>
          <w:tab w:leader="none" w:pos="656" w:val="left"/>
        </w:tabs>
        <w:numPr>
          <w:ilvl w:val="0"/>
          <w:numId w:val="2"/>
        </w:numPr>
        <w:rPr>
          <w:rFonts w:ascii="Arial" w:cs="Arial" w:eastAsia="Arial" w:hAnsi="Arial"/>
          <w:sz w:val="22"/>
          <w:szCs w:val="22"/>
          <w:color w:val="auto"/>
        </w:rPr>
      </w:pPr>
      <w:r>
        <w:rPr>
          <w:rFonts w:ascii="Arial" w:cs="Arial" w:eastAsia="Arial" w:hAnsi="Arial"/>
          <w:sz w:val="22"/>
          <w:szCs w:val="22"/>
          <w:color w:val="auto"/>
        </w:rPr>
        <w:t>Non-GAAP Economic Earnings of $6.3 million compared with the second quarter's $5.7 million and $0.8 million in the third quarter of 2022.</w:t>
      </w:r>
    </w:p>
    <w:p>
      <w:pPr>
        <w:spacing w:after="0" w:line="52" w:lineRule="exact"/>
        <w:rPr>
          <w:rFonts w:ascii="Arial" w:cs="Arial" w:eastAsia="Arial" w:hAnsi="Arial"/>
          <w:sz w:val="22"/>
          <w:szCs w:val="22"/>
          <w:color w:val="auto"/>
        </w:rPr>
      </w:pPr>
    </w:p>
    <w:p>
      <w:pPr>
        <w:ind w:left="660" w:right="420" w:hanging="328"/>
        <w:spacing w:after="0" w:line="253" w:lineRule="auto"/>
        <w:tabs>
          <w:tab w:leader="none" w:pos="656" w:val="left"/>
        </w:tabs>
        <w:numPr>
          <w:ilvl w:val="0"/>
          <w:numId w:val="2"/>
        </w:numPr>
        <w:rPr>
          <w:rFonts w:ascii="Arial" w:cs="Arial" w:eastAsia="Arial" w:hAnsi="Arial"/>
          <w:sz w:val="22"/>
          <w:szCs w:val="22"/>
          <w:color w:val="auto"/>
        </w:rPr>
      </w:pPr>
      <w:r>
        <w:rPr>
          <w:rFonts w:ascii="Arial" w:cs="Arial" w:eastAsia="Arial" w:hAnsi="Arial"/>
          <w:sz w:val="22"/>
          <w:szCs w:val="22"/>
          <w:color w:val="auto"/>
        </w:rPr>
        <w:t>We launched Managed Investment Solutions, an experienced Chicago-based group that provides customized index solutions to a wide range of clients, and a new private markets strategy called Westwood Energy Secondaries Fund to source energy-related private investments.</w:t>
      </w:r>
    </w:p>
    <w:p>
      <w:pPr>
        <w:spacing w:after="0" w:line="23" w:lineRule="exact"/>
        <w:rPr>
          <w:rFonts w:ascii="Arial" w:cs="Arial" w:eastAsia="Arial" w:hAnsi="Arial"/>
          <w:sz w:val="22"/>
          <w:szCs w:val="22"/>
          <w:color w:val="auto"/>
        </w:rPr>
      </w:pPr>
    </w:p>
    <w:p>
      <w:pPr>
        <w:ind w:left="660" w:right="360" w:hanging="328"/>
        <w:spacing w:after="0" w:line="276" w:lineRule="auto"/>
        <w:tabs>
          <w:tab w:leader="none" w:pos="656" w:val="left"/>
        </w:tabs>
        <w:numPr>
          <w:ilvl w:val="0"/>
          <w:numId w:val="2"/>
        </w:numPr>
        <w:rPr>
          <w:rFonts w:ascii="Arial" w:cs="Arial" w:eastAsia="Arial" w:hAnsi="Arial"/>
          <w:sz w:val="22"/>
          <w:szCs w:val="22"/>
          <w:color w:val="auto"/>
        </w:rPr>
      </w:pPr>
      <w:r>
        <w:rPr>
          <w:rFonts w:ascii="Arial" w:cs="Arial" w:eastAsia="Arial" w:hAnsi="Arial"/>
          <w:sz w:val="22"/>
          <w:szCs w:val="22"/>
          <w:color w:val="auto"/>
        </w:rPr>
        <w:t>Westwood held $48.5 million in cash and short-term investments as of September 30, 2023, up $10.4 million from the second quarter. Stockholders' equity totaled $117.8 million and we have no debt.</w:t>
      </w:r>
    </w:p>
    <w:p>
      <w:pPr>
        <w:spacing w:after="0" w:line="52" w:lineRule="exact"/>
        <w:rPr>
          <w:rFonts w:ascii="Arial" w:cs="Arial" w:eastAsia="Arial" w:hAnsi="Arial"/>
          <w:sz w:val="22"/>
          <w:szCs w:val="22"/>
          <w:color w:val="auto"/>
        </w:rPr>
      </w:pPr>
    </w:p>
    <w:p>
      <w:pPr>
        <w:ind w:left="660" w:right="720" w:hanging="328"/>
        <w:spacing w:after="0" w:line="263" w:lineRule="auto"/>
        <w:tabs>
          <w:tab w:leader="none" w:pos="656" w:val="left"/>
        </w:tabs>
        <w:numPr>
          <w:ilvl w:val="0"/>
          <w:numId w:val="2"/>
        </w:numPr>
        <w:rPr>
          <w:rFonts w:ascii="Arial" w:cs="Arial" w:eastAsia="Arial" w:hAnsi="Arial"/>
          <w:sz w:val="22"/>
          <w:szCs w:val="22"/>
          <w:color w:val="auto"/>
        </w:rPr>
      </w:pPr>
      <w:r>
        <w:rPr>
          <w:rFonts w:ascii="Arial" w:cs="Arial" w:eastAsia="Arial" w:hAnsi="Arial"/>
          <w:sz w:val="22"/>
          <w:szCs w:val="22"/>
          <w:color w:val="auto"/>
        </w:rPr>
        <w:t>We declared a cash dividend of $0.15 per common share, payable on January 3, 2024 to stockholders of record on December 1, 2023.</w:t>
      </w:r>
    </w:p>
    <w:p>
      <w:pPr>
        <w:spacing w:after="0" w:line="67"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Brian Casey, Westwood’s President and CEO, commented, "I want to acknowledge the sudden passing last summer of Chris Guptill, co-founder of Broadmark Asset Management. His long-term partners took over the joint leadership roles they’d shared in preparation for this possibility. As a Key Man in a focused enterprise, an insurance policy was in place, and Chris will long be remembered professionally for his skills as an investor and colleague. On a personal level, we will all miss his dry wit and good-natured demeanor.</w:t>
      </w:r>
    </w:p>
    <w:p>
      <w:pPr>
        <w:spacing w:after="0" w:line="81" w:lineRule="exact"/>
        <w:rPr>
          <w:sz w:val="20"/>
          <w:szCs w:val="20"/>
          <w:color w:val="auto"/>
        </w:rPr>
      </w:pPr>
    </w:p>
    <w:p>
      <w:pPr>
        <w:ind w:right="40"/>
        <w:spacing w:after="0" w:line="254" w:lineRule="auto"/>
        <w:rPr>
          <w:sz w:val="20"/>
          <w:szCs w:val="20"/>
          <w:color w:val="auto"/>
        </w:rPr>
      </w:pPr>
      <w:r>
        <w:rPr>
          <w:rFonts w:ascii="Arial" w:cs="Arial" w:eastAsia="Arial" w:hAnsi="Arial"/>
          <w:sz w:val="22"/>
          <w:szCs w:val="22"/>
          <w:color w:val="auto"/>
        </w:rPr>
        <w:t>We are very pleased with the progress we have made over the past several quarters, especially the integration of relationships and teams from Salient Partners. We are beginning to detect green shoots on the distribution front and we’re looking forward to showcasing our solid investment performance to the marketplace as investors and advisors begin to envisage an environment in which cash is no longer the</w:t>
      </w:r>
    </w:p>
    <w:p>
      <w:pPr>
        <w:sectPr>
          <w:pgSz w:w="11900" w:h="16838" w:orient="portrait"/>
          <w:cols w:equalWidth="0" w:num="1">
            <w:col w:w="11220"/>
          </w:cols>
          <w:pgMar w:left="320" w:top="1440" w:right="359" w:bottom="1440" w:gutter="0" w:footer="0" w:header="0"/>
        </w:sectPr>
      </w:pPr>
    </w:p>
    <w:bookmarkStart w:id="4" w:name="page5"/>
    <w:bookmarkEnd w:id="4"/>
    <w:p>
      <w:pPr>
        <w:ind w:right="280"/>
        <w:spacing w:after="0" w:line="254" w:lineRule="auto"/>
        <w:rPr>
          <w:sz w:val="20"/>
          <w:szCs w:val="20"/>
          <w:color w:val="auto"/>
        </w:rPr>
      </w:pPr>
      <w:r>
        <w:rPr>
          <w:rFonts w:ascii="Arial" w:cs="Arial" w:eastAsia="Arial" w:hAnsi="Arial"/>
          <w:sz w:val="22"/>
          <w:szCs w:val="22"/>
          <w:color w:val="auto"/>
        </w:rPr>
        <w:t>only game in town. We are ready to capitalize on the sales momentum that our newest investment team, Managed Investment Solutions, will generate with its unique, customized approach, and launched Westwood Energy Secondaries Fund to access private investments in the energy field. I believe that Westwood has the right products and people in place to take advantage of unfolding market opportunities."</w:t>
      </w:r>
    </w:p>
    <w:p>
      <w:pPr>
        <w:spacing w:after="0" w:line="23" w:lineRule="exact"/>
        <w:rPr>
          <w:sz w:val="20"/>
          <w:szCs w:val="20"/>
          <w:color w:val="auto"/>
        </w:rPr>
      </w:pPr>
    </w:p>
    <w:p>
      <w:pPr>
        <w:jc w:val="both"/>
        <w:spacing w:after="0" w:line="311" w:lineRule="auto"/>
        <w:rPr>
          <w:sz w:val="20"/>
          <w:szCs w:val="20"/>
          <w:color w:val="auto"/>
        </w:rPr>
      </w:pPr>
      <w:r>
        <w:rPr>
          <w:rFonts w:ascii="Arial" w:cs="Arial" w:eastAsia="Arial" w:hAnsi="Arial"/>
          <w:sz w:val="19"/>
          <w:szCs w:val="19"/>
          <w:color w:val="auto"/>
        </w:rPr>
        <w:t>Revenues were comparable to the second quarter. Revenues were higher than last year's third quarter reflecting higher average AUM following the acquisition of Salient Partners' asset management business during the fourth quarter of last year.</w:t>
      </w:r>
    </w:p>
    <w:p>
      <w:pPr>
        <w:spacing w:after="0" w:line="1"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Firmwide assets under management and advisement totaled $15.5 billion at quarter end, consisting of assets under management ("AUM") of $14.4 billion and assets under advisement ("AUA") of $1.1 billion.</w:t>
      </w:r>
    </w:p>
    <w:p>
      <w:pPr>
        <w:spacing w:after="0" w:line="26"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Third quarter net income of $4.4 million compared to the second quarter's $2.9 million due to the receipt of life insurance proceeds offset by changes in the fair value of contingent consideration. Diluted earnings (loss) per share ("EPS") of $0.41 compared to $0.36 for the second quarter. Non-GAAP Economic Earnings of $6.3 million, or $0.77 per share, compared with $5.7 million, or $0.70 per share, in the second quarter.</w:t>
      </w:r>
    </w:p>
    <w:p>
      <w:pPr>
        <w:spacing w:after="0" w:line="26" w:lineRule="exact"/>
        <w:rPr>
          <w:sz w:val="20"/>
          <w:szCs w:val="20"/>
          <w:color w:val="auto"/>
        </w:rPr>
      </w:pPr>
    </w:p>
    <w:p>
      <w:pPr>
        <w:jc w:val="both"/>
        <w:spacing w:after="0" w:line="296" w:lineRule="auto"/>
        <w:rPr>
          <w:sz w:val="20"/>
          <w:szCs w:val="20"/>
          <w:color w:val="auto"/>
        </w:rPr>
      </w:pPr>
      <w:r>
        <w:rPr>
          <w:rFonts w:ascii="Arial" w:cs="Arial" w:eastAsia="Arial" w:hAnsi="Arial"/>
          <w:sz w:val="19"/>
          <w:szCs w:val="19"/>
          <w:color w:val="auto"/>
        </w:rPr>
        <w:t>Third quarter net income of $4.4 million compared to last year's third quarter net loss of $1.2 million due to higher revenues and insurance proceeds, offset by changes in the fair value of contingent consideration and higher employee compensation and benefits expenses. Revenues and expenses were higher following the acquisition of Salient Partners' asset management business in 2022. Diluted EPS was $0.41 compared with a loss of $0.15 per share for 2022's third quarter. Non-GAAP Economic Earnings were $6.3 million, or $0.77 per share, compared with $0.8 million, or $0.10 per share, in the third quarter of 2022.</w:t>
      </w:r>
    </w:p>
    <w:p>
      <w:pPr>
        <w:spacing w:after="0" w:line="3"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Economic Earnings and Economic EPS are non-GAAP performance measures and are explained and reconciled with the most comparable GAAP numbers in the attached tables.</w:t>
      </w:r>
    </w:p>
    <w:p>
      <w:pPr>
        <w:spacing w:after="0" w:line="26"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color w:val="auto"/>
        </w:rPr>
        <w:t>Westwood will host a conference call to discuss third quarter 2023 results and other business matters at 4:30 p.m. Eastern time today. To join the conference call, please register here:</w:t>
      </w:r>
    </w:p>
    <w:p>
      <w:pPr>
        <w:spacing w:after="0" w:line="1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https://register.vevent.com/register/BI198ee10944264795a68c538221b72c64</w:t>
      </w:r>
    </w:p>
    <w:p>
      <w:pPr>
        <w:spacing w:after="0" w:line="58" w:lineRule="exact"/>
        <w:rPr>
          <w:sz w:val="20"/>
          <w:szCs w:val="20"/>
          <w:color w:val="auto"/>
        </w:rPr>
      </w:pPr>
    </w:p>
    <w:p>
      <w:pPr>
        <w:spacing w:after="0"/>
        <w:rPr>
          <w:sz w:val="20"/>
          <w:szCs w:val="20"/>
          <w:color w:val="auto"/>
        </w:rPr>
      </w:pPr>
      <w:r>
        <w:rPr>
          <w:rFonts w:ascii="Arial" w:cs="Arial" w:eastAsia="Arial" w:hAnsi="Arial"/>
          <w:sz w:val="22"/>
          <w:szCs w:val="22"/>
          <w:color w:val="auto"/>
        </w:rPr>
        <w:t>After registering, you will be provided with a dial-in number containing a personalized PIN.</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Webcast Link: </w:t>
      </w:r>
      <w:r>
        <w:rPr>
          <w:rFonts w:ascii="Arial" w:cs="Arial" w:eastAsia="Arial" w:hAnsi="Arial"/>
          <w:sz w:val="22"/>
          <w:szCs w:val="22"/>
          <w:u w:val="single" w:color="auto"/>
          <w:color w:val="auto"/>
        </w:rPr>
        <w:t>https://edge.media-server.com/mmc/p/96mgehos</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WESTWOOD HOLDINGS GROUP</w:t>
      </w:r>
    </w:p>
    <w:p>
      <w:pPr>
        <w:spacing w:after="0" w:line="27" w:lineRule="exact"/>
        <w:rPr>
          <w:sz w:val="20"/>
          <w:szCs w:val="20"/>
          <w:color w:val="auto"/>
        </w:rPr>
      </w:pPr>
    </w:p>
    <w:p>
      <w:pPr>
        <w:jc w:val="both"/>
        <w:spacing w:after="0" w:line="247" w:lineRule="auto"/>
        <w:rPr>
          <w:sz w:val="20"/>
          <w:szCs w:val="20"/>
          <w:color w:val="auto"/>
        </w:rPr>
      </w:pPr>
      <w:r>
        <w:rPr>
          <w:rFonts w:ascii="Arial" w:cs="Arial" w:eastAsia="Arial" w:hAnsi="Arial"/>
          <w:sz w:val="21"/>
          <w:szCs w:val="21"/>
          <w:color w:val="auto"/>
        </w:rPr>
        <w:t>Westwood Holdings Group, Inc. is an investment management boutique and wealth management firm. Westwood offers a broad array of investment solutions to institutional investors, private wealth clients and financial intermediaries. The firm specializes in two distinct investment capabilities: U.S. Value Equity and Multi-Asset, which includes Asset Allocation, Energy and Real Assets and Tactical Absolute Return. Westwood’s strategies are made available through separate accounts, the Westwood Funds</w:t>
      </w:r>
      <w:r>
        <w:rPr>
          <w:rFonts w:ascii="Arial" w:cs="Arial" w:eastAsia="Arial" w:hAnsi="Arial"/>
          <w:sz w:val="27"/>
          <w:szCs w:val="27"/>
          <w:color w:val="auto"/>
          <w:vertAlign w:val="superscript"/>
        </w:rPr>
        <w:t>®</w:t>
      </w:r>
      <w:r>
        <w:rPr>
          <w:rFonts w:ascii="Arial" w:cs="Arial" w:eastAsia="Arial" w:hAnsi="Arial"/>
          <w:sz w:val="21"/>
          <w:szCs w:val="21"/>
          <w:color w:val="auto"/>
        </w:rPr>
        <w:t xml:space="preserve"> family of mutual funds and other pooled vehicles. Westwood benefits from significant, broad-based employee ownership and trades on the New York Stock Exchange under the symbol “WHG.” Based in Dallas, Westwood also maintains offices in Houston and San Francisco.</w:t>
      </w:r>
    </w:p>
    <w:p>
      <w:pPr>
        <w:spacing w:after="0" w:line="88" w:lineRule="exact"/>
        <w:rPr>
          <w:sz w:val="20"/>
          <w:szCs w:val="20"/>
          <w:color w:val="auto"/>
        </w:rPr>
      </w:pPr>
    </w:p>
    <w:p>
      <w:pPr>
        <w:spacing w:after="0"/>
        <w:rPr>
          <w:sz w:val="20"/>
          <w:szCs w:val="20"/>
          <w:color w:val="auto"/>
        </w:rPr>
      </w:pPr>
      <w:r>
        <w:rPr>
          <w:rFonts w:ascii="Arial" w:cs="Arial" w:eastAsia="Arial" w:hAnsi="Arial"/>
          <w:sz w:val="22"/>
          <w:szCs w:val="22"/>
          <w:color w:val="auto"/>
        </w:rPr>
        <w:t>For more information on Westwood, please visit westwoodgroup.com.</w:t>
      </w:r>
    </w:p>
    <w:p>
      <w:pPr>
        <w:spacing w:after="0" w:line="1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118" w:lineRule="exact"/>
        <w:rPr>
          <w:sz w:val="20"/>
          <w:szCs w:val="20"/>
          <w:color w:val="auto"/>
        </w:rPr>
      </w:pPr>
    </w:p>
    <w:p>
      <w:pPr>
        <w:jc w:val="both"/>
        <w:spacing w:after="0" w:line="300" w:lineRule="auto"/>
        <w:rPr>
          <w:sz w:val="20"/>
          <w:szCs w:val="20"/>
          <w:color w:val="auto"/>
        </w:rPr>
      </w:pPr>
      <w:r>
        <w:rPr>
          <w:rFonts w:ascii="Arial" w:cs="Arial" w:eastAsia="Arial" w:hAnsi="Arial"/>
          <w:sz w:val="19"/>
          <w:szCs w:val="19"/>
          <w:color w:val="auto"/>
        </w:rPr>
        <w:t>Statements in this press release that are not purely historical facts, including, without limitation, statements about our expected future financial position, results of operations or cash flows, as well as other statements including without limitation, words such as “anticipate,” “believe,” “expect,” “could,” and other similar expressions, constitute forward-looking statements within the meaning of Section 27A of the Securities Act of 1933, as amended, and Section 21E of the Securities Exchange Act of 1934, as amended. Actual results and the timing of some events could differ materially from those projected in or</w:t>
      </w:r>
    </w:p>
    <w:p>
      <w:pPr>
        <w:sectPr>
          <w:pgSz w:w="11900" w:h="16838" w:orient="portrait"/>
          <w:cols w:equalWidth="0" w:num="1">
            <w:col w:w="11240"/>
          </w:cols>
          <w:pgMar w:left="320" w:top="1009" w:right="339" w:bottom="1440" w:gutter="0" w:footer="0" w:header="0"/>
        </w:sectPr>
      </w:pPr>
    </w:p>
    <w:bookmarkStart w:id="5" w:name="page6"/>
    <w:bookmarkEnd w:id="5"/>
    <w:p>
      <w:pPr>
        <w:jc w:val="both"/>
        <w:spacing w:after="0" w:line="287" w:lineRule="auto"/>
        <w:rPr>
          <w:sz w:val="20"/>
          <w:szCs w:val="20"/>
          <w:color w:val="auto"/>
        </w:rPr>
      </w:pPr>
      <w:r>
        <w:rPr>
          <w:rFonts w:ascii="Arial" w:cs="Arial" w:eastAsia="Arial" w:hAnsi="Arial"/>
          <w:sz w:val="19"/>
          <w:szCs w:val="19"/>
          <w:color w:val="auto"/>
        </w:rPr>
        <w:t>contemplated by the forward-looking statements due to a number of factors, including, without limitation: the composition and market value of our AUM and AUA; our ability to maintain our fee structure in light of competitive fee pressures; risks associated with actions of activist stockholders; distributions to our common stockholders have included and may in the future include a return of capital; inclusion of foreign company investments in our AUM; regulations adversely affecting the financial services industry; our ability to maintain effective cyber security; litigation risks; our ability to develop and market new investment strategies successfully; our reputation and our relationships with current and potential customers; our ability to attract and retain qualified personnel; our ability to perform operational tasks; our ability to select and oversee third-party vendors; our dependence on the operations and funds of our subsidiaries; our ability to maintain effective information systems; our ability to prevent misuse of assets and information in the possession of our employees and third-party vendors, which could damage our reputation and result in costly litigation and liability for our clients and us; our stock is thinly traded and may be subject to volatility; competition in the investment management industry; our ability to avoid termination of client agreements and the related investment redemptions; the significant concentration of our revenues in a small number of customers; we have made and may continue to make business combinations as a part of our business strategy, which may present certain risks and uncertainties; our relationships with investment consulting firms; our ability to identify and execute on our strategic initiatives; our ability to declare and pay dividends; our ability to fund future capital requirements on favorable terms; our ability to properly address conflicts of interest; our ability to maintain adequate insurance coverage; our ability to maintain an effective system of internal controls; and the other risks detailed from time to time in Westwood’s SEC filings, including, but not limited to, its annual report on Form 10-K for the year ended December 31, 2022 and its quarterly report on Form 10-Q for the quarters ended March 31, 2023, June 30, 2023 and September 30, 2023. You are cautioned not to place undue reliance on these forward-looking statements, which speak only as of the date of this press release. Except as required by law, Westwood is not obligated to publicly release any revisions to these forward-looking statements to reflect events or circumstances after the date of this press release or to reflect the occurrence of unanticipated events.</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color w:val="auto"/>
        </w:rPr>
        <w:t># # # #</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2"/>
          <w:szCs w:val="22"/>
          <w:color w:val="auto"/>
        </w:rPr>
        <w:t>SOURCE: Westwood Holdings Group, Inc.</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(WHG-G)</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Westwood Holdings Group, Inc.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Terry Forbes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Chief Financial Officer and Treasurer</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(214) 756-6900</w:t>
      </w:r>
    </w:p>
    <w:p>
      <w:pPr>
        <w:sectPr>
          <w:pgSz w:w="11900" w:h="16838" w:orient="portrait"/>
          <w:cols w:equalWidth="0" w:num="1">
            <w:col w:w="11240"/>
          </w:cols>
          <w:pgMar w:left="320" w:top="1009" w:right="339" w:bottom="1440" w:gutter="0" w:footer="0" w:header="0"/>
        </w:sectPr>
      </w:pPr>
    </w:p>
    <w:bookmarkStart w:id="6" w:name="page7"/>
    <w:bookmarkEnd w:id="6"/>
    <w:p>
      <w:pPr>
        <w:spacing w:after="0"/>
        <w:rPr>
          <w:sz w:val="20"/>
          <w:szCs w:val="20"/>
          <w:color w:val="auto"/>
        </w:rPr>
      </w:pPr>
      <w:r>
        <w:rPr>
          <w:rFonts w:ascii="Arial" w:cs="Arial" w:eastAsia="Arial" w:hAnsi="Arial"/>
          <w:sz w:val="22"/>
          <w:szCs w:val="22"/>
          <w:b w:val="1"/>
          <w:bCs w:val="1"/>
          <w:color w:val="auto"/>
        </w:rPr>
        <w:t>WESTWOOD HOLDINGS GROUP, INC. AND SUBSIDIARIES</w:t>
      </w:r>
    </w:p>
    <w:p>
      <w:pPr>
        <w:spacing w:after="0" w:line="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CONDENSED CONSOLIDATED STATEMENTS OF COMPREHENSIVE INCOME (LOSS)</w:t>
      </w:r>
    </w:p>
    <w:p>
      <w:pPr>
        <w:spacing w:after="0"/>
        <w:rPr>
          <w:sz w:val="20"/>
          <w:szCs w:val="20"/>
          <w:color w:val="auto"/>
        </w:rPr>
      </w:pPr>
      <w:r>
        <w:rPr>
          <w:rFonts w:ascii="Arial" w:cs="Arial" w:eastAsia="Arial" w:hAnsi="Arial"/>
          <w:sz w:val="20"/>
          <w:szCs w:val="20"/>
          <w:b w:val="1"/>
          <w:bCs w:val="1"/>
          <w:color w:val="auto"/>
        </w:rPr>
        <w:t>(in thousands, except per share and share amounts)</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(unaudited)</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3"/>
              </w:rPr>
              <w:t>Three Months Ended</w:t>
            </w:r>
          </w:p>
        </w:tc>
        <w:tc>
          <w:tcPr>
            <w:tcW w:w="1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jc w:val="right"/>
              <w:ind w:right="148"/>
              <w:spacing w:after="0"/>
              <w:rPr>
                <w:sz w:val="20"/>
                <w:szCs w:val="20"/>
                <w:color w:val="auto"/>
              </w:rPr>
            </w:pPr>
            <w:r>
              <w:rPr>
                <w:rFonts w:ascii="Arial" w:cs="Arial" w:eastAsia="Arial" w:hAnsi="Arial"/>
                <w:sz w:val="16"/>
                <w:szCs w:val="16"/>
                <w:b w:val="1"/>
                <w:bCs w:val="1"/>
                <w:color w:val="auto"/>
                <w:w w:val="93"/>
              </w:rPr>
              <w:t>September 30, 2023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June 30, 2023</w:t>
            </w:r>
          </w:p>
        </w:tc>
        <w:tc>
          <w:tcPr>
            <w:tcW w:w="140" w:type="dxa"/>
            <w:vAlign w:val="bottom"/>
          </w:tcPr>
          <w:p>
            <w:pPr>
              <w:spacing w:after="0"/>
              <w:rPr>
                <w:sz w:val="18"/>
                <w:szCs w:val="18"/>
                <w:color w:val="auto"/>
              </w:rPr>
            </w:pPr>
          </w:p>
        </w:tc>
        <w:tc>
          <w:tcPr>
            <w:tcW w:w="1640" w:type="dxa"/>
            <w:vAlign w:val="bottom"/>
          </w:tcPr>
          <w:p>
            <w:pPr>
              <w:jc w:val="right"/>
              <w:ind w:right="148"/>
              <w:spacing w:after="0"/>
              <w:rPr>
                <w:sz w:val="20"/>
                <w:szCs w:val="20"/>
                <w:color w:val="auto"/>
              </w:rPr>
            </w:pPr>
            <w:r>
              <w:rPr>
                <w:rFonts w:ascii="Arial" w:cs="Arial" w:eastAsia="Arial" w:hAnsi="Arial"/>
                <w:sz w:val="16"/>
                <w:szCs w:val="16"/>
                <w:b w:val="1"/>
                <w:bCs w:val="1"/>
                <w:color w:val="auto"/>
                <w:w w:val="93"/>
              </w:rPr>
              <w:t>September 30, 2022</w:t>
            </w:r>
          </w:p>
        </w:tc>
        <w:tc>
          <w:tcPr>
            <w:tcW w:w="0" w:type="dxa"/>
            <w:vAlign w:val="bottom"/>
          </w:tcPr>
          <w:p>
            <w:pPr>
              <w:spacing w:after="0"/>
              <w:rPr>
                <w:sz w:val="1"/>
                <w:szCs w:val="1"/>
                <w:color w:val="auto"/>
              </w:rPr>
            </w:pPr>
          </w:p>
        </w:tc>
      </w:tr>
      <w:tr>
        <w:trPr>
          <w:trHeight w:val="185"/>
        </w:trPr>
        <w:tc>
          <w:tcPr>
            <w:tcW w:w="6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140" w:type="dxa"/>
            <w:vAlign w:val="bottom"/>
            <w:tcBorders>
              <w:top w:val="single" w:sz="8" w:color="auto"/>
            </w:tcBorders>
            <w:shd w:val="clear" w:color="auto" w:fill="CCEEFF"/>
          </w:tcPr>
          <w:p>
            <w:pPr>
              <w:spacing w:after="0"/>
              <w:rPr>
                <w:sz w:val="16"/>
                <w:szCs w:val="16"/>
                <w:color w:val="auto"/>
              </w:rPr>
            </w:pPr>
          </w:p>
        </w:tc>
        <w:tc>
          <w:tcPr>
            <w:tcW w:w="16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6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6200" w:type="dxa"/>
            <w:vAlign w:val="bottom"/>
          </w:tcPr>
          <w:p>
            <w:pPr>
              <w:ind w:left="360"/>
              <w:spacing w:after="0"/>
              <w:rPr>
                <w:sz w:val="20"/>
                <w:szCs w:val="20"/>
                <w:color w:val="auto"/>
              </w:rPr>
            </w:pPr>
            <w:r>
              <w:rPr>
                <w:rFonts w:ascii="Arial" w:cs="Arial" w:eastAsia="Arial" w:hAnsi="Arial"/>
                <w:sz w:val="14"/>
                <w:szCs w:val="14"/>
                <w:color w:val="auto"/>
              </w:rPr>
              <w:t>Advisory fees:</w:t>
            </w:r>
          </w:p>
        </w:tc>
        <w:tc>
          <w:tcPr>
            <w:tcW w:w="1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0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4"/>
                <w:szCs w:val="14"/>
                <w:color w:val="auto"/>
              </w:rPr>
              <w:t>Asset-based</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16,902</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16,799</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10,474</w:t>
            </w:r>
          </w:p>
        </w:tc>
        <w:tc>
          <w:tcPr>
            <w:tcW w:w="0" w:type="dxa"/>
            <w:vAlign w:val="bottom"/>
          </w:tcPr>
          <w:p>
            <w:pPr>
              <w:spacing w:after="0"/>
              <w:rPr>
                <w:sz w:val="1"/>
                <w:szCs w:val="1"/>
                <w:color w:val="auto"/>
              </w:rPr>
            </w:pPr>
          </w:p>
        </w:tc>
      </w:tr>
      <w:tr>
        <w:trPr>
          <w:trHeight w:val="182"/>
        </w:trPr>
        <w:tc>
          <w:tcPr>
            <w:tcW w:w="6200" w:type="dxa"/>
            <w:vAlign w:val="bottom"/>
          </w:tcPr>
          <w:p>
            <w:pPr>
              <w:ind w:left="360"/>
              <w:spacing w:after="0"/>
              <w:rPr>
                <w:sz w:val="20"/>
                <w:szCs w:val="20"/>
                <w:color w:val="auto"/>
              </w:rPr>
            </w:pPr>
            <w:r>
              <w:rPr>
                <w:rFonts w:ascii="Arial" w:cs="Arial" w:eastAsia="Arial" w:hAnsi="Arial"/>
                <w:sz w:val="14"/>
                <w:szCs w:val="14"/>
                <w:color w:val="auto"/>
              </w:rPr>
              <w:t>Trust fees</w:t>
            </w:r>
          </w:p>
        </w:tc>
        <w:tc>
          <w:tcPr>
            <w:tcW w:w="14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5,063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5,024</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5,177</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2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Other, net</w:t>
            </w:r>
          </w:p>
        </w:tc>
        <w:tc>
          <w:tcPr>
            <w:tcW w:w="140" w:type="dxa"/>
            <w:vAlign w:val="bottom"/>
            <w:tcBorders>
              <w:bottom w:val="single" w:sz="8" w:color="CCEEFF"/>
            </w:tcBorders>
            <w:shd w:val="clear" w:color="auto" w:fill="CCEEFF"/>
          </w:tcPr>
          <w:p>
            <w:pPr>
              <w:spacing w:after="0"/>
              <w:rPr>
                <w:sz w:val="17"/>
                <w:szCs w:val="17"/>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(85)</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122</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(245)</w:t>
            </w:r>
          </w:p>
        </w:tc>
        <w:tc>
          <w:tcPr>
            <w:tcW w:w="0" w:type="dxa"/>
            <w:vAlign w:val="bottom"/>
          </w:tcPr>
          <w:p>
            <w:pPr>
              <w:spacing w:after="0"/>
              <w:rPr>
                <w:sz w:val="1"/>
                <w:szCs w:val="1"/>
                <w:color w:val="auto"/>
              </w:rPr>
            </w:pPr>
          </w:p>
        </w:tc>
      </w:tr>
      <w:tr>
        <w:trPr>
          <w:trHeight w:val="176"/>
        </w:trPr>
        <w:tc>
          <w:tcPr>
            <w:tcW w:w="6200" w:type="dxa"/>
            <w:vAlign w:val="bottom"/>
          </w:tcPr>
          <w:p>
            <w:pPr>
              <w:ind w:left="680"/>
              <w:spacing w:after="0"/>
              <w:rPr>
                <w:sz w:val="20"/>
                <w:szCs w:val="20"/>
                <w:color w:val="auto"/>
              </w:rPr>
            </w:pPr>
            <w:r>
              <w:rPr>
                <w:rFonts w:ascii="Arial" w:cs="Arial" w:eastAsia="Arial" w:hAnsi="Arial"/>
                <w:sz w:val="14"/>
                <w:szCs w:val="14"/>
                <w:color w:val="auto"/>
              </w:rPr>
              <w:t>Total revenues</w:t>
            </w:r>
          </w:p>
        </w:tc>
        <w:tc>
          <w:tcPr>
            <w:tcW w:w="140" w:type="dxa"/>
            <w:vAlign w:val="bottom"/>
            <w:tcBorders>
              <w:top w:val="single" w:sz="8" w:color="auto"/>
            </w:tcBorders>
          </w:tcPr>
          <w:p>
            <w:pPr>
              <w:spacing w:after="0"/>
              <w:rPr>
                <w:sz w:val="15"/>
                <w:szCs w:val="15"/>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21,880</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21,945</w:t>
            </w: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15,406</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2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EXPENSES:</w:t>
            </w:r>
          </w:p>
        </w:tc>
        <w:tc>
          <w:tcPr>
            <w:tcW w:w="14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6200" w:type="dxa"/>
            <w:vAlign w:val="bottom"/>
          </w:tcPr>
          <w:p>
            <w:pPr>
              <w:ind w:left="360"/>
              <w:spacing w:after="0"/>
              <w:rPr>
                <w:sz w:val="20"/>
                <w:szCs w:val="20"/>
                <w:color w:val="auto"/>
              </w:rPr>
            </w:pPr>
            <w:r>
              <w:rPr>
                <w:rFonts w:ascii="Arial" w:cs="Arial" w:eastAsia="Arial" w:hAnsi="Arial"/>
                <w:sz w:val="14"/>
                <w:szCs w:val="14"/>
                <w:color w:val="auto"/>
              </w:rPr>
              <w:t>Employee compensation and benefits</w:t>
            </w:r>
          </w:p>
        </w:tc>
        <w:tc>
          <w:tcPr>
            <w:tcW w:w="14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12,661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13,688</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9,526</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Sales and marketing</w:t>
            </w:r>
          </w:p>
        </w:tc>
        <w:tc>
          <w:tcPr>
            <w:tcW w:w="140" w:type="dxa"/>
            <w:vAlign w:val="bottom"/>
            <w:tcBorders>
              <w:bottom w:val="single" w:sz="8" w:color="CCEEFF"/>
            </w:tcBorders>
            <w:shd w:val="clear" w:color="auto" w:fill="CCEEFF"/>
          </w:tcPr>
          <w:p>
            <w:pPr>
              <w:spacing w:after="0"/>
              <w:rPr>
                <w:sz w:val="15"/>
                <w:szCs w:val="15"/>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676</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764</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335</w:t>
            </w:r>
          </w:p>
        </w:tc>
        <w:tc>
          <w:tcPr>
            <w:tcW w:w="0" w:type="dxa"/>
            <w:vAlign w:val="bottom"/>
          </w:tcPr>
          <w:p>
            <w:pPr>
              <w:spacing w:after="0"/>
              <w:rPr>
                <w:sz w:val="1"/>
                <w:szCs w:val="1"/>
                <w:color w:val="auto"/>
              </w:rPr>
            </w:pPr>
          </w:p>
        </w:tc>
      </w:tr>
      <w:tr>
        <w:trPr>
          <w:trHeight w:val="182"/>
        </w:trPr>
        <w:tc>
          <w:tcPr>
            <w:tcW w:w="6200" w:type="dxa"/>
            <w:vAlign w:val="bottom"/>
          </w:tcPr>
          <w:p>
            <w:pPr>
              <w:ind w:left="360"/>
              <w:spacing w:after="0"/>
              <w:rPr>
                <w:sz w:val="20"/>
                <w:szCs w:val="20"/>
                <w:color w:val="auto"/>
              </w:rPr>
            </w:pPr>
            <w:r>
              <w:rPr>
                <w:rFonts w:ascii="Arial" w:cs="Arial" w:eastAsia="Arial" w:hAnsi="Arial"/>
                <w:sz w:val="14"/>
                <w:szCs w:val="14"/>
                <w:color w:val="auto"/>
              </w:rPr>
              <w:t>Westwood mutual funds</w:t>
            </w:r>
          </w:p>
        </w:tc>
        <w:tc>
          <w:tcPr>
            <w:tcW w:w="14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872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746</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270</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Information technology</w:t>
            </w:r>
          </w:p>
        </w:tc>
        <w:tc>
          <w:tcPr>
            <w:tcW w:w="140" w:type="dxa"/>
            <w:vAlign w:val="bottom"/>
            <w:tcBorders>
              <w:bottom w:val="single" w:sz="8" w:color="CCEEFF"/>
            </w:tcBorders>
            <w:shd w:val="clear" w:color="auto" w:fill="CCEEFF"/>
          </w:tcPr>
          <w:p>
            <w:pPr>
              <w:spacing w:after="0"/>
              <w:rPr>
                <w:sz w:val="15"/>
                <w:szCs w:val="15"/>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2,334</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2,566</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1,939</w:t>
            </w:r>
          </w:p>
        </w:tc>
        <w:tc>
          <w:tcPr>
            <w:tcW w:w="0" w:type="dxa"/>
            <w:vAlign w:val="bottom"/>
          </w:tcPr>
          <w:p>
            <w:pPr>
              <w:spacing w:after="0"/>
              <w:rPr>
                <w:sz w:val="1"/>
                <w:szCs w:val="1"/>
                <w:color w:val="auto"/>
              </w:rPr>
            </w:pPr>
          </w:p>
        </w:tc>
      </w:tr>
      <w:tr>
        <w:trPr>
          <w:trHeight w:val="182"/>
        </w:trPr>
        <w:tc>
          <w:tcPr>
            <w:tcW w:w="6200" w:type="dxa"/>
            <w:vAlign w:val="bottom"/>
          </w:tcPr>
          <w:p>
            <w:pPr>
              <w:ind w:left="360"/>
              <w:spacing w:after="0"/>
              <w:rPr>
                <w:sz w:val="20"/>
                <w:szCs w:val="20"/>
                <w:color w:val="auto"/>
              </w:rPr>
            </w:pPr>
            <w:r>
              <w:rPr>
                <w:rFonts w:ascii="Arial" w:cs="Arial" w:eastAsia="Arial" w:hAnsi="Arial"/>
                <w:sz w:val="14"/>
                <w:szCs w:val="14"/>
                <w:color w:val="auto"/>
              </w:rPr>
              <w:t>Professional services</w:t>
            </w:r>
          </w:p>
        </w:tc>
        <w:tc>
          <w:tcPr>
            <w:tcW w:w="14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1,009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1,355</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1,536</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General and administrative</w:t>
            </w:r>
          </w:p>
        </w:tc>
        <w:tc>
          <w:tcPr>
            <w:tcW w:w="140" w:type="dxa"/>
            <w:vAlign w:val="bottom"/>
            <w:tcBorders>
              <w:bottom w:val="single" w:sz="8" w:color="CCEEFF"/>
            </w:tcBorders>
            <w:shd w:val="clear" w:color="auto" w:fill="CCEEFF"/>
          </w:tcPr>
          <w:p>
            <w:pPr>
              <w:spacing w:after="0"/>
              <w:rPr>
                <w:sz w:val="15"/>
                <w:szCs w:val="15"/>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3,298</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3,235</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2,181</w:t>
            </w:r>
          </w:p>
        </w:tc>
        <w:tc>
          <w:tcPr>
            <w:tcW w:w="0" w:type="dxa"/>
            <w:vAlign w:val="bottom"/>
          </w:tcPr>
          <w:p>
            <w:pPr>
              <w:spacing w:after="0"/>
              <w:rPr>
                <w:sz w:val="1"/>
                <w:szCs w:val="1"/>
                <w:color w:val="auto"/>
              </w:rPr>
            </w:pPr>
          </w:p>
        </w:tc>
      </w:tr>
      <w:tr>
        <w:trPr>
          <w:trHeight w:val="182"/>
        </w:trPr>
        <w:tc>
          <w:tcPr>
            <w:tcW w:w="6200" w:type="dxa"/>
            <w:vAlign w:val="bottom"/>
          </w:tcPr>
          <w:p>
            <w:pPr>
              <w:ind w:left="360"/>
              <w:spacing w:after="0"/>
              <w:rPr>
                <w:sz w:val="20"/>
                <w:szCs w:val="20"/>
                <w:color w:val="auto"/>
              </w:rPr>
            </w:pPr>
            <w:r>
              <w:rPr>
                <w:rFonts w:ascii="Arial" w:cs="Arial" w:eastAsia="Arial" w:hAnsi="Arial"/>
                <w:sz w:val="14"/>
                <w:szCs w:val="14"/>
                <w:color w:val="auto"/>
              </w:rPr>
              <w:t>(Gain) loss from change in fair value of contingent consideration</w:t>
            </w:r>
          </w:p>
        </w:tc>
        <w:tc>
          <w:tcPr>
            <w:tcW w:w="14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2,483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(4,078)</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2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Acquisition expenses</w:t>
            </w:r>
          </w:p>
        </w:tc>
        <w:tc>
          <w:tcPr>
            <w:tcW w:w="140" w:type="dxa"/>
            <w:vAlign w:val="bottom"/>
            <w:tcBorders>
              <w:bottom w:val="single" w:sz="8" w:color="CCEEFF"/>
            </w:tcBorders>
            <w:shd w:val="clear" w:color="auto" w:fill="CCEEFF"/>
          </w:tcPr>
          <w:p>
            <w:pPr>
              <w:spacing w:after="0"/>
              <w:rPr>
                <w:sz w:val="17"/>
                <w:szCs w:val="17"/>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701</w:t>
            </w:r>
          </w:p>
        </w:tc>
        <w:tc>
          <w:tcPr>
            <w:tcW w:w="0" w:type="dxa"/>
            <w:vAlign w:val="bottom"/>
          </w:tcPr>
          <w:p>
            <w:pPr>
              <w:spacing w:after="0"/>
              <w:rPr>
                <w:sz w:val="1"/>
                <w:szCs w:val="1"/>
                <w:color w:val="auto"/>
              </w:rPr>
            </w:pPr>
          </w:p>
        </w:tc>
      </w:tr>
      <w:tr>
        <w:trPr>
          <w:trHeight w:val="176"/>
        </w:trPr>
        <w:tc>
          <w:tcPr>
            <w:tcW w:w="6200" w:type="dxa"/>
            <w:vAlign w:val="bottom"/>
          </w:tcPr>
          <w:p>
            <w:pPr>
              <w:ind w:left="680"/>
              <w:spacing w:after="0"/>
              <w:rPr>
                <w:sz w:val="20"/>
                <w:szCs w:val="20"/>
                <w:color w:val="auto"/>
              </w:rPr>
            </w:pPr>
            <w:r>
              <w:rPr>
                <w:rFonts w:ascii="Arial" w:cs="Arial" w:eastAsia="Arial" w:hAnsi="Arial"/>
                <w:sz w:val="14"/>
                <w:szCs w:val="14"/>
                <w:color w:val="auto"/>
              </w:rPr>
              <w:t>Total expenses</w:t>
            </w:r>
          </w:p>
        </w:tc>
        <w:tc>
          <w:tcPr>
            <w:tcW w:w="140" w:type="dxa"/>
            <w:vAlign w:val="bottom"/>
            <w:tcBorders>
              <w:top w:val="single" w:sz="8" w:color="auto"/>
            </w:tcBorders>
          </w:tcPr>
          <w:p>
            <w:pPr>
              <w:spacing w:after="0"/>
              <w:rPr>
                <w:sz w:val="15"/>
                <w:szCs w:val="15"/>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23,333</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18,276</w:t>
            </w: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16,488</w:t>
            </w:r>
          </w:p>
        </w:tc>
        <w:tc>
          <w:tcPr>
            <w:tcW w:w="0" w:type="dxa"/>
            <w:vAlign w:val="bottom"/>
          </w:tcPr>
          <w:p>
            <w:pPr>
              <w:spacing w:after="0"/>
              <w:rPr>
                <w:sz w:val="1"/>
                <w:szCs w:val="1"/>
                <w:color w:val="auto"/>
              </w:rPr>
            </w:pPr>
          </w:p>
        </w:tc>
      </w:tr>
      <w:tr>
        <w:trPr>
          <w:trHeight w:val="20"/>
        </w:trPr>
        <w:tc>
          <w:tcPr>
            <w:tcW w:w="62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6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operating income (loss)</w:t>
            </w:r>
          </w:p>
        </w:tc>
        <w:tc>
          <w:tcPr>
            <w:tcW w:w="140" w:type="dxa"/>
            <w:vAlign w:val="bottom"/>
            <w:tcBorders>
              <w:bottom w:val="single" w:sz="8" w:color="CCEEFF"/>
            </w:tcBorders>
            <w:shd w:val="clear" w:color="auto" w:fill="CCEEFF"/>
          </w:tcPr>
          <w:p>
            <w:pPr>
              <w:spacing w:after="0"/>
              <w:rPr>
                <w:sz w:val="17"/>
                <w:szCs w:val="17"/>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(1,453)</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3,669</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(1,082)</w:t>
            </w:r>
          </w:p>
        </w:tc>
        <w:tc>
          <w:tcPr>
            <w:tcW w:w="0" w:type="dxa"/>
            <w:vAlign w:val="bottom"/>
          </w:tcPr>
          <w:p>
            <w:pPr>
              <w:spacing w:after="0"/>
              <w:rPr>
                <w:sz w:val="1"/>
                <w:szCs w:val="1"/>
                <w:color w:val="auto"/>
              </w:rPr>
            </w:pPr>
          </w:p>
        </w:tc>
      </w:tr>
      <w:tr>
        <w:trPr>
          <w:trHeight w:val="176"/>
        </w:trPr>
        <w:tc>
          <w:tcPr>
            <w:tcW w:w="6200" w:type="dxa"/>
            <w:vAlign w:val="bottom"/>
          </w:tcPr>
          <w:p>
            <w:pPr>
              <w:ind w:left="360"/>
              <w:spacing w:after="0"/>
              <w:rPr>
                <w:sz w:val="20"/>
                <w:szCs w:val="20"/>
                <w:color w:val="auto"/>
              </w:rPr>
            </w:pPr>
            <w:r>
              <w:rPr>
                <w:rFonts w:ascii="Arial" w:cs="Arial" w:eastAsia="Arial" w:hAnsi="Arial"/>
                <w:sz w:val="14"/>
                <w:szCs w:val="14"/>
                <w:color w:val="auto"/>
              </w:rPr>
              <w:t>Net change in unrealized appreciation (depreciation) on private investments</w:t>
            </w:r>
          </w:p>
        </w:tc>
        <w:tc>
          <w:tcPr>
            <w:tcW w:w="140" w:type="dxa"/>
            <w:vAlign w:val="bottom"/>
            <w:tcBorders>
              <w:top w:val="single" w:sz="8" w:color="auto"/>
            </w:tcBorders>
          </w:tcPr>
          <w:p>
            <w:pPr>
              <w:spacing w:after="0"/>
              <w:rPr>
                <w:sz w:val="15"/>
                <w:szCs w:val="15"/>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24</w:t>
            </w: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(249)</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Net investment income</w:t>
            </w:r>
          </w:p>
        </w:tc>
        <w:tc>
          <w:tcPr>
            <w:tcW w:w="140" w:type="dxa"/>
            <w:vAlign w:val="bottom"/>
            <w:tcBorders>
              <w:bottom w:val="single" w:sz="8" w:color="CCEEFF"/>
            </w:tcBorders>
            <w:shd w:val="clear" w:color="auto" w:fill="CCEEFF"/>
          </w:tcPr>
          <w:p>
            <w:pPr>
              <w:spacing w:after="0"/>
              <w:rPr>
                <w:sz w:val="15"/>
                <w:szCs w:val="15"/>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247</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211</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104</w:t>
            </w:r>
          </w:p>
        </w:tc>
        <w:tc>
          <w:tcPr>
            <w:tcW w:w="0" w:type="dxa"/>
            <w:vAlign w:val="bottom"/>
          </w:tcPr>
          <w:p>
            <w:pPr>
              <w:spacing w:after="0"/>
              <w:rPr>
                <w:sz w:val="1"/>
                <w:szCs w:val="1"/>
                <w:color w:val="auto"/>
              </w:rPr>
            </w:pPr>
          </w:p>
        </w:tc>
      </w:tr>
      <w:tr>
        <w:trPr>
          <w:trHeight w:val="182"/>
        </w:trPr>
        <w:tc>
          <w:tcPr>
            <w:tcW w:w="6200" w:type="dxa"/>
            <w:vAlign w:val="bottom"/>
          </w:tcPr>
          <w:p>
            <w:pPr>
              <w:ind w:left="360"/>
              <w:spacing w:after="0"/>
              <w:rPr>
                <w:sz w:val="20"/>
                <w:szCs w:val="20"/>
                <w:color w:val="auto"/>
              </w:rPr>
            </w:pPr>
            <w:r>
              <w:rPr>
                <w:rFonts w:ascii="Arial" w:cs="Arial" w:eastAsia="Arial" w:hAnsi="Arial"/>
                <w:sz w:val="14"/>
                <w:szCs w:val="14"/>
                <w:color w:val="auto"/>
              </w:rPr>
              <w:t>Other income</w:t>
            </w:r>
          </w:p>
        </w:tc>
        <w:tc>
          <w:tcPr>
            <w:tcW w:w="14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5,265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239</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206</w:t>
            </w:r>
          </w:p>
        </w:tc>
        <w:tc>
          <w:tcPr>
            <w:tcW w:w="0" w:type="dxa"/>
            <w:vAlign w:val="bottom"/>
          </w:tcPr>
          <w:p>
            <w:pPr>
              <w:spacing w:after="0"/>
              <w:rPr>
                <w:sz w:val="1"/>
                <w:szCs w:val="1"/>
                <w:color w:val="auto"/>
              </w:rPr>
            </w:pPr>
          </w:p>
        </w:tc>
      </w:tr>
      <w:tr>
        <w:trPr>
          <w:trHeight w:val="20"/>
        </w:trPr>
        <w:tc>
          <w:tcPr>
            <w:tcW w:w="62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6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Income (loss) before income taxes</w:t>
            </w:r>
          </w:p>
        </w:tc>
        <w:tc>
          <w:tcPr>
            <w:tcW w:w="140" w:type="dxa"/>
            <w:vAlign w:val="bottom"/>
            <w:tcBorders>
              <w:bottom w:val="single" w:sz="8" w:color="CCEEFF"/>
            </w:tcBorders>
            <w:shd w:val="clear" w:color="auto" w:fill="CCEEFF"/>
          </w:tcPr>
          <w:p>
            <w:pPr>
              <w:spacing w:after="0"/>
              <w:rPr>
                <w:sz w:val="17"/>
                <w:szCs w:val="17"/>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4,059</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4,143</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(1,021)</w:t>
            </w:r>
          </w:p>
        </w:tc>
        <w:tc>
          <w:tcPr>
            <w:tcW w:w="0" w:type="dxa"/>
            <w:vAlign w:val="bottom"/>
          </w:tcPr>
          <w:p>
            <w:pPr>
              <w:spacing w:after="0"/>
              <w:rPr>
                <w:sz w:val="1"/>
                <w:szCs w:val="1"/>
                <w:color w:val="auto"/>
              </w:rPr>
            </w:pPr>
          </w:p>
        </w:tc>
      </w:tr>
      <w:tr>
        <w:trPr>
          <w:trHeight w:val="176"/>
        </w:trPr>
        <w:tc>
          <w:tcPr>
            <w:tcW w:w="6200" w:type="dxa"/>
            <w:vAlign w:val="bottom"/>
          </w:tcPr>
          <w:p>
            <w:pPr>
              <w:ind w:left="360"/>
              <w:spacing w:after="0"/>
              <w:rPr>
                <w:sz w:val="20"/>
                <w:szCs w:val="20"/>
                <w:color w:val="auto"/>
              </w:rPr>
            </w:pPr>
            <w:r>
              <w:rPr>
                <w:rFonts w:ascii="Arial" w:cs="Arial" w:eastAsia="Arial" w:hAnsi="Arial"/>
                <w:sz w:val="14"/>
                <w:szCs w:val="14"/>
                <w:color w:val="auto"/>
              </w:rPr>
              <w:t>Income tax provision</w:t>
            </w:r>
          </w:p>
        </w:tc>
        <w:tc>
          <w:tcPr>
            <w:tcW w:w="140" w:type="dxa"/>
            <w:vAlign w:val="bottom"/>
            <w:tcBorders>
              <w:top w:val="single" w:sz="8" w:color="auto"/>
            </w:tcBorders>
          </w:tcPr>
          <w:p>
            <w:pPr>
              <w:spacing w:after="0"/>
              <w:rPr>
                <w:sz w:val="15"/>
                <w:szCs w:val="15"/>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(316)</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1,244</w:t>
            </w: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154</w:t>
            </w:r>
          </w:p>
        </w:tc>
        <w:tc>
          <w:tcPr>
            <w:tcW w:w="0" w:type="dxa"/>
            <w:vAlign w:val="bottom"/>
          </w:tcPr>
          <w:p>
            <w:pPr>
              <w:spacing w:after="0"/>
              <w:rPr>
                <w:sz w:val="1"/>
                <w:szCs w:val="1"/>
                <w:color w:val="auto"/>
              </w:rPr>
            </w:pPr>
          </w:p>
        </w:tc>
      </w:tr>
      <w:tr>
        <w:trPr>
          <w:trHeight w:val="20"/>
        </w:trPr>
        <w:tc>
          <w:tcPr>
            <w:tcW w:w="62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6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income (loss)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4,375</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2,899</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(1,175)</w:t>
            </w:r>
          </w:p>
        </w:tc>
        <w:tc>
          <w:tcPr>
            <w:tcW w:w="0" w:type="dxa"/>
            <w:vAlign w:val="bottom"/>
          </w:tcPr>
          <w:p>
            <w:pPr>
              <w:spacing w:after="0"/>
              <w:rPr>
                <w:sz w:val="1"/>
                <w:szCs w:val="1"/>
                <w:color w:val="auto"/>
              </w:rPr>
            </w:pPr>
          </w:p>
        </w:tc>
      </w:tr>
      <w:tr>
        <w:trPr>
          <w:trHeight w:val="20"/>
        </w:trPr>
        <w:tc>
          <w:tcPr>
            <w:tcW w:w="6200" w:type="dxa"/>
            <w:vAlign w:val="bottom"/>
            <w:tcBorders>
              <w:top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Total comprehensive income (loss)</w:t>
            </w:r>
          </w:p>
        </w:tc>
        <w:tc>
          <w:tcPr>
            <w:tcW w:w="14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gridSpan w:val="2"/>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200" w:type="dxa"/>
            <w:vAlign w:val="bottom"/>
            <w:tcBorders>
              <w:top w:val="single" w:sz="8" w:color="CCEEFF"/>
            </w:tcBorders>
            <w:vMerge w:val="continue"/>
          </w:tcPr>
          <w:p>
            <w:pPr>
              <w:spacing w:after="0"/>
              <w:rPr>
                <w:sz w:val="13"/>
                <w:szCs w:val="13"/>
                <w:color w:val="auto"/>
              </w:rPr>
            </w:pPr>
          </w:p>
        </w:tc>
        <w:tc>
          <w:tcPr>
            <w:tcW w:w="14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4"/>
                <w:szCs w:val="14"/>
                <w:color w:val="auto"/>
                <w:w w:val="76"/>
              </w:rPr>
              <w:t>$</w:t>
            </w:r>
          </w:p>
        </w:tc>
        <w:tc>
          <w:tcPr>
            <w:tcW w:w="164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4"/>
                <w:szCs w:val="14"/>
                <w:color w:val="auto"/>
              </w:rPr>
              <w:t>4,375</w:t>
            </w:r>
          </w:p>
        </w:tc>
        <w:tc>
          <w:tcPr>
            <w:tcW w:w="100" w:type="dxa"/>
            <w:vAlign w:val="bottom"/>
          </w:tcPr>
          <w:p>
            <w:pPr>
              <w:spacing w:after="0"/>
              <w:rPr>
                <w:sz w:val="13"/>
                <w:szCs w:val="13"/>
                <w:color w:val="auto"/>
              </w:rPr>
            </w:pPr>
          </w:p>
        </w:tc>
        <w:tc>
          <w:tcPr>
            <w:tcW w:w="12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4"/>
                <w:szCs w:val="14"/>
                <w:color w:val="auto"/>
              </w:rPr>
              <w:t>$</w:t>
            </w:r>
          </w:p>
        </w:tc>
        <w:tc>
          <w:tcPr>
            <w:tcW w:w="114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4"/>
                <w:szCs w:val="14"/>
                <w:color w:val="auto"/>
              </w:rPr>
              <w:t>2,899</w:t>
            </w:r>
          </w:p>
        </w:tc>
        <w:tc>
          <w:tcPr>
            <w:tcW w:w="120" w:type="dxa"/>
            <w:vAlign w:val="bottom"/>
          </w:tcPr>
          <w:p>
            <w:pPr>
              <w:spacing w:after="0"/>
              <w:rPr>
                <w:sz w:val="13"/>
                <w:szCs w:val="13"/>
                <w:color w:val="auto"/>
              </w:rPr>
            </w:pPr>
          </w:p>
        </w:tc>
        <w:tc>
          <w:tcPr>
            <w:tcW w:w="14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4"/>
                <w:szCs w:val="14"/>
                <w:color w:val="auto"/>
                <w:w w:val="76"/>
              </w:rPr>
              <w:t>$</w:t>
            </w:r>
          </w:p>
        </w:tc>
        <w:tc>
          <w:tcPr>
            <w:tcW w:w="164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4"/>
                <w:szCs w:val="14"/>
                <w:color w:val="auto"/>
              </w:rPr>
              <w:t>(1,175)</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62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Less: Comprehensive income (loss) attributable to noncontrolling interest</w:t>
            </w:r>
          </w:p>
        </w:tc>
        <w:tc>
          <w:tcPr>
            <w:tcW w:w="140" w:type="dxa"/>
            <w:vAlign w:val="bottom"/>
            <w:tcBorders>
              <w:bottom w:val="single" w:sz="8" w:color="CCEEFF"/>
            </w:tcBorders>
            <w:shd w:val="clear" w:color="auto" w:fill="CCEEFF"/>
          </w:tcPr>
          <w:p>
            <w:pPr>
              <w:spacing w:after="0"/>
              <w:rPr>
                <w:sz w:val="17"/>
                <w:szCs w:val="17"/>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1,019</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6200" w:type="dxa"/>
            <w:vAlign w:val="bottom"/>
          </w:tcPr>
          <w:p>
            <w:pPr>
              <w:ind w:left="20"/>
              <w:spacing w:after="0"/>
              <w:rPr>
                <w:sz w:val="20"/>
                <w:szCs w:val="20"/>
                <w:color w:val="auto"/>
              </w:rPr>
            </w:pPr>
            <w:r>
              <w:rPr>
                <w:rFonts w:ascii="Arial" w:cs="Arial" w:eastAsia="Arial" w:hAnsi="Arial"/>
                <w:sz w:val="14"/>
                <w:szCs w:val="14"/>
                <w:b w:val="1"/>
                <w:bCs w:val="1"/>
                <w:color w:val="auto"/>
              </w:rPr>
              <w:t>Comprehensive income (loss) attributable to Westwood Holdings Group, Inc.</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3,356</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2,895</w:t>
            </w:r>
          </w:p>
        </w:tc>
        <w:tc>
          <w:tcPr>
            <w:tcW w:w="12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(1,175)</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62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2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Earnings (loss) per Westwood Holdings Group, Inc. share:</w:t>
            </w:r>
          </w:p>
        </w:tc>
        <w:tc>
          <w:tcPr>
            <w:tcW w:w="14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6200" w:type="dxa"/>
            <w:vAlign w:val="bottom"/>
          </w:tcPr>
          <w:p>
            <w:pPr>
              <w:ind w:left="360"/>
              <w:spacing w:after="0"/>
              <w:rPr>
                <w:sz w:val="20"/>
                <w:szCs w:val="20"/>
                <w:color w:val="auto"/>
              </w:rPr>
            </w:pPr>
            <w:r>
              <w:rPr>
                <w:rFonts w:ascii="Arial" w:cs="Arial" w:eastAsia="Arial" w:hAnsi="Arial"/>
                <w:sz w:val="14"/>
                <w:szCs w:val="14"/>
                <w:color w:val="auto"/>
              </w:rPr>
              <w:t>Basic</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640" w:type="dxa"/>
            <w:vAlign w:val="bottom"/>
          </w:tcPr>
          <w:p>
            <w:pPr>
              <w:jc w:val="right"/>
              <w:spacing w:after="0"/>
              <w:rPr>
                <w:sz w:val="20"/>
                <w:szCs w:val="20"/>
                <w:color w:val="auto"/>
              </w:rPr>
            </w:pPr>
            <w:r>
              <w:rPr>
                <w:rFonts w:ascii="Arial" w:cs="Arial" w:eastAsia="Arial" w:hAnsi="Arial"/>
                <w:sz w:val="14"/>
                <w:szCs w:val="14"/>
                <w:color w:val="auto"/>
              </w:rPr>
              <w:t>0.42</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0.36</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640" w:type="dxa"/>
            <w:vAlign w:val="bottom"/>
          </w:tcPr>
          <w:p>
            <w:pPr>
              <w:jc w:val="right"/>
              <w:spacing w:after="0"/>
              <w:rPr>
                <w:sz w:val="20"/>
                <w:szCs w:val="20"/>
                <w:color w:val="auto"/>
              </w:rPr>
            </w:pPr>
            <w:r>
              <w:rPr>
                <w:rFonts w:ascii="Arial" w:cs="Arial" w:eastAsia="Arial" w:hAnsi="Arial"/>
                <w:sz w:val="14"/>
                <w:szCs w:val="14"/>
                <w:color w:val="auto"/>
              </w:rPr>
              <w:t>(0.15)</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Diluted</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0.41</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0.36</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(0.15)</w:t>
            </w:r>
          </w:p>
        </w:tc>
        <w:tc>
          <w:tcPr>
            <w:tcW w:w="0" w:type="dxa"/>
            <w:vAlign w:val="bottom"/>
          </w:tcPr>
          <w:p>
            <w:pPr>
              <w:spacing w:after="0"/>
              <w:rPr>
                <w:sz w:val="1"/>
                <w:szCs w:val="1"/>
                <w:color w:val="auto"/>
              </w:rPr>
            </w:pPr>
          </w:p>
        </w:tc>
      </w:tr>
      <w:tr>
        <w:trPr>
          <w:trHeight w:val="194"/>
        </w:trPr>
        <w:tc>
          <w:tcPr>
            <w:tcW w:w="6200" w:type="dxa"/>
            <w:vAlign w:val="bottom"/>
          </w:tcPr>
          <w:p>
            <w:pPr>
              <w:ind w:left="20"/>
              <w:spacing w:after="0"/>
              <w:rPr>
                <w:sz w:val="20"/>
                <w:szCs w:val="20"/>
                <w:color w:val="auto"/>
              </w:rPr>
            </w:pPr>
            <w:r>
              <w:rPr>
                <w:rFonts w:ascii="Arial" w:cs="Arial" w:eastAsia="Arial" w:hAnsi="Arial"/>
                <w:sz w:val="14"/>
                <w:szCs w:val="14"/>
                <w:b w:val="1"/>
                <w:bCs w:val="1"/>
                <w:color w:val="auto"/>
              </w:rPr>
              <w:t>Weighted average shares outstanding:</w:t>
            </w:r>
          </w:p>
        </w:tc>
        <w:tc>
          <w:tcPr>
            <w:tcW w:w="1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2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Basic</w:t>
            </w:r>
          </w:p>
        </w:tc>
        <w:tc>
          <w:tcPr>
            <w:tcW w:w="140" w:type="dxa"/>
            <w:vAlign w:val="bottom"/>
            <w:tcBorders>
              <w:bottom w:val="single" w:sz="8" w:color="CCEEFF"/>
            </w:tcBorders>
            <w:shd w:val="clear" w:color="auto" w:fill="CCEEFF"/>
          </w:tcPr>
          <w:p>
            <w:pPr>
              <w:spacing w:after="0"/>
              <w:rPr>
                <w:sz w:val="16"/>
                <w:szCs w:val="16"/>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8,002,537</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7,991,228</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7,794,060</w:t>
            </w:r>
          </w:p>
        </w:tc>
        <w:tc>
          <w:tcPr>
            <w:tcW w:w="0" w:type="dxa"/>
            <w:vAlign w:val="bottom"/>
          </w:tcPr>
          <w:p>
            <w:pPr>
              <w:spacing w:after="0"/>
              <w:rPr>
                <w:sz w:val="1"/>
                <w:szCs w:val="1"/>
                <w:color w:val="auto"/>
              </w:rPr>
            </w:pPr>
          </w:p>
        </w:tc>
      </w:tr>
      <w:tr>
        <w:trPr>
          <w:trHeight w:val="182"/>
        </w:trPr>
        <w:tc>
          <w:tcPr>
            <w:tcW w:w="6200" w:type="dxa"/>
            <w:vAlign w:val="bottom"/>
          </w:tcPr>
          <w:p>
            <w:pPr>
              <w:ind w:left="360"/>
              <w:spacing w:after="0"/>
              <w:rPr>
                <w:sz w:val="20"/>
                <w:szCs w:val="20"/>
                <w:color w:val="auto"/>
              </w:rPr>
            </w:pPr>
            <w:r>
              <w:rPr>
                <w:rFonts w:ascii="Arial" w:cs="Arial" w:eastAsia="Arial" w:hAnsi="Arial"/>
                <w:sz w:val="14"/>
                <w:szCs w:val="14"/>
                <w:color w:val="auto"/>
              </w:rPr>
              <w:t>Diluted</w:t>
            </w:r>
          </w:p>
        </w:tc>
        <w:tc>
          <w:tcPr>
            <w:tcW w:w="14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8,116,747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8,131,333</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7,794,060</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Economic Earnings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6,263</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5,686</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800</w:t>
            </w:r>
          </w:p>
        </w:tc>
        <w:tc>
          <w:tcPr>
            <w:tcW w:w="0" w:type="dxa"/>
            <w:vAlign w:val="bottom"/>
          </w:tcPr>
          <w:p>
            <w:pPr>
              <w:spacing w:after="0"/>
              <w:rPr>
                <w:sz w:val="1"/>
                <w:szCs w:val="1"/>
                <w:color w:val="auto"/>
              </w:rPr>
            </w:pPr>
          </w:p>
        </w:tc>
      </w:tr>
      <w:tr>
        <w:trPr>
          <w:trHeight w:val="182"/>
        </w:trPr>
        <w:tc>
          <w:tcPr>
            <w:tcW w:w="6200" w:type="dxa"/>
            <w:vAlign w:val="bottom"/>
          </w:tcPr>
          <w:p>
            <w:pPr>
              <w:ind w:left="20"/>
              <w:spacing w:after="0"/>
              <w:rPr>
                <w:sz w:val="20"/>
                <w:szCs w:val="20"/>
                <w:color w:val="auto"/>
              </w:rPr>
            </w:pPr>
            <w:r>
              <w:rPr>
                <w:rFonts w:ascii="Arial" w:cs="Arial" w:eastAsia="Arial" w:hAnsi="Arial"/>
                <w:sz w:val="14"/>
                <w:szCs w:val="14"/>
                <w:color w:val="auto"/>
              </w:rPr>
              <w:t>Economic EPS</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640" w:type="dxa"/>
            <w:vAlign w:val="bottom"/>
          </w:tcPr>
          <w:p>
            <w:pPr>
              <w:jc w:val="right"/>
              <w:spacing w:after="0"/>
              <w:rPr>
                <w:sz w:val="20"/>
                <w:szCs w:val="20"/>
                <w:color w:val="auto"/>
              </w:rPr>
            </w:pPr>
            <w:r>
              <w:rPr>
                <w:rFonts w:ascii="Arial" w:cs="Arial" w:eastAsia="Arial" w:hAnsi="Arial"/>
                <w:sz w:val="14"/>
                <w:szCs w:val="14"/>
                <w:color w:val="auto"/>
              </w:rPr>
              <w:t>0.77</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0.70</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640" w:type="dxa"/>
            <w:vAlign w:val="bottom"/>
          </w:tcPr>
          <w:p>
            <w:pPr>
              <w:jc w:val="right"/>
              <w:spacing w:after="0"/>
              <w:rPr>
                <w:sz w:val="20"/>
                <w:szCs w:val="20"/>
                <w:color w:val="auto"/>
              </w:rPr>
            </w:pPr>
            <w:r>
              <w:rPr>
                <w:rFonts w:ascii="Arial" w:cs="Arial" w:eastAsia="Arial" w:hAnsi="Arial"/>
                <w:sz w:val="14"/>
                <w:szCs w:val="14"/>
                <w:color w:val="auto"/>
              </w:rPr>
              <w:t>0.10</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Dividends declared per share</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0.15</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0.15</w:t>
            </w:r>
          </w:p>
        </w:tc>
        <w:tc>
          <w:tcPr>
            <w:tcW w:w="0" w:type="dxa"/>
            <w:vAlign w:val="bottom"/>
          </w:tcPr>
          <w:p>
            <w:pPr>
              <w:spacing w:after="0"/>
              <w:rPr>
                <w:sz w:val="1"/>
                <w:szCs w:val="1"/>
                <w:color w:val="auto"/>
              </w:rPr>
            </w:pPr>
          </w:p>
        </w:tc>
      </w:tr>
      <w:tr>
        <w:trPr>
          <w:trHeight w:val="20"/>
        </w:trPr>
        <w:tc>
          <w:tcPr>
            <w:tcW w:w="62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895" w:right="339" w:bottom="1440" w:gutter="0" w:footer="0" w:header="0"/>
        </w:sectPr>
      </w:pPr>
    </w:p>
    <w:bookmarkStart w:id="7" w:name="page8"/>
    <w:bookmarkEnd w:id="7"/>
    <w:p>
      <w:pPr>
        <w:spacing w:after="0"/>
        <w:rPr>
          <w:sz w:val="20"/>
          <w:szCs w:val="20"/>
          <w:color w:val="auto"/>
        </w:rPr>
      </w:pPr>
      <w:r>
        <w:rPr>
          <w:rFonts w:ascii="Arial" w:cs="Arial" w:eastAsia="Arial" w:hAnsi="Arial"/>
          <w:sz w:val="22"/>
          <w:szCs w:val="22"/>
          <w:b w:val="1"/>
          <w:bCs w:val="1"/>
          <w:color w:val="auto"/>
        </w:rPr>
        <w:t>WESTWOOD HOLDINGS GROUP, INC. AND SUBSIDIARIES</w:t>
      </w:r>
    </w:p>
    <w:p>
      <w:pPr>
        <w:spacing w:after="0" w:line="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CONDENSED CONSOLIDATED STATEMENTS OF COMPREHENSIVE INCOME (LOSS)</w:t>
      </w:r>
    </w:p>
    <w:p>
      <w:pPr>
        <w:spacing w:after="0"/>
        <w:rPr>
          <w:sz w:val="20"/>
          <w:szCs w:val="20"/>
          <w:color w:val="auto"/>
        </w:rPr>
      </w:pPr>
      <w:r>
        <w:rPr>
          <w:rFonts w:ascii="Arial" w:cs="Arial" w:eastAsia="Arial" w:hAnsi="Arial"/>
          <w:sz w:val="20"/>
          <w:szCs w:val="20"/>
          <w:b w:val="1"/>
          <w:bCs w:val="1"/>
          <w:color w:val="auto"/>
        </w:rPr>
        <w:t>(in thousands, except per share and share amounts)</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(unaudited)</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4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600" w:type="dxa"/>
            <w:vAlign w:val="bottom"/>
            <w:tcBorders>
              <w:bottom w:val="single" w:sz="8" w:color="auto"/>
            </w:tcBorders>
            <w:gridSpan w:val="4"/>
          </w:tcPr>
          <w:p>
            <w:pPr>
              <w:jc w:val="right"/>
              <w:ind w:right="1108"/>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0"/>
        </w:trPr>
        <w:tc>
          <w:tcPr>
            <w:tcW w:w="7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gridSpan w:val="2"/>
          </w:tcPr>
          <w:p>
            <w:pPr>
              <w:ind w:left="80"/>
              <w:spacing w:after="0"/>
              <w:rPr>
                <w:sz w:val="20"/>
                <w:szCs w:val="20"/>
                <w:color w:val="auto"/>
              </w:rPr>
            </w:pPr>
            <w:r>
              <w:rPr>
                <w:rFonts w:ascii="Arial" w:cs="Arial" w:eastAsia="Arial" w:hAnsi="Arial"/>
                <w:sz w:val="16"/>
                <w:szCs w:val="16"/>
                <w:b w:val="1"/>
                <w:bCs w:val="1"/>
                <w:color w:val="auto"/>
              </w:rPr>
              <w:t>September 30, 2023</w:t>
            </w:r>
          </w:p>
        </w:tc>
        <w:tc>
          <w:tcPr>
            <w:tcW w:w="160" w:type="dxa"/>
            <w:vAlign w:val="bottom"/>
          </w:tcPr>
          <w:p>
            <w:pPr>
              <w:spacing w:after="0"/>
              <w:rPr>
                <w:sz w:val="18"/>
                <w:szCs w:val="18"/>
                <w:color w:val="auto"/>
              </w:rPr>
            </w:pPr>
          </w:p>
        </w:tc>
        <w:tc>
          <w:tcPr>
            <w:tcW w:w="1660" w:type="dxa"/>
            <w:vAlign w:val="bottom"/>
          </w:tcPr>
          <w:p>
            <w:pPr>
              <w:jc w:val="right"/>
              <w:ind w:right="168"/>
              <w:spacing w:after="0"/>
              <w:rPr>
                <w:sz w:val="20"/>
                <w:szCs w:val="20"/>
                <w:color w:val="auto"/>
              </w:rPr>
            </w:pPr>
            <w:r>
              <w:rPr>
                <w:rFonts w:ascii="Arial" w:cs="Arial" w:eastAsia="Arial" w:hAnsi="Arial"/>
                <w:sz w:val="16"/>
                <w:szCs w:val="16"/>
                <w:b w:val="1"/>
                <w:bCs w:val="1"/>
                <w:color w:val="auto"/>
                <w:w w:val="93"/>
              </w:rPr>
              <w:t>September 30, 2022</w:t>
            </w:r>
          </w:p>
        </w:tc>
        <w:tc>
          <w:tcPr>
            <w:tcW w:w="0" w:type="dxa"/>
            <w:vAlign w:val="bottom"/>
          </w:tcPr>
          <w:p>
            <w:pPr>
              <w:spacing w:after="0"/>
              <w:rPr>
                <w:sz w:val="1"/>
                <w:szCs w:val="1"/>
                <w:color w:val="auto"/>
              </w:rPr>
            </w:pPr>
          </w:p>
        </w:tc>
      </w:tr>
      <w:tr>
        <w:trPr>
          <w:trHeight w:val="185"/>
        </w:trPr>
        <w:tc>
          <w:tcPr>
            <w:tcW w:w="7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160" w:type="dxa"/>
            <w:vAlign w:val="bottom"/>
            <w:tcBorders>
              <w:top w:val="single" w:sz="8" w:color="auto"/>
            </w:tcBorders>
            <w:shd w:val="clear" w:color="auto" w:fill="CCEEFF"/>
          </w:tcPr>
          <w:p>
            <w:pPr>
              <w:spacing w:after="0"/>
              <w:rPr>
                <w:sz w:val="16"/>
                <w:szCs w:val="16"/>
                <w:color w:val="auto"/>
              </w:rPr>
            </w:pPr>
          </w:p>
        </w:tc>
        <w:tc>
          <w:tcPr>
            <w:tcW w:w="16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6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7480" w:type="dxa"/>
            <w:vAlign w:val="bottom"/>
          </w:tcPr>
          <w:p>
            <w:pPr>
              <w:ind w:left="360"/>
              <w:spacing w:after="0"/>
              <w:rPr>
                <w:sz w:val="20"/>
                <w:szCs w:val="20"/>
                <w:color w:val="auto"/>
              </w:rPr>
            </w:pPr>
            <w:r>
              <w:rPr>
                <w:rFonts w:ascii="Arial" w:cs="Arial" w:eastAsia="Arial" w:hAnsi="Arial"/>
                <w:sz w:val="14"/>
                <w:szCs w:val="14"/>
                <w:color w:val="auto"/>
              </w:rPr>
              <w:t>Advisory fees:</w:t>
            </w:r>
          </w:p>
        </w:tc>
        <w:tc>
          <w:tcPr>
            <w:tcW w:w="1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4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4"/>
                <w:szCs w:val="14"/>
                <w:color w:val="auto"/>
              </w:rPr>
              <w:t>Asset-based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50,734</w:t>
            </w: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33,244</w:t>
            </w:r>
          </w:p>
        </w:tc>
        <w:tc>
          <w:tcPr>
            <w:tcW w:w="0" w:type="dxa"/>
            <w:vAlign w:val="bottom"/>
          </w:tcPr>
          <w:p>
            <w:pPr>
              <w:spacing w:after="0"/>
              <w:rPr>
                <w:sz w:val="1"/>
                <w:szCs w:val="1"/>
                <w:color w:val="auto"/>
              </w:rPr>
            </w:pPr>
          </w:p>
        </w:tc>
      </w:tr>
      <w:tr>
        <w:trPr>
          <w:trHeight w:val="182"/>
        </w:trPr>
        <w:tc>
          <w:tcPr>
            <w:tcW w:w="7480" w:type="dxa"/>
            <w:vAlign w:val="bottom"/>
          </w:tcPr>
          <w:p>
            <w:pPr>
              <w:ind w:left="680"/>
              <w:spacing w:after="0"/>
              <w:rPr>
                <w:sz w:val="20"/>
                <w:szCs w:val="20"/>
                <w:color w:val="auto"/>
              </w:rPr>
            </w:pPr>
            <w:r>
              <w:rPr>
                <w:rFonts w:ascii="Arial" w:cs="Arial" w:eastAsia="Arial" w:hAnsi="Arial"/>
                <w:sz w:val="14"/>
                <w:szCs w:val="14"/>
                <w:color w:val="auto"/>
              </w:rPr>
              <w:t>Performance-based</w:t>
            </w:r>
          </w:p>
        </w:tc>
        <w:tc>
          <w:tcPr>
            <w:tcW w:w="16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555</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4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Trust fees</w:t>
            </w:r>
          </w:p>
        </w:tc>
        <w:tc>
          <w:tcPr>
            <w:tcW w:w="160" w:type="dxa"/>
            <w:vAlign w:val="bottom"/>
            <w:tcBorders>
              <w:bottom w:val="single" w:sz="8" w:color="CCEEFF"/>
            </w:tcBorders>
            <w:shd w:val="clear" w:color="auto" w:fill="CCEEFF"/>
          </w:tcPr>
          <w:p>
            <w:pPr>
              <w:spacing w:after="0"/>
              <w:rPr>
                <w:sz w:val="15"/>
                <w:szCs w:val="15"/>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15,118</w:t>
            </w: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16,257</w:t>
            </w:r>
          </w:p>
        </w:tc>
        <w:tc>
          <w:tcPr>
            <w:tcW w:w="0" w:type="dxa"/>
            <w:vAlign w:val="bottom"/>
          </w:tcPr>
          <w:p>
            <w:pPr>
              <w:spacing w:after="0"/>
              <w:rPr>
                <w:sz w:val="1"/>
                <w:szCs w:val="1"/>
                <w:color w:val="auto"/>
              </w:rPr>
            </w:pPr>
          </w:p>
        </w:tc>
      </w:tr>
      <w:tr>
        <w:trPr>
          <w:trHeight w:val="182"/>
        </w:trPr>
        <w:tc>
          <w:tcPr>
            <w:tcW w:w="7480" w:type="dxa"/>
            <w:vAlign w:val="bottom"/>
          </w:tcPr>
          <w:p>
            <w:pPr>
              <w:ind w:left="360"/>
              <w:spacing w:after="0"/>
              <w:rPr>
                <w:sz w:val="20"/>
                <w:szCs w:val="20"/>
                <w:color w:val="auto"/>
              </w:rPr>
            </w:pPr>
            <w:r>
              <w:rPr>
                <w:rFonts w:ascii="Arial" w:cs="Arial" w:eastAsia="Arial" w:hAnsi="Arial"/>
                <w:sz w:val="14"/>
                <w:szCs w:val="14"/>
                <w:color w:val="auto"/>
              </w:rPr>
              <w:t>Other, net</w:t>
            </w:r>
          </w:p>
        </w:tc>
        <w:tc>
          <w:tcPr>
            <w:tcW w:w="16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145</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(1,276)</w:t>
            </w:r>
          </w:p>
        </w:tc>
        <w:tc>
          <w:tcPr>
            <w:tcW w:w="0" w:type="dxa"/>
            <w:vAlign w:val="bottom"/>
          </w:tcPr>
          <w:p>
            <w:pPr>
              <w:spacing w:after="0"/>
              <w:rPr>
                <w:sz w:val="1"/>
                <w:szCs w:val="1"/>
                <w:color w:val="auto"/>
              </w:rPr>
            </w:pPr>
          </w:p>
        </w:tc>
      </w:tr>
      <w:tr>
        <w:trPr>
          <w:trHeight w:val="20"/>
        </w:trPr>
        <w:tc>
          <w:tcPr>
            <w:tcW w:w="74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74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4"/>
                <w:szCs w:val="14"/>
                <w:color w:val="auto"/>
              </w:rPr>
              <w:t>Total revenues</w:t>
            </w:r>
          </w:p>
        </w:tc>
        <w:tc>
          <w:tcPr>
            <w:tcW w:w="160" w:type="dxa"/>
            <w:vAlign w:val="bottom"/>
            <w:tcBorders>
              <w:bottom w:val="single" w:sz="8" w:color="CCEEFF"/>
            </w:tcBorders>
            <w:shd w:val="clear" w:color="auto" w:fill="CCEEFF"/>
          </w:tcPr>
          <w:p>
            <w:pPr>
              <w:spacing w:after="0"/>
              <w:rPr>
                <w:sz w:val="15"/>
                <w:szCs w:val="15"/>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66,552</w:t>
            </w: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48,225</w:t>
            </w:r>
          </w:p>
        </w:tc>
        <w:tc>
          <w:tcPr>
            <w:tcW w:w="0" w:type="dxa"/>
            <w:vAlign w:val="bottom"/>
          </w:tcPr>
          <w:p>
            <w:pPr>
              <w:spacing w:after="0"/>
              <w:rPr>
                <w:sz w:val="1"/>
                <w:szCs w:val="1"/>
                <w:color w:val="auto"/>
              </w:rPr>
            </w:pPr>
          </w:p>
        </w:tc>
      </w:tr>
      <w:tr>
        <w:trPr>
          <w:trHeight w:val="194"/>
        </w:trPr>
        <w:tc>
          <w:tcPr>
            <w:tcW w:w="7480" w:type="dxa"/>
            <w:vAlign w:val="bottom"/>
          </w:tcPr>
          <w:p>
            <w:pPr>
              <w:ind w:left="20"/>
              <w:spacing w:after="0"/>
              <w:rPr>
                <w:sz w:val="20"/>
                <w:szCs w:val="20"/>
                <w:color w:val="auto"/>
              </w:rPr>
            </w:pPr>
            <w:r>
              <w:rPr>
                <w:rFonts w:ascii="Arial" w:cs="Arial" w:eastAsia="Arial" w:hAnsi="Arial"/>
                <w:sz w:val="14"/>
                <w:szCs w:val="14"/>
                <w:b w:val="1"/>
                <w:bCs w:val="1"/>
                <w:color w:val="auto"/>
              </w:rPr>
              <w:t>EXPENSES:</w:t>
            </w:r>
          </w:p>
        </w:tc>
        <w:tc>
          <w:tcPr>
            <w:tcW w:w="1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74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Employee compensation and benefits</w:t>
            </w:r>
          </w:p>
        </w:tc>
        <w:tc>
          <w:tcPr>
            <w:tcW w:w="160" w:type="dxa"/>
            <w:vAlign w:val="bottom"/>
            <w:tcBorders>
              <w:bottom w:val="single" w:sz="8" w:color="CCEEFF"/>
            </w:tcBorders>
            <w:shd w:val="clear" w:color="auto" w:fill="CCEEFF"/>
          </w:tcPr>
          <w:p>
            <w:pPr>
              <w:spacing w:after="0"/>
              <w:rPr>
                <w:sz w:val="16"/>
                <w:szCs w:val="16"/>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40,551</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28,993</w:t>
            </w:r>
          </w:p>
        </w:tc>
        <w:tc>
          <w:tcPr>
            <w:tcW w:w="0" w:type="dxa"/>
            <w:vAlign w:val="bottom"/>
          </w:tcPr>
          <w:p>
            <w:pPr>
              <w:spacing w:after="0"/>
              <w:rPr>
                <w:sz w:val="1"/>
                <w:szCs w:val="1"/>
                <w:color w:val="auto"/>
              </w:rPr>
            </w:pPr>
          </w:p>
        </w:tc>
      </w:tr>
      <w:tr>
        <w:trPr>
          <w:trHeight w:val="182"/>
        </w:trPr>
        <w:tc>
          <w:tcPr>
            <w:tcW w:w="7480" w:type="dxa"/>
            <w:vAlign w:val="bottom"/>
          </w:tcPr>
          <w:p>
            <w:pPr>
              <w:ind w:left="360"/>
              <w:spacing w:after="0"/>
              <w:rPr>
                <w:sz w:val="20"/>
                <w:szCs w:val="20"/>
                <w:color w:val="auto"/>
              </w:rPr>
            </w:pPr>
            <w:r>
              <w:rPr>
                <w:rFonts w:ascii="Arial" w:cs="Arial" w:eastAsia="Arial" w:hAnsi="Arial"/>
                <w:sz w:val="14"/>
                <w:szCs w:val="14"/>
                <w:color w:val="auto"/>
              </w:rPr>
              <w:t>Sales and marketing</w:t>
            </w:r>
          </w:p>
        </w:tc>
        <w:tc>
          <w:tcPr>
            <w:tcW w:w="16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2,180</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1,326</w:t>
            </w: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4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Westwood mutual funds</w:t>
            </w:r>
          </w:p>
        </w:tc>
        <w:tc>
          <w:tcPr>
            <w:tcW w:w="160" w:type="dxa"/>
            <w:vAlign w:val="bottom"/>
            <w:tcBorders>
              <w:bottom w:val="single" w:sz="8" w:color="CCEEFF"/>
            </w:tcBorders>
            <w:shd w:val="clear" w:color="auto" w:fill="CCEEFF"/>
          </w:tcPr>
          <w:p>
            <w:pPr>
              <w:spacing w:after="0"/>
              <w:rPr>
                <w:sz w:val="15"/>
                <w:szCs w:val="15"/>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2,350</w:t>
            </w: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1,311</w:t>
            </w:r>
          </w:p>
        </w:tc>
        <w:tc>
          <w:tcPr>
            <w:tcW w:w="0" w:type="dxa"/>
            <w:vAlign w:val="bottom"/>
          </w:tcPr>
          <w:p>
            <w:pPr>
              <w:spacing w:after="0"/>
              <w:rPr>
                <w:sz w:val="1"/>
                <w:szCs w:val="1"/>
                <w:color w:val="auto"/>
              </w:rPr>
            </w:pPr>
          </w:p>
        </w:tc>
      </w:tr>
      <w:tr>
        <w:trPr>
          <w:trHeight w:val="182"/>
        </w:trPr>
        <w:tc>
          <w:tcPr>
            <w:tcW w:w="7480" w:type="dxa"/>
            <w:vAlign w:val="bottom"/>
          </w:tcPr>
          <w:p>
            <w:pPr>
              <w:ind w:left="360"/>
              <w:spacing w:after="0"/>
              <w:rPr>
                <w:sz w:val="20"/>
                <w:szCs w:val="20"/>
                <w:color w:val="auto"/>
              </w:rPr>
            </w:pPr>
            <w:r>
              <w:rPr>
                <w:rFonts w:ascii="Arial" w:cs="Arial" w:eastAsia="Arial" w:hAnsi="Arial"/>
                <w:sz w:val="14"/>
                <w:szCs w:val="14"/>
                <w:color w:val="auto"/>
              </w:rPr>
              <w:t>Information technology</w:t>
            </w:r>
          </w:p>
        </w:tc>
        <w:tc>
          <w:tcPr>
            <w:tcW w:w="16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7,283</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5,615</w:t>
            </w: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4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Professional services</w:t>
            </w:r>
          </w:p>
        </w:tc>
        <w:tc>
          <w:tcPr>
            <w:tcW w:w="160" w:type="dxa"/>
            <w:vAlign w:val="bottom"/>
            <w:tcBorders>
              <w:bottom w:val="single" w:sz="8" w:color="CCEEFF"/>
            </w:tcBorders>
            <w:shd w:val="clear" w:color="auto" w:fill="CCEEFF"/>
          </w:tcPr>
          <w:p>
            <w:pPr>
              <w:spacing w:after="0"/>
              <w:rPr>
                <w:sz w:val="15"/>
                <w:szCs w:val="15"/>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3,893</w:t>
            </w: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3,888</w:t>
            </w:r>
          </w:p>
        </w:tc>
        <w:tc>
          <w:tcPr>
            <w:tcW w:w="0" w:type="dxa"/>
            <w:vAlign w:val="bottom"/>
          </w:tcPr>
          <w:p>
            <w:pPr>
              <w:spacing w:after="0"/>
              <w:rPr>
                <w:sz w:val="1"/>
                <w:szCs w:val="1"/>
                <w:color w:val="auto"/>
              </w:rPr>
            </w:pPr>
          </w:p>
        </w:tc>
      </w:tr>
      <w:tr>
        <w:trPr>
          <w:trHeight w:val="182"/>
        </w:trPr>
        <w:tc>
          <w:tcPr>
            <w:tcW w:w="7480" w:type="dxa"/>
            <w:vAlign w:val="bottom"/>
          </w:tcPr>
          <w:p>
            <w:pPr>
              <w:ind w:left="360"/>
              <w:spacing w:after="0"/>
              <w:rPr>
                <w:sz w:val="20"/>
                <w:szCs w:val="20"/>
                <w:color w:val="auto"/>
              </w:rPr>
            </w:pPr>
            <w:r>
              <w:rPr>
                <w:rFonts w:ascii="Arial" w:cs="Arial" w:eastAsia="Arial" w:hAnsi="Arial"/>
                <w:sz w:val="14"/>
                <w:szCs w:val="14"/>
                <w:color w:val="auto"/>
              </w:rPr>
              <w:t>General and administrative</w:t>
            </w:r>
          </w:p>
        </w:tc>
        <w:tc>
          <w:tcPr>
            <w:tcW w:w="16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9,579</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6,569</w:t>
            </w: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4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(Gain) loss from change in fair value of contingent consideration</w:t>
            </w:r>
          </w:p>
        </w:tc>
        <w:tc>
          <w:tcPr>
            <w:tcW w:w="160" w:type="dxa"/>
            <w:vAlign w:val="bottom"/>
            <w:tcBorders>
              <w:bottom w:val="single" w:sz="8" w:color="CCEEFF"/>
            </w:tcBorders>
            <w:shd w:val="clear" w:color="auto" w:fill="CCEEFF"/>
          </w:tcPr>
          <w:p>
            <w:pPr>
              <w:spacing w:after="0"/>
              <w:rPr>
                <w:sz w:val="15"/>
                <w:szCs w:val="15"/>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(2,655)</w:t>
            </w: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7480" w:type="dxa"/>
            <w:vAlign w:val="bottom"/>
          </w:tcPr>
          <w:p>
            <w:pPr>
              <w:ind w:left="360"/>
              <w:spacing w:after="0"/>
              <w:rPr>
                <w:sz w:val="20"/>
                <w:szCs w:val="20"/>
                <w:color w:val="auto"/>
              </w:rPr>
            </w:pPr>
            <w:r>
              <w:rPr>
                <w:rFonts w:ascii="Arial" w:cs="Arial" w:eastAsia="Arial" w:hAnsi="Arial"/>
                <w:sz w:val="14"/>
                <w:szCs w:val="14"/>
                <w:color w:val="auto"/>
              </w:rPr>
              <w:t>Acquisition expenses</w:t>
            </w:r>
          </w:p>
        </w:tc>
        <w:tc>
          <w:tcPr>
            <w:tcW w:w="16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209</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1,588</w:t>
            </w:r>
          </w:p>
        </w:tc>
        <w:tc>
          <w:tcPr>
            <w:tcW w:w="0" w:type="dxa"/>
            <w:vAlign w:val="bottom"/>
          </w:tcPr>
          <w:p>
            <w:pPr>
              <w:spacing w:after="0"/>
              <w:rPr>
                <w:sz w:val="1"/>
                <w:szCs w:val="1"/>
                <w:color w:val="auto"/>
              </w:rPr>
            </w:pPr>
          </w:p>
        </w:tc>
      </w:tr>
      <w:tr>
        <w:trPr>
          <w:trHeight w:val="20"/>
        </w:trPr>
        <w:tc>
          <w:tcPr>
            <w:tcW w:w="74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74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4"/>
                <w:szCs w:val="14"/>
                <w:color w:val="auto"/>
              </w:rPr>
              <w:t>Total expenses</w:t>
            </w:r>
          </w:p>
        </w:tc>
        <w:tc>
          <w:tcPr>
            <w:tcW w:w="160" w:type="dxa"/>
            <w:vAlign w:val="bottom"/>
            <w:tcBorders>
              <w:bottom w:val="single" w:sz="8" w:color="CCEEFF"/>
            </w:tcBorders>
            <w:shd w:val="clear" w:color="auto" w:fill="CCEEFF"/>
          </w:tcPr>
          <w:p>
            <w:pPr>
              <w:spacing w:after="0"/>
              <w:rPr>
                <w:sz w:val="17"/>
                <w:szCs w:val="17"/>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63,390</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49,290</w:t>
            </w:r>
          </w:p>
        </w:tc>
        <w:tc>
          <w:tcPr>
            <w:tcW w:w="0" w:type="dxa"/>
            <w:vAlign w:val="bottom"/>
          </w:tcPr>
          <w:p>
            <w:pPr>
              <w:spacing w:after="0"/>
              <w:rPr>
                <w:sz w:val="1"/>
                <w:szCs w:val="1"/>
                <w:color w:val="auto"/>
              </w:rPr>
            </w:pPr>
          </w:p>
        </w:tc>
      </w:tr>
      <w:tr>
        <w:trPr>
          <w:trHeight w:val="176"/>
        </w:trPr>
        <w:tc>
          <w:tcPr>
            <w:tcW w:w="7480" w:type="dxa"/>
            <w:vAlign w:val="bottom"/>
          </w:tcPr>
          <w:p>
            <w:pPr>
              <w:ind w:left="20"/>
              <w:spacing w:after="0"/>
              <w:rPr>
                <w:sz w:val="20"/>
                <w:szCs w:val="20"/>
                <w:color w:val="auto"/>
              </w:rPr>
            </w:pPr>
            <w:r>
              <w:rPr>
                <w:rFonts w:ascii="Arial" w:cs="Arial" w:eastAsia="Arial" w:hAnsi="Arial"/>
                <w:sz w:val="14"/>
                <w:szCs w:val="14"/>
                <w:b w:val="1"/>
                <w:bCs w:val="1"/>
                <w:color w:val="auto"/>
              </w:rPr>
              <w:t>Net operating income</w:t>
            </w:r>
          </w:p>
        </w:tc>
        <w:tc>
          <w:tcPr>
            <w:tcW w:w="160" w:type="dxa"/>
            <w:vAlign w:val="bottom"/>
            <w:tcBorders>
              <w:top w:val="single" w:sz="8" w:color="auto"/>
            </w:tcBorders>
          </w:tcPr>
          <w:p>
            <w:pPr>
              <w:spacing w:after="0"/>
              <w:rPr>
                <w:sz w:val="15"/>
                <w:szCs w:val="15"/>
                <w:color w:val="auto"/>
              </w:rPr>
            </w:pP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3,162</w:t>
            </w: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(1,065)</w:t>
            </w:r>
          </w:p>
        </w:tc>
        <w:tc>
          <w:tcPr>
            <w:tcW w:w="0" w:type="dxa"/>
            <w:vAlign w:val="bottom"/>
          </w:tcPr>
          <w:p>
            <w:pPr>
              <w:spacing w:after="0"/>
              <w:rPr>
                <w:sz w:val="1"/>
                <w:szCs w:val="1"/>
                <w:color w:val="auto"/>
              </w:rPr>
            </w:pPr>
          </w:p>
        </w:tc>
      </w:tr>
      <w:tr>
        <w:trPr>
          <w:trHeight w:val="20"/>
        </w:trPr>
        <w:tc>
          <w:tcPr>
            <w:tcW w:w="74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74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Net change in unrealized appreciation (depreciation) on private investments</w:t>
            </w:r>
          </w:p>
        </w:tc>
        <w:tc>
          <w:tcPr>
            <w:tcW w:w="160" w:type="dxa"/>
            <w:vAlign w:val="bottom"/>
            <w:tcBorders>
              <w:bottom w:val="single" w:sz="8" w:color="CCEEFF"/>
            </w:tcBorders>
            <w:shd w:val="clear" w:color="auto" w:fill="CCEEFF"/>
          </w:tcPr>
          <w:p>
            <w:pPr>
              <w:spacing w:after="0"/>
              <w:rPr>
                <w:sz w:val="15"/>
                <w:szCs w:val="15"/>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(511)</w:t>
            </w:r>
          </w:p>
        </w:tc>
        <w:tc>
          <w:tcPr>
            <w:tcW w:w="0" w:type="dxa"/>
            <w:vAlign w:val="bottom"/>
          </w:tcPr>
          <w:p>
            <w:pPr>
              <w:spacing w:after="0"/>
              <w:rPr>
                <w:sz w:val="1"/>
                <w:szCs w:val="1"/>
                <w:color w:val="auto"/>
              </w:rPr>
            </w:pPr>
          </w:p>
        </w:tc>
      </w:tr>
      <w:tr>
        <w:trPr>
          <w:trHeight w:val="182"/>
        </w:trPr>
        <w:tc>
          <w:tcPr>
            <w:tcW w:w="7480" w:type="dxa"/>
            <w:vAlign w:val="bottom"/>
          </w:tcPr>
          <w:p>
            <w:pPr>
              <w:ind w:left="360"/>
              <w:spacing w:after="0"/>
              <w:rPr>
                <w:sz w:val="20"/>
                <w:szCs w:val="20"/>
                <w:color w:val="auto"/>
              </w:rPr>
            </w:pPr>
            <w:r>
              <w:rPr>
                <w:rFonts w:ascii="Arial" w:cs="Arial" w:eastAsia="Arial" w:hAnsi="Arial"/>
                <w:sz w:val="14"/>
                <w:szCs w:val="14"/>
                <w:color w:val="auto"/>
              </w:rPr>
              <w:t>Net investment income</w:t>
            </w:r>
          </w:p>
        </w:tc>
        <w:tc>
          <w:tcPr>
            <w:tcW w:w="16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630</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93</w:t>
            </w: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4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Other income</w:t>
            </w:r>
          </w:p>
        </w:tc>
        <w:tc>
          <w:tcPr>
            <w:tcW w:w="160" w:type="dxa"/>
            <w:vAlign w:val="bottom"/>
            <w:tcBorders>
              <w:bottom w:val="single" w:sz="8" w:color="CCEEFF"/>
            </w:tcBorders>
            <w:shd w:val="clear" w:color="auto" w:fill="CCEEFF"/>
          </w:tcPr>
          <w:p>
            <w:pPr>
              <w:spacing w:after="0"/>
              <w:rPr>
                <w:sz w:val="17"/>
                <w:szCs w:val="17"/>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5,876</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598</w:t>
            </w:r>
          </w:p>
        </w:tc>
        <w:tc>
          <w:tcPr>
            <w:tcW w:w="0" w:type="dxa"/>
            <w:vAlign w:val="bottom"/>
          </w:tcPr>
          <w:p>
            <w:pPr>
              <w:spacing w:after="0"/>
              <w:rPr>
                <w:sz w:val="1"/>
                <w:szCs w:val="1"/>
                <w:color w:val="auto"/>
              </w:rPr>
            </w:pPr>
          </w:p>
        </w:tc>
      </w:tr>
      <w:tr>
        <w:trPr>
          <w:trHeight w:val="176"/>
        </w:trPr>
        <w:tc>
          <w:tcPr>
            <w:tcW w:w="7480" w:type="dxa"/>
            <w:vAlign w:val="bottom"/>
          </w:tcPr>
          <w:p>
            <w:pPr>
              <w:ind w:left="20"/>
              <w:spacing w:after="0"/>
              <w:rPr>
                <w:sz w:val="20"/>
                <w:szCs w:val="20"/>
                <w:color w:val="auto"/>
              </w:rPr>
            </w:pPr>
            <w:r>
              <w:rPr>
                <w:rFonts w:ascii="Arial" w:cs="Arial" w:eastAsia="Arial" w:hAnsi="Arial"/>
                <w:sz w:val="14"/>
                <w:szCs w:val="14"/>
                <w:b w:val="1"/>
                <w:bCs w:val="1"/>
                <w:color w:val="auto"/>
              </w:rPr>
              <w:t>Income before income taxes</w:t>
            </w:r>
          </w:p>
        </w:tc>
        <w:tc>
          <w:tcPr>
            <w:tcW w:w="160" w:type="dxa"/>
            <w:vAlign w:val="bottom"/>
            <w:tcBorders>
              <w:top w:val="single" w:sz="8" w:color="auto"/>
            </w:tcBorders>
          </w:tcPr>
          <w:p>
            <w:pPr>
              <w:spacing w:after="0"/>
              <w:rPr>
                <w:sz w:val="15"/>
                <w:szCs w:val="15"/>
                <w:color w:val="auto"/>
              </w:rPr>
            </w:pP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9,692</w:t>
            </w: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(885)</w:t>
            </w:r>
          </w:p>
        </w:tc>
        <w:tc>
          <w:tcPr>
            <w:tcW w:w="0" w:type="dxa"/>
            <w:vAlign w:val="bottom"/>
          </w:tcPr>
          <w:p>
            <w:pPr>
              <w:spacing w:after="0"/>
              <w:rPr>
                <w:sz w:val="1"/>
                <w:szCs w:val="1"/>
                <w:color w:val="auto"/>
              </w:rPr>
            </w:pPr>
          </w:p>
        </w:tc>
      </w:tr>
      <w:tr>
        <w:trPr>
          <w:trHeight w:val="20"/>
        </w:trPr>
        <w:tc>
          <w:tcPr>
            <w:tcW w:w="74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74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Income tax provision</w:t>
            </w:r>
          </w:p>
        </w:tc>
        <w:tc>
          <w:tcPr>
            <w:tcW w:w="160" w:type="dxa"/>
            <w:vAlign w:val="bottom"/>
            <w:tcBorders>
              <w:bottom w:val="single" w:sz="8" w:color="CCEEFF"/>
            </w:tcBorders>
            <w:shd w:val="clear" w:color="auto" w:fill="CCEEFF"/>
          </w:tcPr>
          <w:p>
            <w:pPr>
              <w:spacing w:after="0"/>
              <w:rPr>
                <w:sz w:val="17"/>
                <w:szCs w:val="17"/>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1,704</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618</w:t>
            </w:r>
          </w:p>
        </w:tc>
        <w:tc>
          <w:tcPr>
            <w:tcW w:w="0" w:type="dxa"/>
            <w:vAlign w:val="bottom"/>
          </w:tcPr>
          <w:p>
            <w:pPr>
              <w:spacing w:after="0"/>
              <w:rPr>
                <w:sz w:val="1"/>
                <w:szCs w:val="1"/>
                <w:color w:val="auto"/>
              </w:rPr>
            </w:pPr>
          </w:p>
        </w:tc>
      </w:tr>
      <w:tr>
        <w:trPr>
          <w:trHeight w:val="169"/>
        </w:trPr>
        <w:tc>
          <w:tcPr>
            <w:tcW w:w="7480" w:type="dxa"/>
            <w:vAlign w:val="bottom"/>
          </w:tcPr>
          <w:p>
            <w:pPr>
              <w:ind w:left="20"/>
              <w:spacing w:after="0"/>
              <w:rPr>
                <w:sz w:val="20"/>
                <w:szCs w:val="20"/>
                <w:color w:val="auto"/>
              </w:rPr>
            </w:pPr>
            <w:r>
              <w:rPr>
                <w:rFonts w:ascii="Arial" w:cs="Arial" w:eastAsia="Arial" w:hAnsi="Arial"/>
                <w:sz w:val="14"/>
                <w:szCs w:val="14"/>
                <w:b w:val="1"/>
                <w:bCs w:val="1"/>
                <w:color w:val="auto"/>
              </w:rPr>
              <w:t>Net income (loss)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7,988</w:t>
            </w:r>
          </w:p>
        </w:tc>
        <w:tc>
          <w:tcPr>
            <w:tcW w:w="12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(1,503)</w:t>
            </w:r>
          </w:p>
        </w:tc>
        <w:tc>
          <w:tcPr>
            <w:tcW w:w="0" w:type="dxa"/>
            <w:vAlign w:val="bottom"/>
          </w:tcPr>
          <w:p>
            <w:pPr>
              <w:spacing w:after="0"/>
              <w:rPr>
                <w:sz w:val="1"/>
                <w:szCs w:val="1"/>
                <w:color w:val="auto"/>
              </w:rPr>
            </w:pPr>
          </w:p>
        </w:tc>
      </w:tr>
      <w:tr>
        <w:trPr>
          <w:trHeight w:val="20"/>
        </w:trPr>
        <w:tc>
          <w:tcPr>
            <w:tcW w:w="74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comprehensive income (loss)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7,988</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(1,503)</w:t>
            </w:r>
          </w:p>
        </w:tc>
        <w:tc>
          <w:tcPr>
            <w:tcW w:w="0" w:type="dxa"/>
            <w:vAlign w:val="bottom"/>
          </w:tcPr>
          <w:p>
            <w:pPr>
              <w:spacing w:after="0"/>
              <w:rPr>
                <w:sz w:val="1"/>
                <w:szCs w:val="1"/>
                <w:color w:val="auto"/>
              </w:rPr>
            </w:pPr>
          </w:p>
        </w:tc>
      </w:tr>
      <w:tr>
        <w:trPr>
          <w:trHeight w:val="20"/>
        </w:trPr>
        <w:tc>
          <w:tcPr>
            <w:tcW w:w="74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Less: Comprehensive income (loss) attributable to noncontrolling interest</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48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660" w:type="dxa"/>
            <w:vAlign w:val="bottom"/>
          </w:tcPr>
          <w:p>
            <w:pPr>
              <w:jc w:val="right"/>
              <w:spacing w:after="0" w:line="156" w:lineRule="exact"/>
              <w:rPr>
                <w:sz w:val="20"/>
                <w:szCs w:val="20"/>
                <w:color w:val="auto"/>
              </w:rPr>
            </w:pPr>
            <w:r>
              <w:rPr>
                <w:rFonts w:ascii="Arial" w:cs="Arial" w:eastAsia="Arial" w:hAnsi="Arial"/>
                <w:sz w:val="14"/>
                <w:szCs w:val="14"/>
                <w:color w:val="auto"/>
              </w:rPr>
              <w:t>1,044</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60" w:type="dxa"/>
            <w:vAlign w:val="bottom"/>
          </w:tcPr>
          <w:p>
            <w:pPr>
              <w:jc w:val="right"/>
              <w:spacing w:after="0" w:line="156"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74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1"/>
        </w:trPr>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Comprehensive income (loss) attributable to Westwood Holdings Group, Inc.</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6,944</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(1,503)</w:t>
            </w:r>
          </w:p>
        </w:tc>
        <w:tc>
          <w:tcPr>
            <w:tcW w:w="0" w:type="dxa"/>
            <w:vAlign w:val="bottom"/>
          </w:tcPr>
          <w:p>
            <w:pPr>
              <w:spacing w:after="0"/>
              <w:rPr>
                <w:sz w:val="1"/>
                <w:szCs w:val="1"/>
                <w:color w:val="auto"/>
              </w:rPr>
            </w:pPr>
          </w:p>
        </w:tc>
      </w:tr>
      <w:tr>
        <w:trPr>
          <w:trHeight w:val="20"/>
        </w:trPr>
        <w:tc>
          <w:tcPr>
            <w:tcW w:w="74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Earnings (loss) per share:</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74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74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Basic</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0.87</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(0.19)</w:t>
            </w:r>
          </w:p>
        </w:tc>
        <w:tc>
          <w:tcPr>
            <w:tcW w:w="0" w:type="dxa"/>
            <w:vAlign w:val="bottom"/>
          </w:tcPr>
          <w:p>
            <w:pPr>
              <w:spacing w:after="0"/>
              <w:rPr>
                <w:sz w:val="1"/>
                <w:szCs w:val="1"/>
                <w:color w:val="auto"/>
              </w:rPr>
            </w:pPr>
          </w:p>
        </w:tc>
      </w:tr>
      <w:tr>
        <w:trPr>
          <w:trHeight w:val="182"/>
        </w:trPr>
        <w:tc>
          <w:tcPr>
            <w:tcW w:w="7480" w:type="dxa"/>
            <w:vAlign w:val="bottom"/>
          </w:tcPr>
          <w:p>
            <w:pPr>
              <w:ind w:left="360"/>
              <w:spacing w:after="0"/>
              <w:rPr>
                <w:sz w:val="20"/>
                <w:szCs w:val="20"/>
                <w:color w:val="auto"/>
              </w:rPr>
            </w:pPr>
            <w:r>
              <w:rPr>
                <w:rFonts w:ascii="Arial" w:cs="Arial" w:eastAsia="Arial" w:hAnsi="Arial"/>
                <w:sz w:val="14"/>
                <w:szCs w:val="14"/>
                <w:color w:val="auto"/>
              </w:rPr>
              <w:t>Diluted</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660" w:type="dxa"/>
            <w:vAlign w:val="bottom"/>
          </w:tcPr>
          <w:p>
            <w:pPr>
              <w:jc w:val="right"/>
              <w:spacing w:after="0"/>
              <w:rPr>
                <w:sz w:val="20"/>
                <w:szCs w:val="20"/>
                <w:color w:val="auto"/>
              </w:rPr>
            </w:pPr>
            <w:r>
              <w:rPr>
                <w:rFonts w:ascii="Arial" w:cs="Arial" w:eastAsia="Arial" w:hAnsi="Arial"/>
                <w:sz w:val="14"/>
                <w:szCs w:val="14"/>
                <w:color w:val="auto"/>
              </w:rPr>
              <w:t>0.86</w:t>
            </w:r>
          </w:p>
        </w:tc>
        <w:tc>
          <w:tcPr>
            <w:tcW w:w="120" w:type="dxa"/>
            <w:vAlign w:val="bottom"/>
          </w:tcPr>
          <w:p>
            <w:pPr>
              <w:spacing w:after="0"/>
              <w:rPr>
                <w:sz w:val="15"/>
                <w:szCs w:val="15"/>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660" w:type="dxa"/>
            <w:vAlign w:val="bottom"/>
          </w:tcPr>
          <w:p>
            <w:pPr>
              <w:jc w:val="right"/>
              <w:spacing w:after="0"/>
              <w:rPr>
                <w:sz w:val="20"/>
                <w:szCs w:val="20"/>
                <w:color w:val="auto"/>
              </w:rPr>
            </w:pPr>
            <w:r>
              <w:rPr>
                <w:rFonts w:ascii="Arial" w:cs="Arial" w:eastAsia="Arial" w:hAnsi="Arial"/>
                <w:sz w:val="14"/>
                <w:szCs w:val="14"/>
                <w:color w:val="auto"/>
              </w:rPr>
              <w:t>(0.19)</w:t>
            </w: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4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Weighted average shares outstanding:</w:t>
            </w:r>
          </w:p>
        </w:tc>
        <w:tc>
          <w:tcPr>
            <w:tcW w:w="16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7480" w:type="dxa"/>
            <w:vAlign w:val="bottom"/>
          </w:tcPr>
          <w:p>
            <w:pPr>
              <w:ind w:left="360"/>
              <w:spacing w:after="0"/>
              <w:rPr>
                <w:sz w:val="20"/>
                <w:szCs w:val="20"/>
                <w:color w:val="auto"/>
              </w:rPr>
            </w:pPr>
            <w:r>
              <w:rPr>
                <w:rFonts w:ascii="Arial" w:cs="Arial" w:eastAsia="Arial" w:hAnsi="Arial"/>
                <w:sz w:val="14"/>
                <w:szCs w:val="14"/>
                <w:color w:val="auto"/>
              </w:rPr>
              <w:t>Basic</w:t>
            </w:r>
          </w:p>
        </w:tc>
        <w:tc>
          <w:tcPr>
            <w:tcW w:w="16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7,949,773</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7,867,555</w:t>
            </w: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4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Diluted</w:t>
            </w:r>
          </w:p>
        </w:tc>
        <w:tc>
          <w:tcPr>
            <w:tcW w:w="160" w:type="dxa"/>
            <w:vAlign w:val="bottom"/>
            <w:tcBorders>
              <w:bottom w:val="single" w:sz="8" w:color="CCEEFF"/>
            </w:tcBorders>
            <w:shd w:val="clear" w:color="auto" w:fill="CCEEFF"/>
          </w:tcPr>
          <w:p>
            <w:pPr>
              <w:spacing w:after="0"/>
              <w:rPr>
                <w:sz w:val="15"/>
                <w:szCs w:val="15"/>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8,072,739</w:t>
            </w: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7,867,555</w:t>
            </w:r>
          </w:p>
        </w:tc>
        <w:tc>
          <w:tcPr>
            <w:tcW w:w="0" w:type="dxa"/>
            <w:vAlign w:val="bottom"/>
          </w:tcPr>
          <w:p>
            <w:pPr>
              <w:spacing w:after="0"/>
              <w:rPr>
                <w:sz w:val="1"/>
                <w:szCs w:val="1"/>
                <w:color w:val="auto"/>
              </w:rPr>
            </w:pPr>
          </w:p>
        </w:tc>
      </w:tr>
      <w:tr>
        <w:trPr>
          <w:trHeight w:val="182"/>
        </w:trPr>
        <w:tc>
          <w:tcPr>
            <w:tcW w:w="7480" w:type="dxa"/>
            <w:vAlign w:val="bottom"/>
          </w:tcPr>
          <w:p>
            <w:pPr>
              <w:ind w:left="20"/>
              <w:spacing w:after="0"/>
              <w:rPr>
                <w:sz w:val="20"/>
                <w:szCs w:val="20"/>
                <w:color w:val="auto"/>
              </w:rPr>
            </w:pPr>
            <w:r>
              <w:rPr>
                <w:rFonts w:ascii="Arial" w:cs="Arial" w:eastAsia="Arial" w:hAnsi="Arial"/>
                <w:sz w:val="14"/>
                <w:szCs w:val="14"/>
                <w:color w:val="auto"/>
              </w:rPr>
              <w:t>Economic Earnings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660" w:type="dxa"/>
            <w:vAlign w:val="bottom"/>
          </w:tcPr>
          <w:p>
            <w:pPr>
              <w:jc w:val="right"/>
              <w:spacing w:after="0"/>
              <w:rPr>
                <w:sz w:val="20"/>
                <w:szCs w:val="20"/>
                <w:color w:val="auto"/>
              </w:rPr>
            </w:pPr>
            <w:r>
              <w:rPr>
                <w:rFonts w:ascii="Arial" w:cs="Arial" w:eastAsia="Arial" w:hAnsi="Arial"/>
                <w:sz w:val="14"/>
                <w:szCs w:val="14"/>
                <w:color w:val="auto"/>
              </w:rPr>
              <w:t>15,536</w:t>
            </w:r>
          </w:p>
        </w:tc>
        <w:tc>
          <w:tcPr>
            <w:tcW w:w="120" w:type="dxa"/>
            <w:vAlign w:val="bottom"/>
          </w:tcPr>
          <w:p>
            <w:pPr>
              <w:spacing w:after="0"/>
              <w:rPr>
                <w:sz w:val="15"/>
                <w:szCs w:val="15"/>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660" w:type="dxa"/>
            <w:vAlign w:val="bottom"/>
          </w:tcPr>
          <w:p>
            <w:pPr>
              <w:jc w:val="right"/>
              <w:spacing w:after="0"/>
              <w:rPr>
                <w:sz w:val="20"/>
                <w:szCs w:val="20"/>
                <w:color w:val="auto"/>
              </w:rPr>
            </w:pPr>
            <w:r>
              <w:rPr>
                <w:rFonts w:ascii="Arial" w:cs="Arial" w:eastAsia="Arial" w:hAnsi="Arial"/>
                <w:sz w:val="14"/>
                <w:szCs w:val="14"/>
                <w:color w:val="auto"/>
              </w:rPr>
              <w:t>4,302</w:t>
            </w: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Economic EPS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1.92</w:t>
            </w: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0.55</w:t>
            </w:r>
          </w:p>
        </w:tc>
        <w:tc>
          <w:tcPr>
            <w:tcW w:w="0" w:type="dxa"/>
            <w:vAlign w:val="bottom"/>
          </w:tcPr>
          <w:p>
            <w:pPr>
              <w:spacing w:after="0"/>
              <w:rPr>
                <w:sz w:val="1"/>
                <w:szCs w:val="1"/>
                <w:color w:val="auto"/>
              </w:rPr>
            </w:pPr>
          </w:p>
        </w:tc>
      </w:tr>
      <w:tr>
        <w:trPr>
          <w:trHeight w:val="182"/>
        </w:trPr>
        <w:tc>
          <w:tcPr>
            <w:tcW w:w="7480" w:type="dxa"/>
            <w:vAlign w:val="bottom"/>
          </w:tcPr>
          <w:p>
            <w:pPr>
              <w:ind w:left="20"/>
              <w:spacing w:after="0"/>
              <w:rPr>
                <w:sz w:val="20"/>
                <w:szCs w:val="20"/>
                <w:color w:val="auto"/>
              </w:rPr>
            </w:pPr>
            <w:r>
              <w:rPr>
                <w:rFonts w:ascii="Arial" w:cs="Arial" w:eastAsia="Arial" w:hAnsi="Arial"/>
                <w:sz w:val="14"/>
                <w:szCs w:val="14"/>
                <w:color w:val="auto"/>
              </w:rPr>
              <w:t>Dividends declared per share</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660" w:type="dxa"/>
            <w:vAlign w:val="bottom"/>
          </w:tcPr>
          <w:p>
            <w:pPr>
              <w:jc w:val="right"/>
              <w:spacing w:after="0"/>
              <w:rPr>
                <w:sz w:val="20"/>
                <w:szCs w:val="20"/>
                <w:color w:val="auto"/>
              </w:rPr>
            </w:pPr>
            <w:r>
              <w:rPr>
                <w:rFonts w:ascii="Arial" w:cs="Arial" w:eastAsia="Arial" w:hAnsi="Arial"/>
                <w:sz w:val="14"/>
                <w:szCs w:val="14"/>
                <w:color w:val="auto"/>
              </w:rPr>
              <w:t>0.45</w:t>
            </w:r>
          </w:p>
        </w:tc>
        <w:tc>
          <w:tcPr>
            <w:tcW w:w="120" w:type="dxa"/>
            <w:vAlign w:val="bottom"/>
          </w:tcPr>
          <w:p>
            <w:pPr>
              <w:spacing w:after="0"/>
              <w:rPr>
                <w:sz w:val="15"/>
                <w:szCs w:val="15"/>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660" w:type="dxa"/>
            <w:vAlign w:val="bottom"/>
          </w:tcPr>
          <w:p>
            <w:pPr>
              <w:jc w:val="right"/>
              <w:spacing w:after="0"/>
              <w:rPr>
                <w:sz w:val="20"/>
                <w:szCs w:val="20"/>
                <w:color w:val="auto"/>
              </w:rPr>
            </w:pPr>
            <w:r>
              <w:rPr>
                <w:rFonts w:ascii="Arial" w:cs="Arial" w:eastAsia="Arial" w:hAnsi="Arial"/>
                <w:sz w:val="14"/>
                <w:szCs w:val="14"/>
                <w:color w:val="auto"/>
              </w:rPr>
              <w:t>0.45</w:t>
            </w:r>
          </w:p>
        </w:tc>
        <w:tc>
          <w:tcPr>
            <w:tcW w:w="0" w:type="dxa"/>
            <w:vAlign w:val="bottom"/>
          </w:tcPr>
          <w:p>
            <w:pPr>
              <w:spacing w:after="0"/>
              <w:rPr>
                <w:sz w:val="1"/>
                <w:szCs w:val="1"/>
                <w:color w:val="auto"/>
              </w:rPr>
            </w:pPr>
          </w:p>
        </w:tc>
      </w:tr>
    </w:tbl>
    <w:p>
      <w:pPr>
        <w:sectPr>
          <w:pgSz w:w="11900" w:h="16838" w:orient="portrait"/>
          <w:cols w:equalWidth="0" w:num="1">
            <w:col w:w="11240"/>
          </w:cols>
          <w:pgMar w:left="320" w:top="1138" w:right="339" w:bottom="1440" w:gutter="0" w:footer="0" w:header="0"/>
        </w:sectPr>
      </w:pPr>
    </w:p>
    <w:bookmarkStart w:id="8" w:name="page9"/>
    <w:bookmarkEnd w:id="8"/>
    <w:p>
      <w:pPr>
        <w:ind w:right="5200"/>
        <w:spacing w:after="0" w:line="261" w:lineRule="auto"/>
        <w:rPr>
          <w:sz w:val="20"/>
          <w:szCs w:val="20"/>
          <w:color w:val="auto"/>
        </w:rPr>
      </w:pPr>
      <w:r>
        <w:rPr>
          <w:rFonts w:ascii="Arial" w:cs="Arial" w:eastAsia="Arial" w:hAnsi="Arial"/>
          <w:sz w:val="21"/>
          <w:szCs w:val="21"/>
          <w:b w:val="1"/>
          <w:bCs w:val="1"/>
          <w:color w:val="auto"/>
        </w:rPr>
        <w:t>WESTWOOD HOLDINGS GROUP, INC. AND SUBSIDIARIES CONDENSED CONSOLIDATED BALANCE SHEETS</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 thousands, except par value and share amounts)</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(unaudited)</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30, 2023</w:t>
            </w:r>
          </w:p>
        </w:tc>
        <w:tc>
          <w:tcPr>
            <w:tcW w:w="180" w:type="dxa"/>
            <w:vAlign w:val="bottom"/>
          </w:tcPr>
          <w:p>
            <w:pPr>
              <w:spacing w:after="0"/>
              <w:rPr>
                <w:sz w:val="18"/>
                <w:szCs w:val="18"/>
                <w:color w:val="auto"/>
              </w:rPr>
            </w:pPr>
          </w:p>
        </w:tc>
        <w:tc>
          <w:tcPr>
            <w:tcW w:w="1620" w:type="dxa"/>
            <w:vAlign w:val="bottom"/>
          </w:tcPr>
          <w:p>
            <w:pPr>
              <w:jc w:val="right"/>
              <w:ind w:right="159"/>
              <w:spacing w:after="0"/>
              <w:rPr>
                <w:sz w:val="20"/>
                <w:szCs w:val="20"/>
                <w:color w:val="auto"/>
              </w:rPr>
            </w:pPr>
            <w:r>
              <w:rPr>
                <w:rFonts w:ascii="Arial" w:cs="Arial" w:eastAsia="Arial" w:hAnsi="Arial"/>
                <w:sz w:val="16"/>
                <w:szCs w:val="16"/>
                <w:b w:val="1"/>
                <w:bCs w:val="1"/>
                <w:color w:val="auto"/>
                <w:w w:val="94"/>
              </w:rPr>
              <w:t>December 31, 2022</w:t>
            </w:r>
          </w:p>
        </w:tc>
        <w:tc>
          <w:tcPr>
            <w:tcW w:w="0" w:type="dxa"/>
            <w:vAlign w:val="bottom"/>
          </w:tcPr>
          <w:p>
            <w:pPr>
              <w:spacing w:after="0"/>
              <w:rPr>
                <w:sz w:val="1"/>
                <w:szCs w:val="1"/>
                <w:color w:val="auto"/>
              </w:rPr>
            </w:pPr>
          </w:p>
        </w:tc>
      </w:tr>
      <w:tr>
        <w:trPr>
          <w:trHeight w:val="199"/>
        </w:trPr>
        <w:tc>
          <w:tcPr>
            <w:tcW w:w="7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160" w:type="dxa"/>
            <w:vAlign w:val="bottom"/>
            <w:tcBorders>
              <w:top w:val="single" w:sz="8" w:color="auto"/>
            </w:tcBorders>
            <w:shd w:val="clear" w:color="auto" w:fill="CCEEFF"/>
          </w:tcPr>
          <w:p>
            <w:pPr>
              <w:spacing w:after="0"/>
              <w:rPr>
                <w:sz w:val="17"/>
                <w:szCs w:val="17"/>
                <w:color w:val="auto"/>
              </w:rPr>
            </w:pPr>
          </w:p>
        </w:tc>
        <w:tc>
          <w:tcPr>
            <w:tcW w:w="16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54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1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5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17,178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23,859</w:t>
            </w:r>
          </w:p>
        </w:tc>
        <w:tc>
          <w:tcPr>
            <w:tcW w:w="0" w:type="dxa"/>
            <w:vAlign w:val="bottom"/>
          </w:tcPr>
          <w:p>
            <w:pPr>
              <w:spacing w:after="0"/>
              <w:rPr>
                <w:sz w:val="1"/>
                <w:szCs w:val="1"/>
                <w:color w:val="auto"/>
              </w:rPr>
            </w:pPr>
          </w:p>
        </w:tc>
      </w:tr>
      <w:tr>
        <w:trPr>
          <w:trHeight w:val="213"/>
        </w:trPr>
        <w:tc>
          <w:tcPr>
            <w:tcW w:w="7540" w:type="dxa"/>
            <w:vAlign w:val="bottom"/>
          </w:tcPr>
          <w:p>
            <w:pPr>
              <w:ind w:left="360"/>
              <w:spacing w:after="0"/>
              <w:rPr>
                <w:sz w:val="20"/>
                <w:szCs w:val="20"/>
                <w:color w:val="auto"/>
              </w:rPr>
            </w:pPr>
            <w:r>
              <w:rPr>
                <w:rFonts w:ascii="Arial" w:cs="Arial" w:eastAsia="Arial" w:hAnsi="Arial"/>
                <w:sz w:val="16"/>
                <w:szCs w:val="16"/>
                <w:color w:val="auto"/>
              </w:rPr>
              <w:t>Accounts receivable</w:t>
            </w: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13,174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13,900</w:t>
            </w:r>
          </w:p>
        </w:tc>
        <w:tc>
          <w:tcPr>
            <w:tcW w:w="0" w:type="dxa"/>
            <w:vAlign w:val="bottom"/>
          </w:tcPr>
          <w:p>
            <w:pPr>
              <w:spacing w:after="0"/>
              <w:rPr>
                <w:sz w:val="1"/>
                <w:szCs w:val="1"/>
                <w:color w:val="auto"/>
              </w:rPr>
            </w:pPr>
          </w:p>
        </w:tc>
      </w:tr>
      <w:tr>
        <w:trPr>
          <w:trHeight w:val="219"/>
        </w:trPr>
        <w:tc>
          <w:tcPr>
            <w:tcW w:w="75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Investments, at fair value</w:t>
            </w: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31,312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15,342</w:t>
            </w:r>
          </w:p>
        </w:tc>
        <w:tc>
          <w:tcPr>
            <w:tcW w:w="0" w:type="dxa"/>
            <w:vAlign w:val="bottom"/>
          </w:tcPr>
          <w:p>
            <w:pPr>
              <w:spacing w:after="0"/>
              <w:rPr>
                <w:sz w:val="1"/>
                <w:szCs w:val="1"/>
                <w:color w:val="auto"/>
              </w:rPr>
            </w:pPr>
          </w:p>
        </w:tc>
      </w:tr>
      <w:tr>
        <w:trPr>
          <w:trHeight w:val="213"/>
        </w:trPr>
        <w:tc>
          <w:tcPr>
            <w:tcW w:w="7540" w:type="dxa"/>
            <w:vAlign w:val="bottom"/>
          </w:tcPr>
          <w:p>
            <w:pPr>
              <w:ind w:left="360"/>
              <w:spacing w:after="0"/>
              <w:rPr>
                <w:sz w:val="20"/>
                <w:szCs w:val="20"/>
                <w:color w:val="auto"/>
              </w:rPr>
            </w:pPr>
            <w:r>
              <w:rPr>
                <w:rFonts w:ascii="Arial" w:cs="Arial" w:eastAsia="Arial" w:hAnsi="Arial"/>
                <w:sz w:val="16"/>
                <w:szCs w:val="16"/>
                <w:color w:val="auto"/>
              </w:rPr>
              <w:t>Prepaid income taxes</w:t>
            </w: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423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446</w:t>
            </w:r>
          </w:p>
        </w:tc>
        <w:tc>
          <w:tcPr>
            <w:tcW w:w="0" w:type="dxa"/>
            <w:vAlign w:val="bottom"/>
          </w:tcPr>
          <w:p>
            <w:pPr>
              <w:spacing w:after="0"/>
              <w:rPr>
                <w:sz w:val="1"/>
                <w:szCs w:val="1"/>
                <w:color w:val="auto"/>
              </w:rPr>
            </w:pPr>
          </w:p>
        </w:tc>
      </w:tr>
      <w:tr>
        <w:trPr>
          <w:trHeight w:val="219"/>
        </w:trPr>
        <w:tc>
          <w:tcPr>
            <w:tcW w:w="75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current assets</w:t>
            </w:r>
          </w:p>
        </w:tc>
        <w:tc>
          <w:tcPr>
            <w:tcW w:w="16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4,129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4,645</w:t>
            </w:r>
          </w:p>
        </w:tc>
        <w:tc>
          <w:tcPr>
            <w:tcW w:w="0" w:type="dxa"/>
            <w:vAlign w:val="bottom"/>
          </w:tcPr>
          <w:p>
            <w:pPr>
              <w:spacing w:after="0"/>
              <w:rPr>
                <w:sz w:val="1"/>
                <w:szCs w:val="1"/>
                <w:color w:val="auto"/>
              </w:rPr>
            </w:pPr>
          </w:p>
        </w:tc>
      </w:tr>
      <w:tr>
        <w:trPr>
          <w:trHeight w:val="207"/>
        </w:trPr>
        <w:tc>
          <w:tcPr>
            <w:tcW w:w="7540" w:type="dxa"/>
            <w:vAlign w:val="bottom"/>
          </w:tcPr>
          <w:p>
            <w:pPr>
              <w:ind w:left="680"/>
              <w:spacing w:after="0"/>
              <w:rPr>
                <w:sz w:val="20"/>
                <w:szCs w:val="20"/>
                <w:color w:val="auto"/>
              </w:rPr>
            </w:pPr>
            <w:r>
              <w:rPr>
                <w:rFonts w:ascii="Arial" w:cs="Arial" w:eastAsia="Arial" w:hAnsi="Arial"/>
                <w:sz w:val="16"/>
                <w:szCs w:val="16"/>
                <w:color w:val="auto"/>
              </w:rPr>
              <w:t>Total current assets</w:t>
            </w:r>
          </w:p>
        </w:tc>
        <w:tc>
          <w:tcPr>
            <w:tcW w:w="16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66,216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58,192</w:t>
            </w:r>
          </w:p>
        </w:tc>
        <w:tc>
          <w:tcPr>
            <w:tcW w:w="0" w:type="dxa"/>
            <w:vAlign w:val="bottom"/>
          </w:tcPr>
          <w:p>
            <w:pPr>
              <w:spacing w:after="0"/>
              <w:rPr>
                <w:sz w:val="1"/>
                <w:szCs w:val="1"/>
                <w:color w:val="auto"/>
              </w:rPr>
            </w:pPr>
          </w:p>
        </w:tc>
      </w:tr>
      <w:tr>
        <w:trPr>
          <w:trHeight w:val="219"/>
        </w:trPr>
        <w:tc>
          <w:tcPr>
            <w:tcW w:w="7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Investments</w:t>
            </w: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7,247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4,455</w:t>
            </w:r>
          </w:p>
        </w:tc>
        <w:tc>
          <w:tcPr>
            <w:tcW w:w="0" w:type="dxa"/>
            <w:vAlign w:val="bottom"/>
          </w:tcPr>
          <w:p>
            <w:pPr>
              <w:spacing w:after="0"/>
              <w:rPr>
                <w:sz w:val="1"/>
                <w:szCs w:val="1"/>
                <w:color w:val="auto"/>
              </w:rPr>
            </w:pPr>
          </w:p>
        </w:tc>
      </w:tr>
      <w:tr>
        <w:trPr>
          <w:trHeight w:val="213"/>
        </w:trPr>
        <w:tc>
          <w:tcPr>
            <w:tcW w:w="7540" w:type="dxa"/>
            <w:vAlign w:val="bottom"/>
          </w:tcPr>
          <w:p>
            <w:pPr>
              <w:ind w:left="20"/>
              <w:spacing w:after="0"/>
              <w:rPr>
                <w:sz w:val="20"/>
                <w:szCs w:val="20"/>
                <w:color w:val="auto"/>
              </w:rPr>
            </w:pPr>
            <w:r>
              <w:rPr>
                <w:rFonts w:ascii="Arial" w:cs="Arial" w:eastAsia="Arial" w:hAnsi="Arial"/>
                <w:sz w:val="16"/>
                <w:szCs w:val="16"/>
                <w:color w:val="auto"/>
              </w:rPr>
              <w:t>Equity method investments</w:t>
            </w: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4,256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6,574</w:t>
            </w:r>
          </w:p>
        </w:tc>
        <w:tc>
          <w:tcPr>
            <w:tcW w:w="0" w:type="dxa"/>
            <w:vAlign w:val="bottom"/>
          </w:tcPr>
          <w:p>
            <w:pPr>
              <w:spacing w:after="0"/>
              <w:rPr>
                <w:sz w:val="1"/>
                <w:szCs w:val="1"/>
                <w:color w:val="auto"/>
              </w:rPr>
            </w:pPr>
          </w:p>
        </w:tc>
      </w:tr>
      <w:tr>
        <w:trPr>
          <w:trHeight w:val="219"/>
        </w:trPr>
        <w:tc>
          <w:tcPr>
            <w:tcW w:w="7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Noncurrent investments at fair value</w:t>
            </w: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3,027</w:t>
            </w:r>
          </w:p>
        </w:tc>
        <w:tc>
          <w:tcPr>
            <w:tcW w:w="0" w:type="dxa"/>
            <w:vAlign w:val="bottom"/>
          </w:tcPr>
          <w:p>
            <w:pPr>
              <w:spacing w:after="0"/>
              <w:rPr>
                <w:sz w:val="1"/>
                <w:szCs w:val="1"/>
                <w:color w:val="auto"/>
              </w:rPr>
            </w:pPr>
          </w:p>
        </w:tc>
      </w:tr>
      <w:tr>
        <w:trPr>
          <w:trHeight w:val="213"/>
        </w:trPr>
        <w:tc>
          <w:tcPr>
            <w:tcW w:w="7540" w:type="dxa"/>
            <w:vAlign w:val="bottom"/>
          </w:tcPr>
          <w:p>
            <w:pPr>
              <w:ind w:left="20"/>
              <w:spacing w:after="0"/>
              <w:rPr>
                <w:sz w:val="20"/>
                <w:szCs w:val="20"/>
                <w:color w:val="auto"/>
              </w:rPr>
            </w:pPr>
            <w:r>
              <w:rPr>
                <w:rFonts w:ascii="Arial" w:cs="Arial" w:eastAsia="Arial" w:hAnsi="Arial"/>
                <w:sz w:val="16"/>
                <w:szCs w:val="16"/>
                <w:color w:val="auto"/>
              </w:rPr>
              <w:t>Goodwill</w:t>
            </w: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39,501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35,732</w:t>
            </w:r>
          </w:p>
        </w:tc>
        <w:tc>
          <w:tcPr>
            <w:tcW w:w="0" w:type="dxa"/>
            <w:vAlign w:val="bottom"/>
          </w:tcPr>
          <w:p>
            <w:pPr>
              <w:spacing w:after="0"/>
              <w:rPr>
                <w:sz w:val="1"/>
                <w:szCs w:val="1"/>
                <w:color w:val="auto"/>
              </w:rPr>
            </w:pPr>
          </w:p>
        </w:tc>
      </w:tr>
      <w:tr>
        <w:trPr>
          <w:trHeight w:val="219"/>
        </w:trPr>
        <w:tc>
          <w:tcPr>
            <w:tcW w:w="7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income taxes</w:t>
            </w: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1,762</w:t>
            </w:r>
          </w:p>
        </w:tc>
        <w:tc>
          <w:tcPr>
            <w:tcW w:w="0" w:type="dxa"/>
            <w:vAlign w:val="bottom"/>
          </w:tcPr>
          <w:p>
            <w:pPr>
              <w:spacing w:after="0"/>
              <w:rPr>
                <w:sz w:val="1"/>
                <w:szCs w:val="1"/>
                <w:color w:val="auto"/>
              </w:rPr>
            </w:pPr>
          </w:p>
        </w:tc>
      </w:tr>
      <w:tr>
        <w:trPr>
          <w:trHeight w:val="213"/>
        </w:trPr>
        <w:tc>
          <w:tcPr>
            <w:tcW w:w="7540" w:type="dxa"/>
            <w:vAlign w:val="bottom"/>
          </w:tcPr>
          <w:p>
            <w:pPr>
              <w:ind w:left="20"/>
              <w:spacing w:after="0"/>
              <w:rPr>
                <w:sz w:val="20"/>
                <w:szCs w:val="20"/>
                <w:color w:val="auto"/>
              </w:rPr>
            </w:pPr>
            <w:r>
              <w:rPr>
                <w:rFonts w:ascii="Arial" w:cs="Arial" w:eastAsia="Arial" w:hAnsi="Arial"/>
                <w:sz w:val="16"/>
                <w:szCs w:val="16"/>
                <w:color w:val="auto"/>
              </w:rPr>
              <w:t>Operating lease right-of-use assets</w:t>
            </w: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3,758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4,976</w:t>
            </w:r>
          </w:p>
        </w:tc>
        <w:tc>
          <w:tcPr>
            <w:tcW w:w="0" w:type="dxa"/>
            <w:vAlign w:val="bottom"/>
          </w:tcPr>
          <w:p>
            <w:pPr>
              <w:spacing w:after="0"/>
              <w:rPr>
                <w:sz w:val="1"/>
                <w:szCs w:val="1"/>
                <w:color w:val="auto"/>
              </w:rPr>
            </w:pPr>
          </w:p>
        </w:tc>
      </w:tr>
      <w:tr>
        <w:trPr>
          <w:trHeight w:val="219"/>
        </w:trPr>
        <w:tc>
          <w:tcPr>
            <w:tcW w:w="7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Intangible assets, net</w:t>
            </w: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25,846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28,952</w:t>
            </w:r>
          </w:p>
        </w:tc>
        <w:tc>
          <w:tcPr>
            <w:tcW w:w="0" w:type="dxa"/>
            <w:vAlign w:val="bottom"/>
          </w:tcPr>
          <w:p>
            <w:pPr>
              <w:spacing w:after="0"/>
              <w:rPr>
                <w:sz w:val="1"/>
                <w:szCs w:val="1"/>
                <w:color w:val="auto"/>
              </w:rPr>
            </w:pPr>
          </w:p>
        </w:tc>
      </w:tr>
      <w:tr>
        <w:trPr>
          <w:trHeight w:val="213"/>
        </w:trPr>
        <w:tc>
          <w:tcPr>
            <w:tcW w:w="7540" w:type="dxa"/>
            <w:vAlign w:val="bottom"/>
          </w:tcPr>
          <w:p>
            <w:pPr>
              <w:ind w:left="20"/>
              <w:spacing w:after="0"/>
              <w:rPr>
                <w:sz w:val="20"/>
                <w:szCs w:val="20"/>
                <w:color w:val="auto"/>
              </w:rPr>
            </w:pPr>
            <w:r>
              <w:rPr>
                <w:rFonts w:ascii="Arial" w:cs="Arial" w:eastAsia="Arial" w:hAnsi="Arial"/>
                <w:sz w:val="16"/>
                <w:szCs w:val="16"/>
                <w:color w:val="auto"/>
              </w:rPr>
              <w:t>Property and equipment, net of accumulated depreciation of $9,903 and $9,277</w:t>
            </w: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1,576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1,828</w:t>
            </w:r>
          </w:p>
        </w:tc>
        <w:tc>
          <w:tcPr>
            <w:tcW w:w="0" w:type="dxa"/>
            <w:vAlign w:val="bottom"/>
          </w:tcPr>
          <w:p>
            <w:pPr>
              <w:spacing w:after="0"/>
              <w:rPr>
                <w:sz w:val="1"/>
                <w:szCs w:val="1"/>
                <w:color w:val="auto"/>
              </w:rPr>
            </w:pPr>
          </w:p>
        </w:tc>
      </w:tr>
      <w:tr>
        <w:trPr>
          <w:trHeight w:val="219"/>
        </w:trPr>
        <w:tc>
          <w:tcPr>
            <w:tcW w:w="7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long-term assets</w:t>
            </w:r>
          </w:p>
        </w:tc>
        <w:tc>
          <w:tcPr>
            <w:tcW w:w="16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929</w:t>
            </w:r>
          </w:p>
        </w:tc>
        <w:tc>
          <w:tcPr>
            <w:tcW w:w="0" w:type="dxa"/>
            <w:vAlign w:val="bottom"/>
          </w:tcPr>
          <w:p>
            <w:pPr>
              <w:spacing w:after="0"/>
              <w:rPr>
                <w:sz w:val="1"/>
                <w:szCs w:val="1"/>
                <w:color w:val="auto"/>
              </w:rPr>
            </w:pPr>
          </w:p>
        </w:tc>
      </w:tr>
      <w:tr>
        <w:trPr>
          <w:trHeight w:val="207"/>
        </w:trPr>
        <w:tc>
          <w:tcPr>
            <w:tcW w:w="754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Total long-term assets</w:t>
            </w:r>
          </w:p>
        </w:tc>
        <w:tc>
          <w:tcPr>
            <w:tcW w:w="16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84,535</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88,235</w:t>
            </w:r>
          </w:p>
        </w:tc>
        <w:tc>
          <w:tcPr>
            <w:tcW w:w="0" w:type="dxa"/>
            <w:vAlign w:val="bottom"/>
          </w:tcPr>
          <w:p>
            <w:pPr>
              <w:spacing w:after="0"/>
              <w:rPr>
                <w:sz w:val="1"/>
                <w:szCs w:val="1"/>
                <w:color w:val="auto"/>
              </w:rPr>
            </w:pPr>
          </w:p>
        </w:tc>
      </w:tr>
      <w:tr>
        <w:trPr>
          <w:trHeight w:val="238"/>
        </w:trPr>
        <w:tc>
          <w:tcPr>
            <w:tcW w:w="75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6"/>
                <w:szCs w:val="16"/>
                <w:b w:val="1"/>
                <w:bCs w:val="1"/>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150,751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146,427</w:t>
            </w:r>
          </w:p>
        </w:tc>
        <w:tc>
          <w:tcPr>
            <w:tcW w:w="0" w:type="dxa"/>
            <w:vAlign w:val="bottom"/>
          </w:tcPr>
          <w:p>
            <w:pPr>
              <w:spacing w:after="0"/>
              <w:rPr>
                <w:sz w:val="1"/>
                <w:szCs w:val="1"/>
                <w:color w:val="auto"/>
              </w:rPr>
            </w:pPr>
          </w:p>
        </w:tc>
      </w:tr>
      <w:tr>
        <w:trPr>
          <w:trHeight w:val="20"/>
        </w:trPr>
        <w:tc>
          <w:tcPr>
            <w:tcW w:w="75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754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7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540" w:type="dxa"/>
            <w:vAlign w:val="bottom"/>
          </w:tcPr>
          <w:p>
            <w:pPr>
              <w:ind w:left="360"/>
              <w:spacing w:after="0"/>
              <w:rPr>
                <w:sz w:val="20"/>
                <w:szCs w:val="20"/>
                <w:color w:val="auto"/>
              </w:rPr>
            </w:pPr>
            <w:r>
              <w:rPr>
                <w:rFonts w:ascii="Arial" w:cs="Arial" w:eastAsia="Arial" w:hAnsi="Arial"/>
                <w:sz w:val="16"/>
                <w:szCs w:val="16"/>
                <w:color w:val="auto"/>
              </w:rPr>
              <w:t>Accounts payable and accrued liabilities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6,523</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5,678</w:t>
            </w:r>
          </w:p>
        </w:tc>
        <w:tc>
          <w:tcPr>
            <w:tcW w:w="0" w:type="dxa"/>
            <w:vAlign w:val="bottom"/>
          </w:tcPr>
          <w:p>
            <w:pPr>
              <w:spacing w:after="0"/>
              <w:rPr>
                <w:sz w:val="1"/>
                <w:szCs w:val="1"/>
                <w:color w:val="auto"/>
              </w:rPr>
            </w:pPr>
          </w:p>
        </w:tc>
      </w:tr>
      <w:tr>
        <w:trPr>
          <w:trHeight w:val="219"/>
        </w:trPr>
        <w:tc>
          <w:tcPr>
            <w:tcW w:w="75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Dividends payable</w:t>
            </w: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1,745</w:t>
            </w:r>
          </w:p>
        </w:tc>
        <w:tc>
          <w:tcPr>
            <w:tcW w:w="0" w:type="dxa"/>
            <w:vAlign w:val="bottom"/>
          </w:tcPr>
          <w:p>
            <w:pPr>
              <w:spacing w:after="0"/>
              <w:rPr>
                <w:sz w:val="1"/>
                <w:szCs w:val="1"/>
                <w:color w:val="auto"/>
              </w:rPr>
            </w:pPr>
          </w:p>
        </w:tc>
      </w:tr>
      <w:tr>
        <w:trPr>
          <w:trHeight w:val="213"/>
        </w:trPr>
        <w:tc>
          <w:tcPr>
            <w:tcW w:w="7540" w:type="dxa"/>
            <w:vAlign w:val="bottom"/>
          </w:tcPr>
          <w:p>
            <w:pPr>
              <w:ind w:left="360"/>
              <w:spacing w:after="0"/>
              <w:rPr>
                <w:sz w:val="20"/>
                <w:szCs w:val="20"/>
                <w:color w:val="auto"/>
              </w:rPr>
            </w:pPr>
            <w:r>
              <w:rPr>
                <w:rFonts w:ascii="Arial" w:cs="Arial" w:eastAsia="Arial" w:hAnsi="Arial"/>
                <w:sz w:val="16"/>
                <w:szCs w:val="16"/>
                <w:color w:val="auto"/>
              </w:rPr>
              <w:t>Compensation and benefits payable</w:t>
            </w: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7,261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8,689</w:t>
            </w:r>
          </w:p>
        </w:tc>
        <w:tc>
          <w:tcPr>
            <w:tcW w:w="0" w:type="dxa"/>
            <w:vAlign w:val="bottom"/>
          </w:tcPr>
          <w:p>
            <w:pPr>
              <w:spacing w:after="0"/>
              <w:rPr>
                <w:sz w:val="1"/>
                <w:szCs w:val="1"/>
                <w:color w:val="auto"/>
              </w:rPr>
            </w:pPr>
          </w:p>
        </w:tc>
      </w:tr>
      <w:tr>
        <w:trPr>
          <w:trHeight w:val="219"/>
        </w:trPr>
        <w:tc>
          <w:tcPr>
            <w:tcW w:w="75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Operating lease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1,502</w:t>
            </w:r>
          </w:p>
        </w:tc>
        <w:tc>
          <w:tcPr>
            <w:tcW w:w="0" w:type="dxa"/>
            <w:vAlign w:val="bottom"/>
          </w:tcPr>
          <w:p>
            <w:pPr>
              <w:spacing w:after="0"/>
              <w:rPr>
                <w:sz w:val="1"/>
                <w:szCs w:val="1"/>
                <w:color w:val="auto"/>
              </w:rPr>
            </w:pPr>
          </w:p>
        </w:tc>
      </w:tr>
      <w:tr>
        <w:trPr>
          <w:trHeight w:val="207"/>
        </w:trPr>
        <w:tc>
          <w:tcPr>
            <w:tcW w:w="7540" w:type="dxa"/>
            <w:vAlign w:val="bottom"/>
          </w:tcPr>
          <w:p>
            <w:pPr>
              <w:ind w:left="680"/>
              <w:spacing w:after="0"/>
              <w:rPr>
                <w:sz w:val="20"/>
                <w:szCs w:val="20"/>
                <w:color w:val="auto"/>
              </w:rPr>
            </w:pPr>
            <w:r>
              <w:rPr>
                <w:rFonts w:ascii="Arial" w:cs="Arial" w:eastAsia="Arial" w:hAnsi="Arial"/>
                <w:sz w:val="16"/>
                <w:szCs w:val="16"/>
                <w:color w:val="auto"/>
              </w:rPr>
              <w:t>Total current liabilities</w:t>
            </w:r>
          </w:p>
        </w:tc>
        <w:tc>
          <w:tcPr>
            <w:tcW w:w="16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16,506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17,614</w:t>
            </w:r>
          </w:p>
        </w:tc>
        <w:tc>
          <w:tcPr>
            <w:tcW w:w="0" w:type="dxa"/>
            <w:vAlign w:val="bottom"/>
          </w:tcPr>
          <w:p>
            <w:pPr>
              <w:spacing w:after="0"/>
              <w:rPr>
                <w:sz w:val="1"/>
                <w:szCs w:val="1"/>
                <w:color w:val="auto"/>
              </w:rPr>
            </w:pPr>
          </w:p>
        </w:tc>
      </w:tr>
      <w:tr>
        <w:trPr>
          <w:trHeight w:val="219"/>
        </w:trPr>
        <w:tc>
          <w:tcPr>
            <w:tcW w:w="7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dividends</w:t>
            </w: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701</w:t>
            </w:r>
          </w:p>
        </w:tc>
        <w:tc>
          <w:tcPr>
            <w:tcW w:w="0" w:type="dxa"/>
            <w:vAlign w:val="bottom"/>
          </w:tcPr>
          <w:p>
            <w:pPr>
              <w:spacing w:after="0"/>
              <w:rPr>
                <w:sz w:val="1"/>
                <w:szCs w:val="1"/>
                <w:color w:val="auto"/>
              </w:rPr>
            </w:pPr>
          </w:p>
        </w:tc>
      </w:tr>
      <w:tr>
        <w:trPr>
          <w:trHeight w:val="213"/>
        </w:trPr>
        <w:tc>
          <w:tcPr>
            <w:tcW w:w="7540" w:type="dxa"/>
            <w:vAlign w:val="bottom"/>
          </w:tcPr>
          <w:p>
            <w:pPr>
              <w:ind w:left="20"/>
              <w:spacing w:after="0"/>
              <w:rPr>
                <w:sz w:val="20"/>
                <w:szCs w:val="20"/>
                <w:color w:val="auto"/>
              </w:rPr>
            </w:pPr>
            <w:r>
              <w:rPr>
                <w:rFonts w:ascii="Arial" w:cs="Arial" w:eastAsia="Arial" w:hAnsi="Arial"/>
                <w:sz w:val="16"/>
                <w:szCs w:val="16"/>
                <w:color w:val="auto"/>
              </w:rPr>
              <w:t>Contingent consideration</w:t>
            </w: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10,246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12,901</w:t>
            </w:r>
          </w:p>
        </w:tc>
        <w:tc>
          <w:tcPr>
            <w:tcW w:w="0" w:type="dxa"/>
            <w:vAlign w:val="bottom"/>
          </w:tcPr>
          <w:p>
            <w:pPr>
              <w:spacing w:after="0"/>
              <w:rPr>
                <w:sz w:val="1"/>
                <w:szCs w:val="1"/>
                <w:color w:val="auto"/>
              </w:rPr>
            </w:pPr>
          </w:p>
        </w:tc>
      </w:tr>
      <w:tr>
        <w:trPr>
          <w:trHeight w:val="219"/>
        </w:trPr>
        <w:tc>
          <w:tcPr>
            <w:tcW w:w="7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Noncurrent operating lease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3,412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4,563</w:t>
            </w:r>
          </w:p>
        </w:tc>
        <w:tc>
          <w:tcPr>
            <w:tcW w:w="0" w:type="dxa"/>
            <w:vAlign w:val="bottom"/>
          </w:tcPr>
          <w:p>
            <w:pPr>
              <w:spacing w:after="0"/>
              <w:rPr>
                <w:sz w:val="1"/>
                <w:szCs w:val="1"/>
                <w:color w:val="auto"/>
              </w:rPr>
            </w:pPr>
          </w:p>
        </w:tc>
      </w:tr>
      <w:tr>
        <w:trPr>
          <w:trHeight w:val="207"/>
        </w:trPr>
        <w:tc>
          <w:tcPr>
            <w:tcW w:w="754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Total long-term liabilities</w:t>
            </w:r>
          </w:p>
        </w:tc>
        <w:tc>
          <w:tcPr>
            <w:tcW w:w="16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14,442</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18,165</w:t>
            </w:r>
          </w:p>
        </w:tc>
        <w:tc>
          <w:tcPr>
            <w:tcW w:w="0" w:type="dxa"/>
            <w:vAlign w:val="bottom"/>
          </w:tcPr>
          <w:p>
            <w:pPr>
              <w:spacing w:after="0"/>
              <w:rPr>
                <w:sz w:val="1"/>
                <w:szCs w:val="1"/>
                <w:color w:val="auto"/>
              </w:rPr>
            </w:pPr>
          </w:p>
        </w:tc>
      </w:tr>
      <w:tr>
        <w:trPr>
          <w:trHeight w:val="213"/>
        </w:trPr>
        <w:tc>
          <w:tcPr>
            <w:tcW w:w="7540" w:type="dxa"/>
            <w:vAlign w:val="bottom"/>
            <w:shd w:val="clear" w:color="auto" w:fill="CCEEFF"/>
          </w:tcPr>
          <w:p>
            <w:pPr>
              <w:ind w:left="680"/>
              <w:spacing w:after="0"/>
              <w:rPr>
                <w:sz w:val="20"/>
                <w:szCs w:val="20"/>
                <w:color w:val="auto"/>
              </w:rPr>
            </w:pPr>
            <w:r>
              <w:rPr>
                <w:rFonts w:ascii="Arial" w:cs="Arial" w:eastAsia="Arial" w:hAnsi="Arial"/>
                <w:sz w:val="16"/>
                <w:szCs w:val="16"/>
                <w:b w:val="1"/>
                <w:bCs w:val="1"/>
                <w:color w:val="auto"/>
              </w:rPr>
              <w:t>Total liabilities</w:t>
            </w:r>
          </w:p>
        </w:tc>
        <w:tc>
          <w:tcPr>
            <w:tcW w:w="16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30,948</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35,779</w:t>
            </w:r>
          </w:p>
        </w:tc>
        <w:tc>
          <w:tcPr>
            <w:tcW w:w="0" w:type="dxa"/>
            <w:vAlign w:val="bottom"/>
          </w:tcPr>
          <w:p>
            <w:pPr>
              <w:spacing w:after="0"/>
              <w:rPr>
                <w:sz w:val="1"/>
                <w:szCs w:val="1"/>
                <w:color w:val="auto"/>
              </w:rPr>
            </w:pPr>
          </w:p>
        </w:tc>
      </w:tr>
      <w:tr>
        <w:trPr>
          <w:trHeight w:val="193"/>
        </w:trPr>
        <w:tc>
          <w:tcPr>
            <w:tcW w:w="7540" w:type="dxa"/>
            <w:vAlign w:val="bottom"/>
          </w:tcPr>
          <w:p>
            <w:pPr>
              <w:ind w:left="20"/>
              <w:spacing w:after="0"/>
              <w:rPr>
                <w:sz w:val="20"/>
                <w:szCs w:val="20"/>
                <w:color w:val="auto"/>
              </w:rPr>
            </w:pPr>
            <w:r>
              <w:rPr>
                <w:rFonts w:ascii="Arial" w:cs="Arial" w:eastAsia="Arial" w:hAnsi="Arial"/>
                <w:sz w:val="16"/>
                <w:szCs w:val="16"/>
                <w:b w:val="1"/>
                <w:bCs w:val="1"/>
                <w:color w:val="auto"/>
              </w:rPr>
              <w:t>Stockholders’ Equity:</w:t>
            </w:r>
          </w:p>
        </w:tc>
        <w:tc>
          <w:tcPr>
            <w:tcW w:w="1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7540" w:type="dxa"/>
            <w:vAlign w:val="bottom"/>
            <w:shd w:val="clear" w:color="auto" w:fill="CCEEFF"/>
          </w:tcPr>
          <w:p>
            <w:pPr>
              <w:ind w:left="180"/>
              <w:spacing w:after="0" w:line="168" w:lineRule="exact"/>
              <w:rPr>
                <w:sz w:val="20"/>
                <w:szCs w:val="20"/>
                <w:color w:val="auto"/>
              </w:rPr>
            </w:pPr>
            <w:r>
              <w:rPr>
                <w:rFonts w:ascii="Arial" w:cs="Arial" w:eastAsia="Arial" w:hAnsi="Arial"/>
                <w:sz w:val="16"/>
                <w:szCs w:val="16"/>
                <w:color w:val="auto"/>
                <w:w w:val="94"/>
              </w:rPr>
              <w:t>Common stock, $0.01 par value, authorized 25,000,000 shares, issued 11,896,172 and outstanding 9,180,195</w:t>
            </w:r>
          </w:p>
        </w:tc>
        <w:tc>
          <w:tcPr>
            <w:tcW w:w="160" w:type="dxa"/>
            <w:vAlign w:val="bottom"/>
            <w:shd w:val="clear" w:color="auto" w:fill="CCEEFF"/>
          </w:tcPr>
          <w:p>
            <w:pPr>
              <w:spacing w:after="0"/>
              <w:rPr>
                <w:sz w:val="14"/>
                <w:szCs w:val="14"/>
                <w:color w:val="auto"/>
              </w:rPr>
            </w:pPr>
          </w:p>
        </w:tc>
        <w:tc>
          <w:tcPr>
            <w:tcW w:w="16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119</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115</w:t>
            </w:r>
          </w:p>
        </w:tc>
        <w:tc>
          <w:tcPr>
            <w:tcW w:w="0" w:type="dxa"/>
            <w:vAlign w:val="bottom"/>
          </w:tcPr>
          <w:p>
            <w:pPr>
              <w:spacing w:after="0"/>
              <w:rPr>
                <w:sz w:val="1"/>
                <w:szCs w:val="1"/>
                <w:color w:val="auto"/>
              </w:rPr>
            </w:pPr>
          </w:p>
        </w:tc>
      </w:tr>
      <w:tr>
        <w:trPr>
          <w:trHeight w:val="212"/>
        </w:trPr>
        <w:tc>
          <w:tcPr>
            <w:tcW w:w="7540" w:type="dxa"/>
            <w:vAlign w:val="bottom"/>
            <w:shd w:val="clear" w:color="auto" w:fill="CCEEFF"/>
          </w:tcPr>
          <w:p>
            <w:pPr>
              <w:ind w:left="360"/>
              <w:spacing w:after="0"/>
              <w:rPr>
                <w:sz w:val="20"/>
                <w:szCs w:val="20"/>
                <w:color w:val="auto"/>
              </w:rPr>
            </w:pPr>
            <w:r>
              <w:rPr>
                <w:rFonts w:ascii="Arial" w:cs="Arial" w:eastAsia="Arial" w:hAnsi="Arial"/>
                <w:sz w:val="16"/>
                <w:szCs w:val="16"/>
                <w:color w:val="auto"/>
                <w:w w:val="93"/>
              </w:rPr>
              <w:t>shares at September 30, 2023; issued 11,527,544 and outstanding 8,881,831 shares at December 31, 2022</w:t>
            </w:r>
          </w:p>
        </w:tc>
        <w:tc>
          <w:tcPr>
            <w:tcW w:w="160" w:type="dxa"/>
            <w:vAlign w:val="bottom"/>
            <w:shd w:val="clear" w:color="auto" w:fill="CCEEFF"/>
          </w:tcPr>
          <w:p>
            <w:pPr>
              <w:spacing w:after="0"/>
              <w:rPr>
                <w:sz w:val="18"/>
                <w:szCs w:val="18"/>
                <w:color w:val="auto"/>
              </w:rPr>
            </w:pPr>
          </w:p>
        </w:tc>
        <w:tc>
          <w:tcPr>
            <w:tcW w:w="16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540" w:type="dxa"/>
            <w:vAlign w:val="bottom"/>
          </w:tcPr>
          <w:p>
            <w:pPr>
              <w:ind w:left="20"/>
              <w:spacing w:after="0"/>
              <w:rPr>
                <w:sz w:val="20"/>
                <w:szCs w:val="20"/>
                <w:color w:val="auto"/>
              </w:rPr>
            </w:pPr>
            <w:r>
              <w:rPr>
                <w:rFonts w:ascii="Arial" w:cs="Arial" w:eastAsia="Arial" w:hAnsi="Arial"/>
                <w:sz w:val="16"/>
                <w:szCs w:val="16"/>
                <w:color w:val="auto"/>
              </w:rPr>
              <w:t>Additional paid-in capital</w:t>
            </w: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201,424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199,914</w:t>
            </w:r>
          </w:p>
        </w:tc>
        <w:tc>
          <w:tcPr>
            <w:tcW w:w="0" w:type="dxa"/>
            <w:vAlign w:val="bottom"/>
          </w:tcPr>
          <w:p>
            <w:pPr>
              <w:spacing w:after="0"/>
              <w:rPr>
                <w:sz w:val="1"/>
                <w:szCs w:val="1"/>
                <w:color w:val="auto"/>
              </w:rPr>
            </w:pPr>
          </w:p>
        </w:tc>
      </w:tr>
      <w:tr>
        <w:trPr>
          <w:trHeight w:val="219"/>
        </w:trPr>
        <w:tc>
          <w:tcPr>
            <w:tcW w:w="754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6"/>
              </w:rPr>
              <w:t>Treasury stock, at cost - 2,715,977 shares at September 30, 2023; 2,645,713 shares at December 31, 2022</w:t>
            </w: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(85,990)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(85,128)</w:t>
            </w:r>
          </w:p>
        </w:tc>
        <w:tc>
          <w:tcPr>
            <w:tcW w:w="0" w:type="dxa"/>
            <w:vAlign w:val="bottom"/>
          </w:tcPr>
          <w:p>
            <w:pPr>
              <w:spacing w:after="0"/>
              <w:rPr>
                <w:sz w:val="1"/>
                <w:szCs w:val="1"/>
                <w:color w:val="auto"/>
              </w:rPr>
            </w:pPr>
          </w:p>
        </w:tc>
      </w:tr>
      <w:tr>
        <w:trPr>
          <w:trHeight w:val="213"/>
        </w:trPr>
        <w:tc>
          <w:tcPr>
            <w:tcW w:w="75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Retained earnings (accumulated deficit)</w:t>
            </w:r>
          </w:p>
        </w:tc>
        <w:tc>
          <w:tcPr>
            <w:tcW w:w="1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2,212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(4,253)</w:t>
            </w:r>
          </w:p>
        </w:tc>
        <w:tc>
          <w:tcPr>
            <w:tcW w:w="0" w:type="dxa"/>
            <w:vAlign w:val="bottom"/>
          </w:tcPr>
          <w:p>
            <w:pPr>
              <w:spacing w:after="0"/>
              <w:rPr>
                <w:sz w:val="1"/>
                <w:szCs w:val="1"/>
                <w:color w:val="auto"/>
              </w:rPr>
            </w:pPr>
          </w:p>
        </w:tc>
      </w:tr>
      <w:tr>
        <w:trPr>
          <w:trHeight w:val="213"/>
        </w:trPr>
        <w:tc>
          <w:tcPr>
            <w:tcW w:w="75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Westwood Holdings Group, Inc. stockholders’ equity</w:t>
            </w:r>
          </w:p>
        </w:tc>
        <w:tc>
          <w:tcPr>
            <w:tcW w:w="1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117,765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110,648</w:t>
            </w:r>
          </w:p>
        </w:tc>
        <w:tc>
          <w:tcPr>
            <w:tcW w:w="0" w:type="dxa"/>
            <w:vAlign w:val="bottom"/>
          </w:tcPr>
          <w:p>
            <w:pPr>
              <w:spacing w:after="0"/>
              <w:rPr>
                <w:sz w:val="1"/>
                <w:szCs w:val="1"/>
                <w:color w:val="auto"/>
              </w:rPr>
            </w:pPr>
          </w:p>
        </w:tc>
      </w:tr>
      <w:tr>
        <w:trPr>
          <w:trHeight w:val="213"/>
        </w:trPr>
        <w:tc>
          <w:tcPr>
            <w:tcW w:w="754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Noncontrolling interest in consolidated subsidiary</w:t>
            </w:r>
          </w:p>
        </w:tc>
        <w:tc>
          <w:tcPr>
            <w:tcW w:w="1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2,038</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7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liabilities and stockholders’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150,751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146,427</w:t>
            </w:r>
          </w:p>
        </w:tc>
        <w:tc>
          <w:tcPr>
            <w:tcW w:w="0" w:type="dxa"/>
            <w:vAlign w:val="bottom"/>
          </w:tcPr>
          <w:p>
            <w:pPr>
              <w:spacing w:after="0"/>
              <w:rPr>
                <w:sz w:val="1"/>
                <w:szCs w:val="1"/>
                <w:color w:val="auto"/>
              </w:rPr>
            </w:pP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1138" w:right="339" w:bottom="1440" w:gutter="0" w:footer="0" w:header="0"/>
        </w:sectPr>
      </w:pPr>
    </w:p>
    <w:bookmarkStart w:id="9" w:name="page10"/>
    <w:bookmarkEnd w:id="9"/>
    <w:p>
      <w:pPr>
        <w:ind w:right="4740"/>
        <w:spacing w:after="0"/>
        <w:rPr>
          <w:sz w:val="20"/>
          <w:szCs w:val="20"/>
          <w:color w:val="auto"/>
        </w:rPr>
      </w:pPr>
      <w:r>
        <w:rPr>
          <w:rFonts w:ascii="Arial" w:cs="Arial" w:eastAsia="Arial" w:hAnsi="Arial"/>
          <w:sz w:val="22"/>
          <w:szCs w:val="22"/>
          <w:b w:val="1"/>
          <w:bCs w:val="1"/>
          <w:color w:val="auto"/>
        </w:rPr>
        <w:t xml:space="preserve">WESTWOOD HOLDINGS GROUP, INC. AND SUBSIDIARIES CONDENSED CONSOLIDATED STATEMENTS OF CASH FLOWS </w:t>
      </w:r>
      <w:r>
        <w:rPr>
          <w:rFonts w:ascii="Arial" w:cs="Arial" w:eastAsia="Arial" w:hAnsi="Arial"/>
          <w:sz w:val="19"/>
          <w:szCs w:val="19"/>
          <w:b w:val="1"/>
          <w:bCs w:val="1"/>
          <w:color w:val="auto"/>
        </w:rPr>
        <w:t>(in thousands)</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(unaudited)</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000" w:type="dxa"/>
            <w:vAlign w:val="bottom"/>
          </w:tcPr>
          <w:p>
            <w:pPr>
              <w:spacing w:after="0"/>
              <w:rPr>
                <w:sz w:val="18"/>
                <w:szCs w:val="18"/>
                <w:color w:val="auto"/>
              </w:rPr>
            </w:pPr>
          </w:p>
        </w:tc>
        <w:tc>
          <w:tcPr>
            <w:tcW w:w="3240" w:type="dxa"/>
            <w:vAlign w:val="bottom"/>
            <w:tcBorders>
              <w:bottom w:val="single" w:sz="8" w:color="auto"/>
            </w:tcBorders>
            <w:gridSpan w:val="5"/>
          </w:tcPr>
          <w:p>
            <w:pPr>
              <w:jc w:val="right"/>
              <w:ind w:right="339"/>
              <w:spacing w:after="0"/>
              <w:rPr>
                <w:sz w:val="20"/>
                <w:szCs w:val="20"/>
                <w:color w:val="auto"/>
              </w:rPr>
            </w:pPr>
            <w:r>
              <w:rPr>
                <w:rFonts w:ascii="Arial" w:cs="Arial" w:eastAsia="Arial" w:hAnsi="Arial"/>
                <w:sz w:val="16"/>
                <w:szCs w:val="16"/>
                <w:b w:val="1"/>
                <w:bCs w:val="1"/>
                <w:color w:val="auto"/>
              </w:rPr>
              <w:t>Nine Months Ended September 30,</w:t>
            </w:r>
          </w:p>
        </w:tc>
      </w:tr>
      <w:tr>
        <w:trPr>
          <w:trHeight w:val="210"/>
        </w:trPr>
        <w:tc>
          <w:tcPr>
            <w:tcW w:w="800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6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2022</w:t>
            </w:r>
          </w:p>
        </w:tc>
      </w:tr>
      <w:tr>
        <w:trPr>
          <w:trHeight w:val="199"/>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9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13"/>
        </w:trPr>
        <w:tc>
          <w:tcPr>
            <w:tcW w:w="8000" w:type="dxa"/>
            <w:vAlign w:val="bottom"/>
          </w:tcPr>
          <w:p>
            <w:pPr>
              <w:ind w:left="360"/>
              <w:spacing w:after="0"/>
              <w:rPr>
                <w:sz w:val="20"/>
                <w:szCs w:val="20"/>
                <w:color w:val="auto"/>
              </w:rPr>
            </w:pPr>
            <w:r>
              <w:rPr>
                <w:rFonts w:ascii="Arial" w:cs="Arial" w:eastAsia="Arial" w:hAnsi="Arial"/>
                <w:sz w:val="16"/>
                <w:szCs w:val="16"/>
                <w:color w:val="auto"/>
              </w:rPr>
              <w:t>Net income (loss)</w:t>
            </w:r>
          </w:p>
        </w:tc>
        <w:tc>
          <w:tcPr>
            <w:tcW w:w="960" w:type="dxa"/>
            <w:vAlign w:val="bottom"/>
          </w:tcPr>
          <w:p>
            <w:pPr>
              <w:jc w:val="right"/>
              <w:ind w:right="779"/>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7,988</w:t>
            </w:r>
          </w:p>
        </w:tc>
        <w:tc>
          <w:tcPr>
            <w:tcW w:w="12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(1,503)</w:t>
            </w:r>
          </w:p>
        </w:tc>
      </w:tr>
      <w:tr>
        <w:trPr>
          <w:trHeight w:val="219"/>
        </w:trPr>
        <w:tc>
          <w:tcPr>
            <w:tcW w:w="80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Adjustments to reconcile net income (loss) to net cash provided by (used in) operating activities:</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13"/>
        </w:trPr>
        <w:tc>
          <w:tcPr>
            <w:tcW w:w="8000" w:type="dxa"/>
            <w:vAlign w:val="bottom"/>
          </w:tcPr>
          <w:p>
            <w:pPr>
              <w:ind w:left="680"/>
              <w:spacing w:after="0"/>
              <w:rPr>
                <w:sz w:val="20"/>
                <w:szCs w:val="20"/>
                <w:color w:val="auto"/>
              </w:rPr>
            </w:pPr>
            <w:r>
              <w:rPr>
                <w:rFonts w:ascii="Arial" w:cs="Arial" w:eastAsia="Arial" w:hAnsi="Arial"/>
                <w:sz w:val="16"/>
                <w:szCs w:val="16"/>
                <w:color w:val="auto"/>
              </w:rPr>
              <w:t>Depreciation</w:t>
            </w: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511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488</w:t>
            </w:r>
          </w:p>
        </w:tc>
      </w:tr>
      <w:tr>
        <w:trPr>
          <w:trHeight w:val="219"/>
        </w:trPr>
        <w:tc>
          <w:tcPr>
            <w:tcW w:w="80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Amortization of intangible assets</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1,218</w:t>
            </w:r>
          </w:p>
        </w:tc>
      </w:tr>
      <w:tr>
        <w:trPr>
          <w:trHeight w:val="213"/>
        </w:trPr>
        <w:tc>
          <w:tcPr>
            <w:tcW w:w="8000" w:type="dxa"/>
            <w:vAlign w:val="bottom"/>
          </w:tcPr>
          <w:p>
            <w:pPr>
              <w:ind w:left="680"/>
              <w:spacing w:after="0"/>
              <w:rPr>
                <w:sz w:val="20"/>
                <w:szCs w:val="20"/>
                <w:color w:val="auto"/>
              </w:rPr>
            </w:pPr>
            <w:r>
              <w:rPr>
                <w:rFonts w:ascii="Arial" w:cs="Arial" w:eastAsia="Arial" w:hAnsi="Arial"/>
                <w:sz w:val="16"/>
                <w:szCs w:val="16"/>
                <w:color w:val="auto"/>
              </w:rPr>
              <w:t>Net change in unrealized (appreciation) depreciation on investments</w:t>
            </w: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(499)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1,822</w:t>
            </w:r>
          </w:p>
        </w:tc>
      </w:tr>
      <w:tr>
        <w:trPr>
          <w:trHeight w:val="219"/>
        </w:trPr>
        <w:tc>
          <w:tcPr>
            <w:tcW w:w="80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Stock-based compensation expense</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5,111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4,410</w:t>
            </w:r>
          </w:p>
        </w:tc>
      </w:tr>
      <w:tr>
        <w:trPr>
          <w:trHeight w:val="213"/>
        </w:trPr>
        <w:tc>
          <w:tcPr>
            <w:tcW w:w="8000" w:type="dxa"/>
            <w:vAlign w:val="bottom"/>
          </w:tcPr>
          <w:p>
            <w:pPr>
              <w:ind w:left="680"/>
              <w:spacing w:after="0"/>
              <w:rPr>
                <w:sz w:val="20"/>
                <w:szCs w:val="20"/>
                <w:color w:val="auto"/>
              </w:rPr>
            </w:pPr>
            <w:r>
              <w:rPr>
                <w:rFonts w:ascii="Arial" w:cs="Arial" w:eastAsia="Arial" w:hAnsi="Arial"/>
                <w:sz w:val="16"/>
                <w:szCs w:val="16"/>
                <w:color w:val="auto"/>
              </w:rPr>
              <w:t>Deferred income taxes</w:t>
            </w: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652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(252)</w:t>
            </w:r>
          </w:p>
        </w:tc>
      </w:tr>
      <w:tr>
        <w:trPr>
          <w:trHeight w:val="219"/>
        </w:trPr>
        <w:tc>
          <w:tcPr>
            <w:tcW w:w="80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Non-cash lease expense</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800</w:t>
            </w:r>
          </w:p>
        </w:tc>
      </w:tr>
      <w:tr>
        <w:trPr>
          <w:trHeight w:val="213"/>
        </w:trPr>
        <w:tc>
          <w:tcPr>
            <w:tcW w:w="8000" w:type="dxa"/>
            <w:vAlign w:val="bottom"/>
          </w:tcPr>
          <w:p>
            <w:pPr>
              <w:ind w:left="680"/>
              <w:spacing w:after="0"/>
              <w:rPr>
                <w:sz w:val="20"/>
                <w:szCs w:val="20"/>
                <w:color w:val="auto"/>
              </w:rPr>
            </w:pPr>
            <w:r>
              <w:rPr>
                <w:rFonts w:ascii="Arial" w:cs="Arial" w:eastAsia="Arial" w:hAnsi="Arial"/>
                <w:sz w:val="16"/>
                <w:szCs w:val="16"/>
                <w:color w:val="auto"/>
              </w:rPr>
              <w:t>Loss on asset disposition</w:t>
            </w: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69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0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Gain on remeasurement of lease liabilities</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000" w:type="dxa"/>
            <w:vAlign w:val="bottom"/>
          </w:tcPr>
          <w:p>
            <w:pPr>
              <w:ind w:left="680"/>
              <w:spacing w:after="0"/>
              <w:rPr>
                <w:sz w:val="20"/>
                <w:szCs w:val="20"/>
                <w:color w:val="auto"/>
              </w:rPr>
            </w:pPr>
            <w:r>
              <w:rPr>
                <w:rFonts w:ascii="Arial" w:cs="Arial" w:eastAsia="Arial" w:hAnsi="Arial"/>
                <w:sz w:val="16"/>
                <w:szCs w:val="16"/>
                <w:color w:val="auto"/>
              </w:rPr>
              <w:t>Fair value change of contingent consideration</w:t>
            </w: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(2,655)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0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Gain on insurance settlement</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000" w:type="dxa"/>
            <w:vAlign w:val="bottom"/>
          </w:tcPr>
          <w:p>
            <w:pPr>
              <w:ind w:left="360"/>
              <w:spacing w:after="0"/>
              <w:rPr>
                <w:sz w:val="20"/>
                <w:szCs w:val="20"/>
                <w:color w:val="auto"/>
              </w:rPr>
            </w:pPr>
            <w:r>
              <w:rPr>
                <w:rFonts w:ascii="Arial" w:cs="Arial" w:eastAsia="Arial" w:hAnsi="Arial"/>
                <w:sz w:val="16"/>
                <w:szCs w:val="16"/>
                <w:color w:val="auto"/>
              </w:rPr>
              <w:t>Changes in operating assets and liabilities:</w:t>
            </w: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9"/>
        </w:trPr>
        <w:tc>
          <w:tcPr>
            <w:tcW w:w="80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Net (purchases) sales of trading securities</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(15,626)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12,149</w:t>
            </w:r>
          </w:p>
        </w:tc>
      </w:tr>
      <w:tr>
        <w:trPr>
          <w:trHeight w:val="213"/>
        </w:trPr>
        <w:tc>
          <w:tcPr>
            <w:tcW w:w="8000" w:type="dxa"/>
            <w:vAlign w:val="bottom"/>
          </w:tcPr>
          <w:p>
            <w:pPr>
              <w:ind w:left="680"/>
              <w:spacing w:after="0"/>
              <w:rPr>
                <w:sz w:val="20"/>
                <w:szCs w:val="20"/>
                <w:color w:val="auto"/>
              </w:rPr>
            </w:pPr>
            <w:r>
              <w:rPr>
                <w:rFonts w:ascii="Arial" w:cs="Arial" w:eastAsia="Arial" w:hAnsi="Arial"/>
                <w:sz w:val="16"/>
                <w:szCs w:val="16"/>
                <w:color w:val="auto"/>
              </w:rPr>
              <w:t>Accounts receivable</w:t>
            </w: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1,355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1,862</w:t>
            </w:r>
          </w:p>
        </w:tc>
      </w:tr>
      <w:tr>
        <w:trPr>
          <w:trHeight w:val="219"/>
        </w:trPr>
        <w:tc>
          <w:tcPr>
            <w:tcW w:w="80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Other current assets</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(562)</w:t>
            </w:r>
          </w:p>
        </w:tc>
      </w:tr>
      <w:tr>
        <w:trPr>
          <w:trHeight w:val="213"/>
        </w:trPr>
        <w:tc>
          <w:tcPr>
            <w:tcW w:w="8000" w:type="dxa"/>
            <w:vAlign w:val="bottom"/>
          </w:tcPr>
          <w:p>
            <w:pPr>
              <w:ind w:left="680"/>
              <w:spacing w:after="0"/>
              <w:rPr>
                <w:sz w:val="20"/>
                <w:szCs w:val="20"/>
                <w:color w:val="auto"/>
              </w:rPr>
            </w:pPr>
            <w:r>
              <w:rPr>
                <w:rFonts w:ascii="Arial" w:cs="Arial" w:eastAsia="Arial" w:hAnsi="Arial"/>
                <w:sz w:val="16"/>
                <w:szCs w:val="16"/>
                <w:color w:val="auto"/>
              </w:rPr>
              <w:t>Accounts payable and accrued liabilities</w:t>
            </w: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246</w:t>
            </w:r>
          </w:p>
        </w:tc>
      </w:tr>
      <w:tr>
        <w:trPr>
          <w:trHeight w:val="219"/>
        </w:trPr>
        <w:tc>
          <w:tcPr>
            <w:tcW w:w="80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Compensation and benefits payable</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(3,622)</w:t>
            </w:r>
          </w:p>
        </w:tc>
      </w:tr>
      <w:tr>
        <w:trPr>
          <w:trHeight w:val="213"/>
        </w:trPr>
        <w:tc>
          <w:tcPr>
            <w:tcW w:w="8000" w:type="dxa"/>
            <w:vAlign w:val="bottom"/>
          </w:tcPr>
          <w:p>
            <w:pPr>
              <w:ind w:left="680"/>
              <w:spacing w:after="0"/>
              <w:rPr>
                <w:sz w:val="20"/>
                <w:szCs w:val="20"/>
                <w:color w:val="auto"/>
              </w:rPr>
            </w:pPr>
            <w:r>
              <w:rPr>
                <w:rFonts w:ascii="Arial" w:cs="Arial" w:eastAsia="Arial" w:hAnsi="Arial"/>
                <w:sz w:val="16"/>
                <w:szCs w:val="16"/>
                <w:color w:val="auto"/>
              </w:rPr>
              <w:t>Income taxes payable</w:t>
            </w: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(810)</w:t>
            </w:r>
          </w:p>
        </w:tc>
      </w:tr>
      <w:tr>
        <w:trPr>
          <w:trHeight w:val="219"/>
        </w:trPr>
        <w:tc>
          <w:tcPr>
            <w:tcW w:w="80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Other liabilities</w:t>
            </w:r>
          </w:p>
        </w:tc>
        <w:tc>
          <w:tcPr>
            <w:tcW w:w="9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(1,064)</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(927)</w:t>
            </w:r>
          </w:p>
        </w:tc>
      </w:tr>
      <w:tr>
        <w:trPr>
          <w:trHeight w:val="206"/>
        </w:trPr>
        <w:tc>
          <w:tcPr>
            <w:tcW w:w="8000" w:type="dxa"/>
            <w:vAlign w:val="bottom"/>
            <w:tcBorders>
              <w:bottom w:val="single" w:sz="8" w:color="CCEEFF"/>
            </w:tcBorders>
          </w:tcPr>
          <w:p>
            <w:pPr>
              <w:ind w:left="1000"/>
              <w:spacing w:after="0"/>
              <w:rPr>
                <w:sz w:val="20"/>
                <w:szCs w:val="20"/>
                <w:color w:val="auto"/>
              </w:rPr>
            </w:pPr>
            <w:r>
              <w:rPr>
                <w:rFonts w:ascii="Arial" w:cs="Arial" w:eastAsia="Arial" w:hAnsi="Arial"/>
                <w:sz w:val="16"/>
                <w:szCs w:val="16"/>
                <w:color w:val="auto"/>
              </w:rPr>
              <w:t>Net cash provided by (used in) operating activities</w:t>
            </w:r>
          </w:p>
        </w:tc>
        <w:tc>
          <w:tcPr>
            <w:tcW w:w="9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(5,684)</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15,319</w:t>
            </w:r>
          </w:p>
        </w:tc>
      </w:tr>
      <w:tr>
        <w:trPr>
          <w:trHeight w:val="199"/>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9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13"/>
        </w:trPr>
        <w:tc>
          <w:tcPr>
            <w:tcW w:w="8000" w:type="dxa"/>
            <w:vAlign w:val="bottom"/>
          </w:tcPr>
          <w:p>
            <w:pPr>
              <w:ind w:left="360"/>
              <w:spacing w:after="0"/>
              <w:rPr>
                <w:sz w:val="20"/>
                <w:szCs w:val="20"/>
                <w:color w:val="auto"/>
              </w:rPr>
            </w:pPr>
            <w:r>
              <w:rPr>
                <w:rFonts w:ascii="Arial" w:cs="Arial" w:eastAsia="Arial" w:hAnsi="Arial"/>
                <w:sz w:val="16"/>
                <w:szCs w:val="16"/>
                <w:color w:val="auto"/>
              </w:rPr>
              <w:t>Acquisition, net of cash acquired</w:t>
            </w: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(741)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0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Purchases of property and equipment</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w:t>
            </w:r>
          </w:p>
        </w:tc>
      </w:tr>
      <w:tr>
        <w:trPr>
          <w:trHeight w:val="213"/>
        </w:trPr>
        <w:tc>
          <w:tcPr>
            <w:tcW w:w="80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Insurance settlement proceeds</w:t>
            </w:r>
          </w:p>
        </w:tc>
        <w:tc>
          <w:tcPr>
            <w:tcW w:w="9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5,000</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000" w:type="dxa"/>
            <w:vAlign w:val="bottom"/>
            <w:shd w:val="clear" w:color="auto" w:fill="CCEEFF"/>
          </w:tcPr>
          <w:p>
            <w:pPr>
              <w:ind w:left="1000"/>
              <w:spacing w:after="0"/>
              <w:rPr>
                <w:sz w:val="20"/>
                <w:szCs w:val="20"/>
                <w:color w:val="auto"/>
              </w:rPr>
            </w:pPr>
            <w:r>
              <w:rPr>
                <w:rFonts w:ascii="Arial" w:cs="Arial" w:eastAsia="Arial" w:hAnsi="Arial"/>
                <w:sz w:val="16"/>
                <w:szCs w:val="16"/>
                <w:color w:val="auto"/>
              </w:rPr>
              <w:t>Net cash provided by (used in) investing activities</w:t>
            </w:r>
          </w:p>
        </w:tc>
        <w:tc>
          <w:tcPr>
            <w:tcW w:w="9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4,140</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w:t>
            </w:r>
          </w:p>
        </w:tc>
      </w:tr>
      <w:tr>
        <w:trPr>
          <w:trHeight w:val="193"/>
        </w:trPr>
        <w:tc>
          <w:tcPr>
            <w:tcW w:w="8000" w:type="dxa"/>
            <w:vAlign w:val="bottom"/>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9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19"/>
        </w:trPr>
        <w:tc>
          <w:tcPr>
            <w:tcW w:w="80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Purchases of treasury stock</w:t>
            </w:r>
          </w:p>
        </w:tc>
        <w:tc>
          <w:tcPr>
            <w:tcW w:w="9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(2,851)</w:t>
            </w:r>
          </w:p>
        </w:tc>
      </w:tr>
      <w:tr>
        <w:trPr>
          <w:trHeight w:val="213"/>
        </w:trPr>
        <w:tc>
          <w:tcPr>
            <w:tcW w:w="8000" w:type="dxa"/>
            <w:vAlign w:val="bottom"/>
          </w:tcPr>
          <w:p>
            <w:pPr>
              <w:ind w:left="360"/>
              <w:spacing w:after="0"/>
              <w:rPr>
                <w:sz w:val="20"/>
                <w:szCs w:val="20"/>
                <w:color w:val="auto"/>
              </w:rPr>
            </w:pPr>
            <w:r>
              <w:rPr>
                <w:rFonts w:ascii="Arial" w:cs="Arial" w:eastAsia="Arial" w:hAnsi="Arial"/>
                <w:sz w:val="16"/>
                <w:szCs w:val="16"/>
                <w:color w:val="auto"/>
              </w:rPr>
              <w:t>Restricted stock returned for payment of taxes</w:t>
            </w: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(863)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(626)</w:t>
            </w:r>
          </w:p>
        </w:tc>
      </w:tr>
      <w:tr>
        <w:trPr>
          <w:trHeight w:val="219"/>
        </w:trPr>
        <w:tc>
          <w:tcPr>
            <w:tcW w:w="80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Cash dividends</w:t>
            </w:r>
          </w:p>
        </w:tc>
        <w:tc>
          <w:tcPr>
            <w:tcW w:w="9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(4,274)</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(4,459)</w:t>
            </w:r>
          </w:p>
        </w:tc>
      </w:tr>
      <w:tr>
        <w:trPr>
          <w:trHeight w:val="206"/>
        </w:trPr>
        <w:tc>
          <w:tcPr>
            <w:tcW w:w="8000" w:type="dxa"/>
            <w:vAlign w:val="bottom"/>
            <w:tcBorders>
              <w:bottom w:val="single" w:sz="8" w:color="CCEEFF"/>
            </w:tcBorders>
          </w:tcPr>
          <w:p>
            <w:pPr>
              <w:ind w:left="1000"/>
              <w:spacing w:after="0"/>
              <w:rPr>
                <w:sz w:val="20"/>
                <w:szCs w:val="20"/>
                <w:color w:val="auto"/>
              </w:rPr>
            </w:pPr>
            <w:r>
              <w:rPr>
                <w:rFonts w:ascii="Arial" w:cs="Arial" w:eastAsia="Arial" w:hAnsi="Arial"/>
                <w:sz w:val="16"/>
                <w:szCs w:val="16"/>
                <w:color w:val="auto"/>
              </w:rPr>
              <w:t>Net cash used in financing activities</w:t>
            </w:r>
          </w:p>
        </w:tc>
        <w:tc>
          <w:tcPr>
            <w:tcW w:w="9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(5,137)</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(7,936)</w:t>
            </w:r>
          </w:p>
        </w:tc>
      </w:tr>
      <w:tr>
        <w:trPr>
          <w:trHeight w:val="213"/>
        </w:trPr>
        <w:tc>
          <w:tcPr>
            <w:tcW w:w="80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Effect of currency rate changes on cash</w:t>
            </w:r>
          </w:p>
        </w:tc>
        <w:tc>
          <w:tcPr>
            <w:tcW w:w="9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r>
      <w:tr>
        <w:trPr>
          <w:trHeight w:val="206"/>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NET CHANGE IN CASH AND CASH EQUIVALENTS</w:t>
            </w:r>
          </w:p>
        </w:tc>
        <w:tc>
          <w:tcPr>
            <w:tcW w:w="96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(6,681)</w:t>
            </w:r>
          </w:p>
        </w:tc>
        <w:tc>
          <w:tcPr>
            <w:tcW w:w="120" w:type="dxa"/>
            <w:vAlign w:val="bottom"/>
            <w:tcBorders>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7,264</w:t>
            </w:r>
          </w:p>
        </w:tc>
      </w:tr>
      <w:tr>
        <w:trPr>
          <w:trHeight w:val="213"/>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 beginning of period</w:t>
            </w:r>
          </w:p>
        </w:tc>
        <w:tc>
          <w:tcPr>
            <w:tcW w:w="9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23,859</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15,206</w:t>
            </w:r>
          </w:p>
        </w:tc>
      </w:tr>
      <w:tr>
        <w:trPr>
          <w:trHeight w:val="207"/>
        </w:trPr>
        <w:tc>
          <w:tcPr>
            <w:tcW w:w="8000" w:type="dxa"/>
            <w:vAlign w:val="bottom"/>
          </w:tcPr>
          <w:p>
            <w:pPr>
              <w:ind w:left="20"/>
              <w:spacing w:after="0"/>
              <w:rPr>
                <w:sz w:val="20"/>
                <w:szCs w:val="20"/>
                <w:color w:val="auto"/>
              </w:rPr>
            </w:pPr>
            <w:r>
              <w:rPr>
                <w:rFonts w:ascii="Arial" w:cs="Arial" w:eastAsia="Arial" w:hAnsi="Arial"/>
                <w:sz w:val="16"/>
                <w:szCs w:val="16"/>
                <w:color w:val="auto"/>
              </w:rPr>
              <w:t>Cash and cash equivalents, end of period</w:t>
            </w:r>
          </w:p>
        </w:tc>
        <w:tc>
          <w:tcPr>
            <w:tcW w:w="96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17,178</w:t>
            </w:r>
          </w:p>
        </w:tc>
        <w:tc>
          <w:tcPr>
            <w:tcW w:w="120" w:type="dxa"/>
            <w:vAlign w:val="bottom"/>
          </w:tcPr>
          <w:p>
            <w:pPr>
              <w:spacing w:after="0"/>
              <w:rPr>
                <w:sz w:val="17"/>
                <w:szCs w:val="17"/>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22,470</w:t>
            </w:r>
          </w:p>
        </w:tc>
      </w:tr>
      <w:tr>
        <w:trPr>
          <w:trHeight w:val="20"/>
        </w:trPr>
        <w:tc>
          <w:tcPr>
            <w:tcW w:w="80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86"/>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CASH FLOW INFORMATION:</w:t>
            </w:r>
          </w:p>
        </w:tc>
        <w:tc>
          <w:tcPr>
            <w:tcW w:w="9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213"/>
        </w:trPr>
        <w:tc>
          <w:tcPr>
            <w:tcW w:w="8000" w:type="dxa"/>
            <w:vAlign w:val="bottom"/>
          </w:tcPr>
          <w:p>
            <w:pPr>
              <w:ind w:left="360"/>
              <w:spacing w:after="0"/>
              <w:rPr>
                <w:sz w:val="20"/>
                <w:szCs w:val="20"/>
                <w:color w:val="auto"/>
              </w:rPr>
            </w:pPr>
            <w:r>
              <w:rPr>
                <w:rFonts w:ascii="Arial" w:cs="Arial" w:eastAsia="Arial" w:hAnsi="Arial"/>
                <w:sz w:val="16"/>
                <w:szCs w:val="16"/>
                <w:color w:val="auto"/>
              </w:rPr>
              <w:t>Cash paid during the period for income taxes</w:t>
            </w:r>
          </w:p>
        </w:tc>
        <w:tc>
          <w:tcPr>
            <w:tcW w:w="960" w:type="dxa"/>
            <w:vAlign w:val="bottom"/>
          </w:tcPr>
          <w:p>
            <w:pPr>
              <w:jc w:val="right"/>
              <w:ind w:right="779"/>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1,024</w:t>
            </w:r>
          </w:p>
        </w:tc>
        <w:tc>
          <w:tcPr>
            <w:tcW w:w="12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1,807</w:t>
            </w:r>
          </w:p>
        </w:tc>
      </w:tr>
      <w:tr>
        <w:trPr>
          <w:trHeight w:val="219"/>
        </w:trPr>
        <w:tc>
          <w:tcPr>
            <w:tcW w:w="80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Accrued dividends</w:t>
            </w:r>
          </w:p>
        </w:tc>
        <w:tc>
          <w:tcPr>
            <w:tcW w:w="960" w:type="dxa"/>
            <w:vAlign w:val="bottom"/>
            <w:shd w:val="clear" w:color="auto" w:fill="CCEEFF"/>
          </w:tcPr>
          <w:p>
            <w:pPr>
              <w:jc w:val="right"/>
              <w:ind w:right="779"/>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2,280</w:t>
            </w:r>
          </w:p>
        </w:tc>
      </w:tr>
      <w:tr>
        <w:trPr>
          <w:trHeight w:val="210"/>
        </w:trPr>
        <w:tc>
          <w:tcPr>
            <w:tcW w:w="8000" w:type="dxa"/>
            <w:vAlign w:val="bottom"/>
          </w:tcPr>
          <w:p>
            <w:pPr>
              <w:ind w:left="360"/>
              <w:spacing w:after="0"/>
              <w:rPr>
                <w:sz w:val="20"/>
                <w:szCs w:val="20"/>
                <w:color w:val="auto"/>
              </w:rPr>
            </w:pPr>
            <w:r>
              <w:rPr>
                <w:rFonts w:ascii="Arial" w:cs="Arial" w:eastAsia="Arial" w:hAnsi="Arial"/>
                <w:sz w:val="16"/>
                <w:szCs w:val="16"/>
                <w:color w:val="auto"/>
              </w:rPr>
              <w:t>Additional operating lease right-of-use assets</w:t>
            </w:r>
          </w:p>
        </w:tc>
        <w:tc>
          <w:tcPr>
            <w:tcW w:w="960" w:type="dxa"/>
            <w:vAlign w:val="bottom"/>
          </w:tcPr>
          <w:p>
            <w:pPr>
              <w:jc w:val="right"/>
              <w:ind w:right="779"/>
              <w:spacing w:after="0"/>
              <w:rPr>
                <w:sz w:val="20"/>
                <w:szCs w:val="20"/>
                <w:color w:val="auto"/>
              </w:rPr>
            </w:pPr>
            <w:r>
              <w:rPr>
                <w:rFonts w:ascii="Arial" w:cs="Arial" w:eastAsia="Arial" w:hAnsi="Arial"/>
                <w:sz w:val="16"/>
                <w:szCs w:val="16"/>
                <w:color w:val="auto"/>
                <w:w w:val="89"/>
              </w:rPr>
              <w:t>$</w:t>
            </w:r>
          </w:p>
        </w:tc>
        <w:tc>
          <w:tcPr>
            <w:tcW w:w="7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1,217</w:t>
            </w:r>
          </w:p>
        </w:tc>
      </w:tr>
    </w:tbl>
    <w:p>
      <w:pPr>
        <w:sectPr>
          <w:pgSz w:w="11900" w:h="16838" w:orient="portrait"/>
          <w:cols w:equalWidth="0" w:num="1">
            <w:col w:w="11240"/>
          </w:cols>
          <w:pgMar w:left="320" w:top="895" w:right="339" w:bottom="1440" w:gutter="0" w:footer="0" w:header="0"/>
        </w:sectPr>
      </w:pPr>
    </w:p>
    <w:bookmarkStart w:id="10" w:name="page11"/>
    <w:bookmarkEnd w:id="10"/>
    <w:p>
      <w:pPr>
        <w:spacing w:after="0"/>
        <w:rPr>
          <w:sz w:val="20"/>
          <w:szCs w:val="20"/>
          <w:color w:val="auto"/>
        </w:rPr>
      </w:pPr>
      <w:r>
        <w:rPr>
          <w:rFonts w:ascii="Arial" w:cs="Arial" w:eastAsia="Arial" w:hAnsi="Arial"/>
          <w:sz w:val="20"/>
          <w:szCs w:val="20"/>
          <w:b w:val="1"/>
          <w:bCs w:val="1"/>
          <w:color w:val="auto"/>
        </w:rPr>
        <w:t>WESTWOOD HOLDINGS GROUP, INC. AND SUBSIDIARIES</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Comprehensive Income (Loss) Attributable to Westwood Holdings Group, Inc. to Economic Earnings</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except per share and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10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 supplemental information, we are providing non-GAAP performance measures that we refer to as Economic Earnings and Economic EPS. We provide these measures in addition to, not as a substitute for, Comprehensive income (loss) attributable to Westwood Holdings Group, Inc. and earnings (loss) per share, which are reported on a GAAP basis. Our management and Board of Directors review Economic Earnings and Economic EPS to evaluate our ongoing performance, allocate resources, and review our dividend policy. We believe that these non-GAAP performance measures, while not substitutes for GAAP Comprehensive income (loss) attributable to Westwood Holdings Group, Inc. or earnings (loss) per share, are useful for management and investors when evaluating our underlying operating and financial performance and our available resources. We do not advocate that investors consider these non-GAAP measures without also considering financial information prepared in accordance with GAAP.</w:t>
      </w:r>
    </w:p>
    <w:p>
      <w:pPr>
        <w:spacing w:after="0" w:line="6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define Economic Earnings as Comprehensive income (loss) attributable to Westwood Holdings Group, Inc. plus non-cash equity-based compensation expense, amortization of intangible assets and deferred taxes related to goodwill. Although depreciation on fixed assets is a non-cash expense, we do not add it back when calculating Economic Earnings because depreciation charges represent an allocation of the decline in the value of the related assets that will ultimately require replacement. Although gains and losses from changes in the fair value of contingent consideration are non-cash, we do not add or subtract those back when calculating Economic Earnings because gains and losses on changes in the fair value of contingent consideration are considered regular following an acquisition. In addition, we do not adjust Economic Earnings for tax deductions related to restricted stock expense or amortization of intangible assets. Economic EPS represents Economic Earnings divided by diluted weighted average shares outstanding.</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9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2"/>
          </w:tcPr>
          <w:p>
            <w:pPr>
              <w:ind w:left="120"/>
              <w:spacing w:after="0"/>
              <w:rPr>
                <w:sz w:val="20"/>
                <w:szCs w:val="20"/>
                <w:color w:val="auto"/>
              </w:rPr>
            </w:pPr>
            <w:r>
              <w:rPr>
                <w:rFonts w:ascii="Arial" w:cs="Arial" w:eastAsia="Arial" w:hAnsi="Arial"/>
                <w:sz w:val="15"/>
                <w:szCs w:val="15"/>
                <w:b w:val="1"/>
                <w:bCs w:val="1"/>
                <w:color w:val="auto"/>
              </w:rPr>
              <w:t>Three Months Ended</w:t>
            </w:r>
          </w:p>
        </w:tc>
        <w:tc>
          <w:tcPr>
            <w:tcW w:w="24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60" w:type="dxa"/>
            <w:vAlign w:val="bottom"/>
            <w:gridSpan w:val="2"/>
          </w:tcPr>
          <w:p>
            <w:pPr>
              <w:ind w:left="120"/>
              <w:spacing w:after="0"/>
              <w:rPr>
                <w:sz w:val="20"/>
                <w:szCs w:val="20"/>
                <w:color w:val="auto"/>
              </w:rPr>
            </w:pPr>
            <w:r>
              <w:rPr>
                <w:rFonts w:ascii="Arial" w:cs="Arial" w:eastAsia="Arial" w:hAnsi="Arial"/>
                <w:sz w:val="15"/>
                <w:szCs w:val="15"/>
                <w:b w:val="1"/>
                <w:bCs w:val="1"/>
                <w:color w:val="auto"/>
              </w:rPr>
              <w:t>September 30, 2023</w:t>
            </w:r>
          </w:p>
        </w:tc>
        <w:tc>
          <w:tcPr>
            <w:tcW w:w="240" w:type="dxa"/>
            <w:vAlign w:val="bottom"/>
          </w:tcPr>
          <w:p>
            <w:pPr>
              <w:spacing w:after="0"/>
              <w:rPr>
                <w:sz w:val="17"/>
                <w:szCs w:val="17"/>
                <w:color w:val="auto"/>
              </w:rPr>
            </w:pPr>
          </w:p>
        </w:tc>
        <w:tc>
          <w:tcPr>
            <w:tcW w:w="1920" w:type="dxa"/>
            <w:vAlign w:val="bottom"/>
            <w:gridSpan w:val="2"/>
          </w:tcPr>
          <w:p>
            <w:pPr>
              <w:ind w:left="360"/>
              <w:spacing w:after="0"/>
              <w:rPr>
                <w:sz w:val="20"/>
                <w:szCs w:val="20"/>
                <w:color w:val="auto"/>
              </w:rPr>
            </w:pPr>
            <w:r>
              <w:rPr>
                <w:rFonts w:ascii="Arial" w:cs="Arial" w:eastAsia="Arial" w:hAnsi="Arial"/>
                <w:sz w:val="15"/>
                <w:szCs w:val="15"/>
                <w:b w:val="1"/>
                <w:bCs w:val="1"/>
                <w:color w:val="auto"/>
              </w:rPr>
              <w:t>June 30, 2023</w:t>
            </w:r>
          </w:p>
        </w:tc>
        <w:tc>
          <w:tcPr>
            <w:tcW w:w="240" w:type="dxa"/>
            <w:vAlign w:val="bottom"/>
          </w:tcPr>
          <w:p>
            <w:pPr>
              <w:spacing w:after="0"/>
              <w:rPr>
                <w:sz w:val="17"/>
                <w:szCs w:val="17"/>
                <w:color w:val="auto"/>
              </w:rPr>
            </w:pPr>
          </w:p>
        </w:tc>
        <w:tc>
          <w:tcPr>
            <w:tcW w:w="1820" w:type="dxa"/>
            <w:vAlign w:val="bottom"/>
          </w:tcPr>
          <w:p>
            <w:pPr>
              <w:jc w:val="right"/>
              <w:ind w:right="304"/>
              <w:spacing w:after="0"/>
              <w:rPr>
                <w:sz w:val="20"/>
                <w:szCs w:val="20"/>
                <w:color w:val="auto"/>
              </w:rPr>
            </w:pPr>
            <w:r>
              <w:rPr>
                <w:rFonts w:ascii="Arial" w:cs="Arial" w:eastAsia="Arial" w:hAnsi="Arial"/>
                <w:sz w:val="15"/>
                <w:szCs w:val="15"/>
                <w:b w:val="1"/>
                <w:bCs w:val="1"/>
                <w:color w:val="auto"/>
              </w:rPr>
              <w:t>September 30, 2022</w:t>
            </w:r>
          </w:p>
        </w:tc>
        <w:tc>
          <w:tcPr>
            <w:tcW w:w="0" w:type="dxa"/>
            <w:vAlign w:val="bottom"/>
          </w:tcPr>
          <w:p>
            <w:pPr>
              <w:spacing w:after="0"/>
              <w:rPr>
                <w:sz w:val="1"/>
                <w:szCs w:val="1"/>
                <w:color w:val="auto"/>
              </w:rPr>
            </w:pPr>
          </w:p>
        </w:tc>
      </w:tr>
      <w:tr>
        <w:trPr>
          <w:trHeight w:val="131"/>
        </w:trPr>
        <w:tc>
          <w:tcPr>
            <w:tcW w:w="4920" w:type="dxa"/>
            <w:vAlign w:val="bottom"/>
            <w:tcBorders>
              <w:top w:val="single" w:sz="8" w:color="CCEEFF"/>
            </w:tcBorders>
            <w:shd w:val="clear" w:color="auto" w:fill="CCEEFF"/>
          </w:tcPr>
          <w:p>
            <w:pPr>
              <w:ind w:left="20"/>
              <w:spacing w:after="0" w:line="131" w:lineRule="exact"/>
              <w:rPr>
                <w:sz w:val="20"/>
                <w:szCs w:val="20"/>
                <w:color w:val="auto"/>
              </w:rPr>
            </w:pPr>
            <w:r>
              <w:rPr>
                <w:rFonts w:ascii="Arial" w:cs="Arial" w:eastAsia="Arial" w:hAnsi="Arial"/>
                <w:sz w:val="15"/>
                <w:szCs w:val="15"/>
                <w:b w:val="1"/>
                <w:bCs w:val="1"/>
                <w:color w:val="auto"/>
                <w:w w:val="94"/>
              </w:rPr>
              <w:t>Comprehensive income (loss) attributable to Westwood Holdings Group,</w:t>
            </w:r>
          </w:p>
        </w:tc>
        <w:tc>
          <w:tcPr>
            <w:tcW w:w="240" w:type="dxa"/>
            <w:vAlign w:val="bottom"/>
            <w:tcBorders>
              <w:top w:val="single" w:sz="8" w:color="auto"/>
            </w:tcBorders>
            <w:shd w:val="clear" w:color="auto" w:fill="CCEEFF"/>
          </w:tcPr>
          <w:p>
            <w:pPr>
              <w:spacing w:after="0"/>
              <w:rPr>
                <w:sz w:val="11"/>
                <w:szCs w:val="11"/>
                <w:color w:val="auto"/>
              </w:rPr>
            </w:pPr>
          </w:p>
        </w:tc>
        <w:tc>
          <w:tcPr>
            <w:tcW w:w="17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18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182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Inc.</w:t>
            </w:r>
          </w:p>
        </w:tc>
        <w:tc>
          <w:tcPr>
            <w:tcW w:w="24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17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3,356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2,895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(1,175)</w:t>
            </w:r>
          </w:p>
        </w:tc>
        <w:tc>
          <w:tcPr>
            <w:tcW w:w="0" w:type="dxa"/>
            <w:vAlign w:val="bottom"/>
          </w:tcPr>
          <w:p>
            <w:pPr>
              <w:spacing w:after="0"/>
              <w:rPr>
                <w:sz w:val="1"/>
                <w:szCs w:val="1"/>
                <w:color w:val="auto"/>
              </w:rPr>
            </w:pPr>
          </w:p>
        </w:tc>
      </w:tr>
      <w:tr>
        <w:trPr>
          <w:trHeight w:val="198"/>
        </w:trPr>
        <w:tc>
          <w:tcPr>
            <w:tcW w:w="4920" w:type="dxa"/>
            <w:vAlign w:val="bottom"/>
          </w:tcPr>
          <w:p>
            <w:pPr>
              <w:ind w:left="140"/>
              <w:spacing w:after="0"/>
              <w:rPr>
                <w:sz w:val="20"/>
                <w:szCs w:val="20"/>
                <w:color w:val="auto"/>
              </w:rPr>
            </w:pPr>
            <w:r>
              <w:rPr>
                <w:rFonts w:ascii="Arial" w:cs="Arial" w:eastAsia="Arial" w:hAnsi="Arial"/>
                <w:sz w:val="15"/>
                <w:szCs w:val="15"/>
                <w:color w:val="auto"/>
              </w:rPr>
              <w:t>Stock-based compensation expense</w:t>
            </w:r>
          </w:p>
        </w:tc>
        <w:tc>
          <w:tcPr>
            <w:tcW w:w="240" w:type="dxa"/>
            <w:vAlign w:val="bottom"/>
          </w:tcPr>
          <w:p>
            <w:pPr>
              <w:spacing w:after="0"/>
              <w:rPr>
                <w:sz w:val="17"/>
                <w:szCs w:val="17"/>
                <w:color w:val="auto"/>
              </w:rPr>
            </w:pPr>
          </w:p>
        </w:tc>
        <w:tc>
          <w:tcPr>
            <w:tcW w:w="1780" w:type="dxa"/>
            <w:vAlign w:val="bottom"/>
          </w:tcPr>
          <w:p>
            <w:pPr>
              <w:jc w:val="right"/>
              <w:ind w:right="4"/>
              <w:spacing w:after="0"/>
              <w:rPr>
                <w:sz w:val="20"/>
                <w:szCs w:val="20"/>
                <w:color w:val="auto"/>
              </w:rPr>
            </w:pPr>
            <w:r>
              <w:rPr>
                <w:rFonts w:ascii="Arial" w:cs="Arial" w:eastAsia="Arial" w:hAnsi="Arial"/>
                <w:sz w:val="15"/>
                <w:szCs w:val="15"/>
                <w:color w:val="auto"/>
              </w:rPr>
              <w:t>1,739</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20" w:type="dxa"/>
            <w:vAlign w:val="bottom"/>
          </w:tcPr>
          <w:p>
            <w:pPr>
              <w:jc w:val="right"/>
              <w:spacing w:after="0"/>
              <w:rPr>
                <w:sz w:val="20"/>
                <w:szCs w:val="20"/>
                <w:color w:val="auto"/>
              </w:rPr>
            </w:pPr>
            <w:r>
              <w:rPr>
                <w:rFonts w:ascii="Arial" w:cs="Arial" w:eastAsia="Arial" w:hAnsi="Arial"/>
                <w:sz w:val="15"/>
                <w:szCs w:val="15"/>
                <w:color w:val="auto"/>
              </w:rPr>
              <w:t>1,624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20" w:type="dxa"/>
            <w:vAlign w:val="bottom"/>
          </w:tcPr>
          <w:p>
            <w:pPr>
              <w:jc w:val="right"/>
              <w:spacing w:after="0"/>
              <w:rPr>
                <w:sz w:val="20"/>
                <w:szCs w:val="20"/>
                <w:color w:val="auto"/>
              </w:rPr>
            </w:pPr>
            <w:r>
              <w:rPr>
                <w:rFonts w:ascii="Arial" w:cs="Arial" w:eastAsia="Arial" w:hAnsi="Arial"/>
                <w:sz w:val="15"/>
                <w:szCs w:val="15"/>
                <w:color w:val="auto"/>
              </w:rPr>
              <w:t>1,509</w:t>
            </w:r>
          </w:p>
        </w:tc>
        <w:tc>
          <w:tcPr>
            <w:tcW w:w="0" w:type="dxa"/>
            <w:vAlign w:val="bottom"/>
          </w:tcPr>
          <w:p>
            <w:pPr>
              <w:spacing w:after="0"/>
              <w:rPr>
                <w:sz w:val="1"/>
                <w:szCs w:val="1"/>
                <w:color w:val="auto"/>
              </w:rPr>
            </w:pPr>
          </w:p>
        </w:tc>
      </w:tr>
      <w:tr>
        <w:trPr>
          <w:trHeight w:val="206"/>
        </w:trPr>
        <w:tc>
          <w:tcPr>
            <w:tcW w:w="49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Intangible amortization</w:t>
            </w:r>
          </w:p>
        </w:tc>
        <w:tc>
          <w:tcPr>
            <w:tcW w:w="240" w:type="dxa"/>
            <w:vAlign w:val="bottom"/>
            <w:shd w:val="clear" w:color="auto" w:fill="CCEEFF"/>
          </w:tcPr>
          <w:p>
            <w:pPr>
              <w:spacing w:after="0"/>
              <w:rPr>
                <w:sz w:val="17"/>
                <w:szCs w:val="17"/>
                <w:color w:val="auto"/>
              </w:rPr>
            </w:pPr>
          </w:p>
        </w:tc>
        <w:tc>
          <w:tcPr>
            <w:tcW w:w="17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1,043</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1,042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407</w:t>
            </w:r>
          </w:p>
        </w:tc>
        <w:tc>
          <w:tcPr>
            <w:tcW w:w="0" w:type="dxa"/>
            <w:vAlign w:val="bottom"/>
          </w:tcPr>
          <w:p>
            <w:pPr>
              <w:spacing w:after="0"/>
              <w:rPr>
                <w:sz w:val="1"/>
                <w:szCs w:val="1"/>
                <w:color w:val="auto"/>
              </w:rPr>
            </w:pPr>
          </w:p>
        </w:tc>
      </w:tr>
      <w:tr>
        <w:trPr>
          <w:trHeight w:val="198"/>
        </w:trPr>
        <w:tc>
          <w:tcPr>
            <w:tcW w:w="4920" w:type="dxa"/>
            <w:vAlign w:val="bottom"/>
            <w:tcBorders>
              <w:bottom w:val="single" w:sz="8" w:color="CCEEFF"/>
            </w:tcBorders>
          </w:tcPr>
          <w:p>
            <w:pPr>
              <w:ind w:left="140"/>
              <w:spacing w:after="0"/>
              <w:rPr>
                <w:sz w:val="20"/>
                <w:szCs w:val="20"/>
                <w:color w:val="auto"/>
              </w:rPr>
            </w:pPr>
            <w:r>
              <w:rPr>
                <w:rFonts w:ascii="Arial" w:cs="Arial" w:eastAsia="Arial" w:hAnsi="Arial"/>
                <w:sz w:val="15"/>
                <w:szCs w:val="15"/>
                <w:color w:val="auto"/>
              </w:rPr>
              <w:t>Tax benefit from goodwill amortization</w:t>
            </w:r>
          </w:p>
        </w:tc>
        <w:tc>
          <w:tcPr>
            <w:tcW w:w="24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125</w:t>
            </w: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125</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59</w:t>
            </w:r>
          </w:p>
        </w:tc>
        <w:tc>
          <w:tcPr>
            <w:tcW w:w="0" w:type="dxa"/>
            <w:vAlign w:val="bottom"/>
          </w:tcPr>
          <w:p>
            <w:pPr>
              <w:spacing w:after="0"/>
              <w:rPr>
                <w:sz w:val="1"/>
                <w:szCs w:val="1"/>
                <w:color w:val="auto"/>
              </w:rPr>
            </w:pPr>
          </w:p>
        </w:tc>
      </w:tr>
      <w:tr>
        <w:trPr>
          <w:trHeight w:val="225"/>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Economic Earnings</w:t>
            </w:r>
          </w:p>
        </w:tc>
        <w:tc>
          <w:tcPr>
            <w:tcW w:w="24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17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6,263</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5,686</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800</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5"/>
                <w:szCs w:val="15"/>
                <w:b w:val="1"/>
                <w:bCs w:val="1"/>
                <w:color w:val="auto"/>
              </w:rPr>
              <w:t>Earnings (loss) per share</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4920" w:type="dxa"/>
            <w:vAlign w:val="bottom"/>
            <w:vMerge w:val="continue"/>
          </w:tcPr>
          <w:p>
            <w:pPr>
              <w:spacing w:after="0"/>
              <w:rPr>
                <w:sz w:val="15"/>
                <w:szCs w:val="15"/>
                <w:color w:val="auto"/>
              </w:rPr>
            </w:pPr>
          </w:p>
        </w:tc>
        <w:tc>
          <w:tcPr>
            <w:tcW w:w="240" w:type="dxa"/>
            <w:vAlign w:val="bottom"/>
          </w:tcPr>
          <w:p>
            <w:pPr>
              <w:jc w:val="right"/>
              <w:ind w:right="64"/>
              <w:spacing w:after="0"/>
              <w:rPr>
                <w:sz w:val="20"/>
                <w:szCs w:val="20"/>
                <w:color w:val="auto"/>
              </w:rPr>
            </w:pPr>
            <w:r>
              <w:rPr>
                <w:rFonts w:ascii="Arial" w:cs="Arial" w:eastAsia="Arial" w:hAnsi="Arial"/>
                <w:sz w:val="15"/>
                <w:szCs w:val="15"/>
                <w:color w:val="auto"/>
                <w:w w:val="95"/>
              </w:rPr>
              <w:t>$</w:t>
            </w:r>
          </w:p>
        </w:tc>
        <w:tc>
          <w:tcPr>
            <w:tcW w:w="1780" w:type="dxa"/>
            <w:vAlign w:val="bottom"/>
          </w:tcPr>
          <w:p>
            <w:pPr>
              <w:jc w:val="right"/>
              <w:ind w:right="4"/>
              <w:spacing w:after="0"/>
              <w:rPr>
                <w:sz w:val="20"/>
                <w:szCs w:val="20"/>
                <w:color w:val="auto"/>
              </w:rPr>
            </w:pPr>
            <w:r>
              <w:rPr>
                <w:rFonts w:ascii="Arial" w:cs="Arial" w:eastAsia="Arial" w:hAnsi="Arial"/>
                <w:sz w:val="15"/>
                <w:szCs w:val="15"/>
                <w:color w:val="auto"/>
              </w:rPr>
              <w:t>0.41</w:t>
            </w:r>
          </w:p>
        </w:tc>
        <w:tc>
          <w:tcPr>
            <w:tcW w:w="80" w:type="dxa"/>
            <w:vAlign w:val="bottom"/>
          </w:tcPr>
          <w:p>
            <w:pPr>
              <w:spacing w:after="0"/>
              <w:rPr>
                <w:sz w:val="15"/>
                <w:szCs w:val="15"/>
                <w:color w:val="auto"/>
              </w:rPr>
            </w:pPr>
          </w:p>
        </w:tc>
        <w:tc>
          <w:tcPr>
            <w:tcW w:w="240" w:type="dxa"/>
            <w:vAlign w:val="bottom"/>
          </w:tcPr>
          <w:p>
            <w:pPr>
              <w:jc w:val="right"/>
              <w:ind w:right="64"/>
              <w:spacing w:after="0"/>
              <w:rPr>
                <w:sz w:val="20"/>
                <w:szCs w:val="20"/>
                <w:color w:val="auto"/>
              </w:rPr>
            </w:pPr>
            <w:r>
              <w:rPr>
                <w:rFonts w:ascii="Arial" w:cs="Arial" w:eastAsia="Arial" w:hAnsi="Arial"/>
                <w:sz w:val="15"/>
                <w:szCs w:val="15"/>
                <w:color w:val="auto"/>
                <w:w w:val="95"/>
              </w:rPr>
              <w:t>$</w:t>
            </w:r>
          </w:p>
        </w:tc>
        <w:tc>
          <w:tcPr>
            <w:tcW w:w="1820" w:type="dxa"/>
            <w:vAlign w:val="bottom"/>
          </w:tcPr>
          <w:p>
            <w:pPr>
              <w:jc w:val="right"/>
              <w:spacing w:after="0"/>
              <w:rPr>
                <w:sz w:val="20"/>
                <w:szCs w:val="20"/>
                <w:color w:val="auto"/>
              </w:rPr>
            </w:pPr>
            <w:r>
              <w:rPr>
                <w:rFonts w:ascii="Arial" w:cs="Arial" w:eastAsia="Arial" w:hAnsi="Arial"/>
                <w:sz w:val="15"/>
                <w:szCs w:val="15"/>
                <w:color w:val="auto"/>
              </w:rPr>
              <w:t>0.36</w:t>
            </w:r>
          </w:p>
        </w:tc>
        <w:tc>
          <w:tcPr>
            <w:tcW w:w="100" w:type="dxa"/>
            <w:vAlign w:val="bottom"/>
          </w:tcPr>
          <w:p>
            <w:pPr>
              <w:spacing w:after="0"/>
              <w:rPr>
                <w:sz w:val="15"/>
                <w:szCs w:val="15"/>
                <w:color w:val="auto"/>
              </w:rPr>
            </w:pPr>
          </w:p>
        </w:tc>
        <w:tc>
          <w:tcPr>
            <w:tcW w:w="240" w:type="dxa"/>
            <w:vAlign w:val="bottom"/>
          </w:tcPr>
          <w:p>
            <w:pPr>
              <w:jc w:val="right"/>
              <w:ind w:right="64"/>
              <w:spacing w:after="0"/>
              <w:rPr>
                <w:sz w:val="20"/>
                <w:szCs w:val="20"/>
                <w:color w:val="auto"/>
              </w:rPr>
            </w:pPr>
            <w:r>
              <w:rPr>
                <w:rFonts w:ascii="Arial" w:cs="Arial" w:eastAsia="Arial" w:hAnsi="Arial"/>
                <w:sz w:val="15"/>
                <w:szCs w:val="15"/>
                <w:color w:val="auto"/>
                <w:w w:val="95"/>
              </w:rPr>
              <w:t>$</w:t>
            </w:r>
          </w:p>
        </w:tc>
        <w:tc>
          <w:tcPr>
            <w:tcW w:w="1820" w:type="dxa"/>
            <w:vAlign w:val="bottom"/>
          </w:tcPr>
          <w:p>
            <w:pPr>
              <w:jc w:val="right"/>
              <w:spacing w:after="0"/>
              <w:rPr>
                <w:sz w:val="20"/>
                <w:szCs w:val="20"/>
                <w:color w:val="auto"/>
              </w:rPr>
            </w:pPr>
            <w:r>
              <w:rPr>
                <w:rFonts w:ascii="Arial" w:cs="Arial" w:eastAsia="Arial" w:hAnsi="Arial"/>
                <w:sz w:val="15"/>
                <w:szCs w:val="15"/>
                <w:color w:val="auto"/>
              </w:rPr>
              <w:t>(0.15)</w:t>
            </w:r>
          </w:p>
        </w:tc>
        <w:tc>
          <w:tcPr>
            <w:tcW w:w="0" w:type="dxa"/>
            <w:vAlign w:val="bottom"/>
          </w:tcPr>
          <w:p>
            <w:pPr>
              <w:spacing w:after="0"/>
              <w:rPr>
                <w:sz w:val="1"/>
                <w:szCs w:val="1"/>
                <w:color w:val="auto"/>
              </w:rPr>
            </w:pPr>
          </w:p>
        </w:tc>
      </w:tr>
      <w:tr>
        <w:trPr>
          <w:trHeight w:val="207"/>
        </w:trPr>
        <w:tc>
          <w:tcPr>
            <w:tcW w:w="49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Stock-based compensation expense</w:t>
            </w:r>
          </w:p>
        </w:tc>
        <w:tc>
          <w:tcPr>
            <w:tcW w:w="240" w:type="dxa"/>
            <w:vAlign w:val="bottom"/>
            <w:shd w:val="clear" w:color="auto" w:fill="CCEEFF"/>
          </w:tcPr>
          <w:p>
            <w:pPr>
              <w:spacing w:after="0"/>
              <w:rPr>
                <w:sz w:val="17"/>
                <w:szCs w:val="17"/>
                <w:color w:val="auto"/>
              </w:rPr>
            </w:pPr>
          </w:p>
        </w:tc>
        <w:tc>
          <w:tcPr>
            <w:tcW w:w="17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0.21</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0.19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0.19</w:t>
            </w:r>
          </w:p>
        </w:tc>
        <w:tc>
          <w:tcPr>
            <w:tcW w:w="0" w:type="dxa"/>
            <w:vAlign w:val="bottom"/>
          </w:tcPr>
          <w:p>
            <w:pPr>
              <w:spacing w:after="0"/>
              <w:rPr>
                <w:sz w:val="1"/>
                <w:szCs w:val="1"/>
                <w:color w:val="auto"/>
              </w:rPr>
            </w:pPr>
          </w:p>
        </w:tc>
      </w:tr>
      <w:tr>
        <w:trPr>
          <w:trHeight w:val="198"/>
        </w:trPr>
        <w:tc>
          <w:tcPr>
            <w:tcW w:w="4920" w:type="dxa"/>
            <w:vAlign w:val="bottom"/>
          </w:tcPr>
          <w:p>
            <w:pPr>
              <w:ind w:left="140"/>
              <w:spacing w:after="0"/>
              <w:rPr>
                <w:sz w:val="20"/>
                <w:szCs w:val="20"/>
                <w:color w:val="auto"/>
              </w:rPr>
            </w:pPr>
            <w:r>
              <w:rPr>
                <w:rFonts w:ascii="Arial" w:cs="Arial" w:eastAsia="Arial" w:hAnsi="Arial"/>
                <w:sz w:val="15"/>
                <w:szCs w:val="15"/>
                <w:color w:val="auto"/>
              </w:rPr>
              <w:t>Intangible amortization</w:t>
            </w:r>
          </w:p>
        </w:tc>
        <w:tc>
          <w:tcPr>
            <w:tcW w:w="240" w:type="dxa"/>
            <w:vAlign w:val="bottom"/>
          </w:tcPr>
          <w:p>
            <w:pPr>
              <w:spacing w:after="0"/>
              <w:rPr>
                <w:sz w:val="17"/>
                <w:szCs w:val="17"/>
                <w:color w:val="auto"/>
              </w:rPr>
            </w:pPr>
          </w:p>
        </w:tc>
        <w:tc>
          <w:tcPr>
            <w:tcW w:w="1780" w:type="dxa"/>
            <w:vAlign w:val="bottom"/>
          </w:tcPr>
          <w:p>
            <w:pPr>
              <w:jc w:val="right"/>
              <w:ind w:right="4"/>
              <w:spacing w:after="0"/>
              <w:rPr>
                <w:sz w:val="20"/>
                <w:szCs w:val="20"/>
                <w:color w:val="auto"/>
              </w:rPr>
            </w:pPr>
            <w:r>
              <w:rPr>
                <w:rFonts w:ascii="Arial" w:cs="Arial" w:eastAsia="Arial" w:hAnsi="Arial"/>
                <w:sz w:val="15"/>
                <w:szCs w:val="15"/>
                <w:color w:val="auto"/>
              </w:rPr>
              <w:t>0.13</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20" w:type="dxa"/>
            <w:vAlign w:val="bottom"/>
          </w:tcPr>
          <w:p>
            <w:pPr>
              <w:jc w:val="right"/>
              <w:spacing w:after="0"/>
              <w:rPr>
                <w:sz w:val="20"/>
                <w:szCs w:val="20"/>
                <w:color w:val="auto"/>
              </w:rPr>
            </w:pPr>
            <w:r>
              <w:rPr>
                <w:rFonts w:ascii="Arial" w:cs="Arial" w:eastAsia="Arial" w:hAnsi="Arial"/>
                <w:sz w:val="15"/>
                <w:szCs w:val="15"/>
                <w:color w:val="auto"/>
              </w:rPr>
              <w:t>0.13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20" w:type="dxa"/>
            <w:vAlign w:val="bottom"/>
          </w:tcPr>
          <w:p>
            <w:pPr>
              <w:jc w:val="right"/>
              <w:spacing w:after="0"/>
              <w:rPr>
                <w:sz w:val="20"/>
                <w:szCs w:val="20"/>
                <w:color w:val="auto"/>
              </w:rPr>
            </w:pPr>
            <w:r>
              <w:rPr>
                <w:rFonts w:ascii="Arial" w:cs="Arial" w:eastAsia="Arial" w:hAnsi="Arial"/>
                <w:sz w:val="15"/>
                <w:szCs w:val="15"/>
                <w:color w:val="auto"/>
              </w:rPr>
              <w:t>0.05</w:t>
            </w:r>
          </w:p>
        </w:tc>
        <w:tc>
          <w:tcPr>
            <w:tcW w:w="0" w:type="dxa"/>
            <w:vAlign w:val="bottom"/>
          </w:tcPr>
          <w:p>
            <w:pPr>
              <w:spacing w:after="0"/>
              <w:rPr>
                <w:sz w:val="1"/>
                <w:szCs w:val="1"/>
                <w:color w:val="auto"/>
              </w:rPr>
            </w:pPr>
          </w:p>
        </w:tc>
      </w:tr>
      <w:tr>
        <w:trPr>
          <w:trHeight w:val="203"/>
        </w:trPr>
        <w:tc>
          <w:tcPr>
            <w:tcW w:w="49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Tax benefit from goodwill amortization</w:t>
            </w:r>
          </w:p>
        </w:tc>
        <w:tc>
          <w:tcPr>
            <w:tcW w:w="240" w:type="dxa"/>
            <w:vAlign w:val="bottom"/>
            <w:tcBorders>
              <w:bottom w:val="single" w:sz="8" w:color="auto"/>
            </w:tcBorders>
            <w:shd w:val="clear" w:color="auto" w:fill="CCEEFF"/>
          </w:tcPr>
          <w:p>
            <w:pPr>
              <w:spacing w:after="0"/>
              <w:rPr>
                <w:sz w:val="17"/>
                <w:szCs w:val="17"/>
                <w:color w:val="auto"/>
              </w:rPr>
            </w:pPr>
          </w:p>
        </w:tc>
        <w:tc>
          <w:tcPr>
            <w:tcW w:w="17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0.02</w:t>
            </w:r>
          </w:p>
        </w:tc>
        <w:tc>
          <w:tcPr>
            <w:tcW w:w="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0.02</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0.01</w:t>
            </w:r>
          </w:p>
        </w:tc>
        <w:tc>
          <w:tcPr>
            <w:tcW w:w="0" w:type="dxa"/>
            <w:vAlign w:val="bottom"/>
          </w:tcPr>
          <w:p>
            <w:pPr>
              <w:spacing w:after="0"/>
              <w:rPr>
                <w:sz w:val="1"/>
                <w:szCs w:val="1"/>
                <w:color w:val="auto"/>
              </w:rPr>
            </w:pPr>
          </w:p>
        </w:tc>
      </w:tr>
      <w:tr>
        <w:trPr>
          <w:trHeight w:val="200"/>
        </w:trPr>
        <w:tc>
          <w:tcPr>
            <w:tcW w:w="4920" w:type="dxa"/>
            <w:vAlign w:val="bottom"/>
          </w:tcPr>
          <w:p>
            <w:pPr>
              <w:ind w:left="20"/>
              <w:spacing w:after="0"/>
              <w:rPr>
                <w:sz w:val="20"/>
                <w:szCs w:val="20"/>
                <w:color w:val="auto"/>
              </w:rPr>
            </w:pPr>
            <w:r>
              <w:rPr>
                <w:rFonts w:ascii="Arial" w:cs="Arial" w:eastAsia="Arial" w:hAnsi="Arial"/>
                <w:sz w:val="15"/>
                <w:szCs w:val="15"/>
                <w:b w:val="1"/>
                <w:bCs w:val="1"/>
                <w:color w:val="auto"/>
              </w:rPr>
              <w:t>Economic EPS</w:t>
            </w:r>
          </w:p>
        </w:tc>
        <w:tc>
          <w:tcPr>
            <w:tcW w:w="24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w w:val="95"/>
              </w:rPr>
              <w:t>$</w:t>
            </w:r>
          </w:p>
        </w:tc>
        <w:tc>
          <w:tcPr>
            <w:tcW w:w="17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0.77</w:t>
            </w:r>
          </w:p>
        </w:tc>
        <w:tc>
          <w:tcPr>
            <w:tcW w:w="80" w:type="dxa"/>
            <w:vAlign w:val="bottom"/>
          </w:tcPr>
          <w:p>
            <w:pPr>
              <w:spacing w:after="0"/>
              <w:rPr>
                <w:sz w:val="17"/>
                <w:szCs w:val="17"/>
                <w:color w:val="auto"/>
              </w:rPr>
            </w:pPr>
          </w:p>
        </w:tc>
        <w:tc>
          <w:tcPr>
            <w:tcW w:w="24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w w:val="95"/>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0.70</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w w:val="95"/>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0.10</w:t>
            </w:r>
          </w:p>
        </w:tc>
        <w:tc>
          <w:tcPr>
            <w:tcW w:w="0" w:type="dxa"/>
            <w:vAlign w:val="bottom"/>
          </w:tcPr>
          <w:p>
            <w:pPr>
              <w:spacing w:after="0"/>
              <w:rPr>
                <w:sz w:val="1"/>
                <w:szCs w:val="1"/>
                <w:color w:val="auto"/>
              </w:rPr>
            </w:pPr>
          </w:p>
        </w:tc>
      </w:tr>
      <w:tr>
        <w:trPr>
          <w:trHeight w:val="20"/>
        </w:trPr>
        <w:tc>
          <w:tcPr>
            <w:tcW w:w="49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920" w:type="dxa"/>
            <w:vAlign w:val="bottom"/>
            <w:shd w:val="clear" w:color="auto" w:fill="CCEEFF"/>
          </w:tcPr>
          <w:p>
            <w:pPr>
              <w:ind w:left="20"/>
              <w:spacing w:after="0"/>
              <w:rPr>
                <w:sz w:val="20"/>
                <w:szCs w:val="20"/>
                <w:color w:val="auto"/>
              </w:rPr>
            </w:pPr>
            <w:r>
              <w:rPr>
                <w:rFonts w:ascii="Arial" w:cs="Arial" w:eastAsia="Arial" w:hAnsi="Arial"/>
                <w:sz w:val="15"/>
                <w:szCs w:val="15"/>
                <w:color w:val="auto"/>
              </w:rPr>
              <w:t>Diluted weighted average shares</w:t>
            </w:r>
          </w:p>
        </w:tc>
        <w:tc>
          <w:tcPr>
            <w:tcW w:w="240" w:type="dxa"/>
            <w:vAlign w:val="bottom"/>
            <w:shd w:val="clear" w:color="auto" w:fill="CCEEFF"/>
          </w:tcPr>
          <w:p>
            <w:pPr>
              <w:spacing w:after="0"/>
              <w:rPr>
                <w:sz w:val="17"/>
                <w:szCs w:val="17"/>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8,116,747</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8,131,333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7,794,060</w:t>
            </w:r>
          </w:p>
        </w:tc>
        <w:tc>
          <w:tcPr>
            <w:tcW w:w="0" w:type="dxa"/>
            <w:vAlign w:val="bottom"/>
          </w:tcPr>
          <w:p>
            <w:pPr>
              <w:spacing w:after="0"/>
              <w:rPr>
                <w:sz w:val="1"/>
                <w:szCs w:val="1"/>
                <w:color w:val="auto"/>
              </w:rPr>
            </w:pPr>
          </w:p>
        </w:tc>
      </w:tr>
    </w:tbl>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0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980" w:type="dxa"/>
            <w:vAlign w:val="bottom"/>
            <w:tcBorders>
              <w:bottom w:val="single" w:sz="8" w:color="auto"/>
            </w:tcBorders>
            <w:gridSpan w:val="4"/>
          </w:tcPr>
          <w:p>
            <w:pPr>
              <w:jc w:val="right"/>
              <w:ind w:right="1384"/>
              <w:spacing w:after="0"/>
              <w:rPr>
                <w:sz w:val="20"/>
                <w:szCs w:val="20"/>
                <w:color w:val="auto"/>
              </w:rPr>
            </w:pPr>
            <w:r>
              <w:rPr>
                <w:rFonts w:ascii="Arial" w:cs="Arial" w:eastAsia="Arial" w:hAnsi="Arial"/>
                <w:sz w:val="15"/>
                <w:szCs w:val="15"/>
                <w:b w:val="1"/>
                <w:bCs w:val="1"/>
                <w:color w:val="auto"/>
              </w:rPr>
              <w:t>Nine Months Ended</w:t>
            </w:r>
          </w:p>
        </w:tc>
        <w:tc>
          <w:tcPr>
            <w:tcW w:w="0" w:type="dxa"/>
            <w:vAlign w:val="bottom"/>
          </w:tcPr>
          <w:p>
            <w:pPr>
              <w:spacing w:after="0"/>
              <w:rPr>
                <w:sz w:val="1"/>
                <w:szCs w:val="1"/>
                <w:color w:val="auto"/>
              </w:rPr>
            </w:pPr>
          </w:p>
        </w:tc>
      </w:tr>
      <w:tr>
        <w:trPr>
          <w:trHeight w:val="198"/>
        </w:trPr>
        <w:tc>
          <w:tcPr>
            <w:tcW w:w="7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20" w:type="dxa"/>
            <w:vAlign w:val="bottom"/>
            <w:gridSpan w:val="2"/>
          </w:tcPr>
          <w:p>
            <w:pPr>
              <w:ind w:left="160"/>
              <w:spacing w:after="0"/>
              <w:rPr>
                <w:sz w:val="20"/>
                <w:szCs w:val="20"/>
                <w:color w:val="auto"/>
              </w:rPr>
            </w:pPr>
            <w:r>
              <w:rPr>
                <w:rFonts w:ascii="Arial" w:cs="Arial" w:eastAsia="Arial" w:hAnsi="Arial"/>
                <w:sz w:val="15"/>
                <w:szCs w:val="15"/>
                <w:b w:val="1"/>
                <w:bCs w:val="1"/>
                <w:color w:val="auto"/>
              </w:rPr>
              <w:t>September 30, 2023</w:t>
            </w:r>
          </w:p>
        </w:tc>
        <w:tc>
          <w:tcPr>
            <w:tcW w:w="240" w:type="dxa"/>
            <w:vAlign w:val="bottom"/>
          </w:tcPr>
          <w:p>
            <w:pPr>
              <w:spacing w:after="0"/>
              <w:rPr>
                <w:sz w:val="17"/>
                <w:szCs w:val="17"/>
                <w:color w:val="auto"/>
              </w:rPr>
            </w:pPr>
          </w:p>
        </w:tc>
        <w:tc>
          <w:tcPr>
            <w:tcW w:w="1820" w:type="dxa"/>
            <w:vAlign w:val="bottom"/>
          </w:tcPr>
          <w:p>
            <w:pPr>
              <w:jc w:val="right"/>
              <w:ind w:right="304"/>
              <w:spacing w:after="0"/>
              <w:rPr>
                <w:sz w:val="20"/>
                <w:szCs w:val="20"/>
                <w:color w:val="auto"/>
              </w:rPr>
            </w:pPr>
            <w:r>
              <w:rPr>
                <w:rFonts w:ascii="Arial" w:cs="Arial" w:eastAsia="Arial" w:hAnsi="Arial"/>
                <w:sz w:val="15"/>
                <w:szCs w:val="15"/>
                <w:b w:val="1"/>
                <w:bCs w:val="1"/>
                <w:color w:val="auto"/>
              </w:rPr>
              <w:t>September 30, 2022</w:t>
            </w:r>
          </w:p>
        </w:tc>
        <w:tc>
          <w:tcPr>
            <w:tcW w:w="0" w:type="dxa"/>
            <w:vAlign w:val="bottom"/>
          </w:tcPr>
          <w:p>
            <w:pPr>
              <w:spacing w:after="0"/>
              <w:rPr>
                <w:sz w:val="1"/>
                <w:szCs w:val="1"/>
                <w:color w:val="auto"/>
              </w:rPr>
            </w:pPr>
          </w:p>
        </w:tc>
      </w:tr>
      <w:tr>
        <w:trPr>
          <w:trHeight w:val="131"/>
        </w:trPr>
        <w:tc>
          <w:tcPr>
            <w:tcW w:w="7020" w:type="dxa"/>
            <w:vAlign w:val="bottom"/>
            <w:tcBorders>
              <w:top w:val="single" w:sz="8" w:color="CCEEFF"/>
            </w:tcBorders>
            <w:shd w:val="clear" w:color="auto" w:fill="CCEEFF"/>
          </w:tcPr>
          <w:p>
            <w:pPr>
              <w:ind w:left="20"/>
              <w:spacing w:after="0" w:line="131" w:lineRule="exact"/>
              <w:rPr>
                <w:sz w:val="20"/>
                <w:szCs w:val="20"/>
                <w:color w:val="auto"/>
              </w:rPr>
            </w:pPr>
            <w:r>
              <w:rPr>
                <w:rFonts w:ascii="Arial" w:cs="Arial" w:eastAsia="Arial" w:hAnsi="Arial"/>
                <w:sz w:val="15"/>
                <w:szCs w:val="15"/>
                <w:b w:val="1"/>
                <w:bCs w:val="1"/>
                <w:color w:val="auto"/>
              </w:rPr>
              <w:t>Comprehensive income (loss) attributable to Westwood Holdings Group,</w:t>
            </w:r>
          </w:p>
        </w:tc>
        <w:tc>
          <w:tcPr>
            <w:tcW w:w="240" w:type="dxa"/>
            <w:vAlign w:val="bottom"/>
            <w:tcBorders>
              <w:top w:val="single" w:sz="8" w:color="auto"/>
            </w:tcBorders>
            <w:shd w:val="clear" w:color="auto" w:fill="CCEEFF"/>
          </w:tcPr>
          <w:p>
            <w:pPr>
              <w:spacing w:after="0"/>
              <w:rPr>
                <w:sz w:val="11"/>
                <w:szCs w:val="11"/>
                <w:color w:val="auto"/>
              </w:rPr>
            </w:pPr>
          </w:p>
        </w:tc>
        <w:tc>
          <w:tcPr>
            <w:tcW w:w="18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182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Inc.</w:t>
            </w:r>
          </w:p>
        </w:tc>
        <w:tc>
          <w:tcPr>
            <w:tcW w:w="24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6,944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(1,503)</w:t>
            </w:r>
          </w:p>
        </w:tc>
        <w:tc>
          <w:tcPr>
            <w:tcW w:w="0" w:type="dxa"/>
            <w:vAlign w:val="bottom"/>
          </w:tcPr>
          <w:p>
            <w:pPr>
              <w:spacing w:after="0"/>
              <w:rPr>
                <w:sz w:val="1"/>
                <w:szCs w:val="1"/>
                <w:color w:val="auto"/>
              </w:rPr>
            </w:pPr>
          </w:p>
        </w:tc>
      </w:tr>
      <w:tr>
        <w:trPr>
          <w:trHeight w:val="198"/>
        </w:trPr>
        <w:tc>
          <w:tcPr>
            <w:tcW w:w="7020" w:type="dxa"/>
            <w:vAlign w:val="bottom"/>
          </w:tcPr>
          <w:p>
            <w:pPr>
              <w:ind w:left="140"/>
              <w:spacing w:after="0"/>
              <w:rPr>
                <w:sz w:val="20"/>
                <w:szCs w:val="20"/>
                <w:color w:val="auto"/>
              </w:rPr>
            </w:pPr>
            <w:r>
              <w:rPr>
                <w:rFonts w:ascii="Arial" w:cs="Arial" w:eastAsia="Arial" w:hAnsi="Arial"/>
                <w:sz w:val="15"/>
                <w:szCs w:val="15"/>
                <w:color w:val="auto"/>
              </w:rPr>
              <w:t>Stock-based compensation expense</w:t>
            </w:r>
          </w:p>
        </w:tc>
        <w:tc>
          <w:tcPr>
            <w:tcW w:w="240" w:type="dxa"/>
            <w:vAlign w:val="bottom"/>
          </w:tcPr>
          <w:p>
            <w:pPr>
              <w:spacing w:after="0"/>
              <w:rPr>
                <w:sz w:val="17"/>
                <w:szCs w:val="17"/>
                <w:color w:val="auto"/>
              </w:rPr>
            </w:pPr>
          </w:p>
        </w:tc>
        <w:tc>
          <w:tcPr>
            <w:tcW w:w="1820" w:type="dxa"/>
            <w:vAlign w:val="bottom"/>
          </w:tcPr>
          <w:p>
            <w:pPr>
              <w:jc w:val="right"/>
              <w:spacing w:after="0"/>
              <w:rPr>
                <w:sz w:val="20"/>
                <w:szCs w:val="20"/>
                <w:color w:val="auto"/>
              </w:rPr>
            </w:pPr>
            <w:r>
              <w:rPr>
                <w:rFonts w:ascii="Arial" w:cs="Arial" w:eastAsia="Arial" w:hAnsi="Arial"/>
                <w:sz w:val="15"/>
                <w:szCs w:val="15"/>
                <w:color w:val="auto"/>
              </w:rPr>
              <w:t>5,111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20" w:type="dxa"/>
            <w:vAlign w:val="bottom"/>
          </w:tcPr>
          <w:p>
            <w:pPr>
              <w:jc w:val="right"/>
              <w:spacing w:after="0"/>
              <w:rPr>
                <w:sz w:val="20"/>
                <w:szCs w:val="20"/>
                <w:color w:val="auto"/>
              </w:rPr>
            </w:pPr>
            <w:r>
              <w:rPr>
                <w:rFonts w:ascii="Arial" w:cs="Arial" w:eastAsia="Arial" w:hAnsi="Arial"/>
                <w:sz w:val="15"/>
                <w:szCs w:val="15"/>
                <w:color w:val="auto"/>
              </w:rPr>
              <w:t>4,410</w:t>
            </w:r>
          </w:p>
        </w:tc>
        <w:tc>
          <w:tcPr>
            <w:tcW w:w="0" w:type="dxa"/>
            <w:vAlign w:val="bottom"/>
          </w:tcPr>
          <w:p>
            <w:pPr>
              <w:spacing w:after="0"/>
              <w:rPr>
                <w:sz w:val="1"/>
                <w:szCs w:val="1"/>
                <w:color w:val="auto"/>
              </w:rPr>
            </w:pPr>
          </w:p>
        </w:tc>
      </w:tr>
      <w:tr>
        <w:trPr>
          <w:trHeight w:val="207"/>
        </w:trPr>
        <w:tc>
          <w:tcPr>
            <w:tcW w:w="70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Intangible amortization</w:t>
            </w:r>
          </w:p>
        </w:tc>
        <w:tc>
          <w:tcPr>
            <w:tcW w:w="240" w:type="dxa"/>
            <w:vAlign w:val="bottom"/>
            <w:shd w:val="clear" w:color="auto" w:fill="CCEEFF"/>
          </w:tcPr>
          <w:p>
            <w:pPr>
              <w:spacing w:after="0"/>
              <w:rPr>
                <w:sz w:val="17"/>
                <w:szCs w:val="17"/>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3,106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1,218</w:t>
            </w:r>
          </w:p>
        </w:tc>
        <w:tc>
          <w:tcPr>
            <w:tcW w:w="0" w:type="dxa"/>
            <w:vAlign w:val="bottom"/>
          </w:tcPr>
          <w:p>
            <w:pPr>
              <w:spacing w:after="0"/>
              <w:rPr>
                <w:sz w:val="1"/>
                <w:szCs w:val="1"/>
                <w:color w:val="auto"/>
              </w:rPr>
            </w:pPr>
          </w:p>
        </w:tc>
      </w:tr>
      <w:tr>
        <w:trPr>
          <w:trHeight w:val="198"/>
        </w:trPr>
        <w:tc>
          <w:tcPr>
            <w:tcW w:w="7020" w:type="dxa"/>
            <w:vAlign w:val="bottom"/>
            <w:tcBorders>
              <w:bottom w:val="single" w:sz="8" w:color="CCEEFF"/>
            </w:tcBorders>
          </w:tcPr>
          <w:p>
            <w:pPr>
              <w:ind w:left="140"/>
              <w:spacing w:after="0"/>
              <w:rPr>
                <w:sz w:val="20"/>
                <w:szCs w:val="20"/>
                <w:color w:val="auto"/>
              </w:rPr>
            </w:pPr>
            <w:r>
              <w:rPr>
                <w:rFonts w:ascii="Arial" w:cs="Arial" w:eastAsia="Arial" w:hAnsi="Arial"/>
                <w:sz w:val="15"/>
                <w:szCs w:val="15"/>
                <w:color w:val="auto"/>
              </w:rPr>
              <w:t>Tax benefit from goodwill amortization</w:t>
            </w:r>
          </w:p>
        </w:tc>
        <w:tc>
          <w:tcPr>
            <w:tcW w:w="24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375</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177</w:t>
            </w:r>
          </w:p>
        </w:tc>
        <w:tc>
          <w:tcPr>
            <w:tcW w:w="0" w:type="dxa"/>
            <w:vAlign w:val="bottom"/>
          </w:tcPr>
          <w:p>
            <w:pPr>
              <w:spacing w:after="0"/>
              <w:rPr>
                <w:sz w:val="1"/>
                <w:szCs w:val="1"/>
                <w:color w:val="auto"/>
              </w:rPr>
            </w:pPr>
          </w:p>
        </w:tc>
      </w:tr>
      <w:tr>
        <w:trPr>
          <w:trHeight w:val="225"/>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Economic Earnings</w:t>
            </w:r>
          </w:p>
        </w:tc>
        <w:tc>
          <w:tcPr>
            <w:tcW w:w="24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15,536</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4,302</w:t>
            </w:r>
          </w:p>
        </w:tc>
        <w:tc>
          <w:tcPr>
            <w:tcW w:w="0" w:type="dxa"/>
            <w:vAlign w:val="bottom"/>
          </w:tcPr>
          <w:p>
            <w:pPr>
              <w:spacing w:after="0"/>
              <w:rPr>
                <w:sz w:val="1"/>
                <w:szCs w:val="1"/>
                <w:color w:val="auto"/>
              </w:rPr>
            </w:pPr>
          </w:p>
        </w:tc>
      </w:tr>
      <w:tr>
        <w:trPr>
          <w:trHeight w:val="20"/>
        </w:trPr>
        <w:tc>
          <w:tcPr>
            <w:tcW w:w="70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5"/>
                <w:szCs w:val="15"/>
                <w:b w:val="1"/>
                <w:bCs w:val="1"/>
                <w:color w:val="auto"/>
              </w:rPr>
              <w:t>Earnings (loss) per share</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7020" w:type="dxa"/>
            <w:vAlign w:val="bottom"/>
            <w:vMerge w:val="continue"/>
          </w:tcPr>
          <w:p>
            <w:pPr>
              <w:spacing w:after="0"/>
              <w:rPr>
                <w:sz w:val="15"/>
                <w:szCs w:val="15"/>
                <w:color w:val="auto"/>
              </w:rPr>
            </w:pPr>
          </w:p>
        </w:tc>
        <w:tc>
          <w:tcPr>
            <w:tcW w:w="240" w:type="dxa"/>
            <w:vAlign w:val="bottom"/>
          </w:tcPr>
          <w:p>
            <w:pPr>
              <w:jc w:val="right"/>
              <w:ind w:right="64"/>
              <w:spacing w:after="0"/>
              <w:rPr>
                <w:sz w:val="20"/>
                <w:szCs w:val="20"/>
                <w:color w:val="auto"/>
              </w:rPr>
            </w:pPr>
            <w:r>
              <w:rPr>
                <w:rFonts w:ascii="Arial" w:cs="Arial" w:eastAsia="Arial" w:hAnsi="Arial"/>
                <w:sz w:val="15"/>
                <w:szCs w:val="15"/>
                <w:color w:val="auto"/>
                <w:w w:val="95"/>
              </w:rPr>
              <w:t>$</w:t>
            </w:r>
          </w:p>
        </w:tc>
        <w:tc>
          <w:tcPr>
            <w:tcW w:w="1820" w:type="dxa"/>
            <w:vAlign w:val="bottom"/>
          </w:tcPr>
          <w:p>
            <w:pPr>
              <w:jc w:val="right"/>
              <w:spacing w:after="0"/>
              <w:rPr>
                <w:sz w:val="20"/>
                <w:szCs w:val="20"/>
                <w:color w:val="auto"/>
              </w:rPr>
            </w:pPr>
            <w:r>
              <w:rPr>
                <w:rFonts w:ascii="Arial" w:cs="Arial" w:eastAsia="Arial" w:hAnsi="Arial"/>
                <w:sz w:val="15"/>
                <w:szCs w:val="15"/>
                <w:color w:val="auto"/>
              </w:rPr>
              <w:t>0.86</w:t>
            </w:r>
          </w:p>
        </w:tc>
        <w:tc>
          <w:tcPr>
            <w:tcW w:w="100" w:type="dxa"/>
            <w:vAlign w:val="bottom"/>
          </w:tcPr>
          <w:p>
            <w:pPr>
              <w:spacing w:after="0"/>
              <w:rPr>
                <w:sz w:val="15"/>
                <w:szCs w:val="15"/>
                <w:color w:val="auto"/>
              </w:rPr>
            </w:pPr>
          </w:p>
        </w:tc>
        <w:tc>
          <w:tcPr>
            <w:tcW w:w="240" w:type="dxa"/>
            <w:vAlign w:val="bottom"/>
          </w:tcPr>
          <w:p>
            <w:pPr>
              <w:jc w:val="right"/>
              <w:ind w:right="64"/>
              <w:spacing w:after="0"/>
              <w:rPr>
                <w:sz w:val="20"/>
                <w:szCs w:val="20"/>
                <w:color w:val="auto"/>
              </w:rPr>
            </w:pPr>
            <w:r>
              <w:rPr>
                <w:rFonts w:ascii="Arial" w:cs="Arial" w:eastAsia="Arial" w:hAnsi="Arial"/>
                <w:sz w:val="15"/>
                <w:szCs w:val="15"/>
                <w:color w:val="auto"/>
                <w:w w:val="95"/>
              </w:rPr>
              <w:t>$</w:t>
            </w:r>
          </w:p>
        </w:tc>
        <w:tc>
          <w:tcPr>
            <w:tcW w:w="1820" w:type="dxa"/>
            <w:vAlign w:val="bottom"/>
          </w:tcPr>
          <w:p>
            <w:pPr>
              <w:jc w:val="right"/>
              <w:spacing w:after="0"/>
              <w:rPr>
                <w:sz w:val="20"/>
                <w:szCs w:val="20"/>
                <w:color w:val="auto"/>
              </w:rPr>
            </w:pPr>
            <w:r>
              <w:rPr>
                <w:rFonts w:ascii="Arial" w:cs="Arial" w:eastAsia="Arial" w:hAnsi="Arial"/>
                <w:sz w:val="15"/>
                <w:szCs w:val="15"/>
                <w:color w:val="auto"/>
              </w:rPr>
              <w:t>(0.19)</w:t>
            </w:r>
          </w:p>
        </w:tc>
        <w:tc>
          <w:tcPr>
            <w:tcW w:w="0" w:type="dxa"/>
            <w:vAlign w:val="bottom"/>
          </w:tcPr>
          <w:p>
            <w:pPr>
              <w:spacing w:after="0"/>
              <w:rPr>
                <w:sz w:val="1"/>
                <w:szCs w:val="1"/>
                <w:color w:val="auto"/>
              </w:rPr>
            </w:pPr>
          </w:p>
        </w:tc>
      </w:tr>
      <w:tr>
        <w:trPr>
          <w:trHeight w:val="207"/>
        </w:trPr>
        <w:tc>
          <w:tcPr>
            <w:tcW w:w="70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Stock-based compensation expense</w:t>
            </w:r>
          </w:p>
        </w:tc>
        <w:tc>
          <w:tcPr>
            <w:tcW w:w="240" w:type="dxa"/>
            <w:vAlign w:val="bottom"/>
            <w:shd w:val="clear" w:color="auto" w:fill="CCEEFF"/>
          </w:tcPr>
          <w:p>
            <w:pPr>
              <w:spacing w:after="0"/>
              <w:rPr>
                <w:sz w:val="17"/>
                <w:szCs w:val="17"/>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0.63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0.57</w:t>
            </w:r>
          </w:p>
        </w:tc>
        <w:tc>
          <w:tcPr>
            <w:tcW w:w="0" w:type="dxa"/>
            <w:vAlign w:val="bottom"/>
          </w:tcPr>
          <w:p>
            <w:pPr>
              <w:spacing w:after="0"/>
              <w:rPr>
                <w:sz w:val="1"/>
                <w:szCs w:val="1"/>
                <w:color w:val="auto"/>
              </w:rPr>
            </w:pPr>
          </w:p>
        </w:tc>
      </w:tr>
      <w:tr>
        <w:trPr>
          <w:trHeight w:val="198"/>
        </w:trPr>
        <w:tc>
          <w:tcPr>
            <w:tcW w:w="7020" w:type="dxa"/>
            <w:vAlign w:val="bottom"/>
          </w:tcPr>
          <w:p>
            <w:pPr>
              <w:ind w:left="140"/>
              <w:spacing w:after="0"/>
              <w:rPr>
                <w:sz w:val="20"/>
                <w:szCs w:val="20"/>
                <w:color w:val="auto"/>
              </w:rPr>
            </w:pPr>
            <w:r>
              <w:rPr>
                <w:rFonts w:ascii="Arial" w:cs="Arial" w:eastAsia="Arial" w:hAnsi="Arial"/>
                <w:sz w:val="15"/>
                <w:szCs w:val="15"/>
                <w:color w:val="auto"/>
              </w:rPr>
              <w:t>Intangible amortization</w:t>
            </w:r>
          </w:p>
        </w:tc>
        <w:tc>
          <w:tcPr>
            <w:tcW w:w="240" w:type="dxa"/>
            <w:vAlign w:val="bottom"/>
          </w:tcPr>
          <w:p>
            <w:pPr>
              <w:spacing w:after="0"/>
              <w:rPr>
                <w:sz w:val="17"/>
                <w:szCs w:val="17"/>
                <w:color w:val="auto"/>
              </w:rPr>
            </w:pPr>
          </w:p>
        </w:tc>
        <w:tc>
          <w:tcPr>
            <w:tcW w:w="1820" w:type="dxa"/>
            <w:vAlign w:val="bottom"/>
          </w:tcPr>
          <w:p>
            <w:pPr>
              <w:jc w:val="right"/>
              <w:spacing w:after="0"/>
              <w:rPr>
                <w:sz w:val="20"/>
                <w:szCs w:val="20"/>
                <w:color w:val="auto"/>
              </w:rPr>
            </w:pPr>
            <w:r>
              <w:rPr>
                <w:rFonts w:ascii="Arial" w:cs="Arial" w:eastAsia="Arial" w:hAnsi="Arial"/>
                <w:sz w:val="15"/>
                <w:szCs w:val="15"/>
                <w:color w:val="auto"/>
              </w:rPr>
              <w:t>0.38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20" w:type="dxa"/>
            <w:vAlign w:val="bottom"/>
          </w:tcPr>
          <w:p>
            <w:pPr>
              <w:jc w:val="right"/>
              <w:spacing w:after="0"/>
              <w:rPr>
                <w:sz w:val="20"/>
                <w:szCs w:val="20"/>
                <w:color w:val="auto"/>
              </w:rPr>
            </w:pPr>
            <w:r>
              <w:rPr>
                <w:rFonts w:ascii="Arial" w:cs="Arial" w:eastAsia="Arial" w:hAnsi="Arial"/>
                <w:sz w:val="15"/>
                <w:szCs w:val="15"/>
                <w:color w:val="auto"/>
              </w:rPr>
              <w:t>0.15</w:t>
            </w:r>
          </w:p>
        </w:tc>
        <w:tc>
          <w:tcPr>
            <w:tcW w:w="0" w:type="dxa"/>
            <w:vAlign w:val="bottom"/>
          </w:tcPr>
          <w:p>
            <w:pPr>
              <w:spacing w:after="0"/>
              <w:rPr>
                <w:sz w:val="1"/>
                <w:szCs w:val="1"/>
                <w:color w:val="auto"/>
              </w:rPr>
            </w:pPr>
          </w:p>
        </w:tc>
      </w:tr>
      <w:tr>
        <w:trPr>
          <w:trHeight w:val="203"/>
        </w:trPr>
        <w:tc>
          <w:tcPr>
            <w:tcW w:w="70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Tax benefit from goodwill amortization</w:t>
            </w:r>
          </w:p>
        </w:tc>
        <w:tc>
          <w:tcPr>
            <w:tcW w:w="240" w:type="dxa"/>
            <w:vAlign w:val="bottom"/>
            <w:tcBorders>
              <w:bottom w:val="single" w:sz="8" w:color="auto"/>
            </w:tcBorders>
            <w:shd w:val="clear" w:color="auto" w:fill="CCEEFF"/>
          </w:tcPr>
          <w:p>
            <w:pPr>
              <w:spacing w:after="0"/>
              <w:rPr>
                <w:sz w:val="17"/>
                <w:szCs w:val="17"/>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0.05</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0.02</w:t>
            </w:r>
          </w:p>
        </w:tc>
        <w:tc>
          <w:tcPr>
            <w:tcW w:w="0" w:type="dxa"/>
            <w:vAlign w:val="bottom"/>
          </w:tcPr>
          <w:p>
            <w:pPr>
              <w:spacing w:after="0"/>
              <w:rPr>
                <w:sz w:val="1"/>
                <w:szCs w:val="1"/>
                <w:color w:val="auto"/>
              </w:rPr>
            </w:pPr>
          </w:p>
        </w:tc>
      </w:tr>
      <w:tr>
        <w:trPr>
          <w:trHeight w:val="200"/>
        </w:trPr>
        <w:tc>
          <w:tcPr>
            <w:tcW w:w="7020" w:type="dxa"/>
            <w:vAlign w:val="bottom"/>
          </w:tcPr>
          <w:p>
            <w:pPr>
              <w:ind w:left="20"/>
              <w:spacing w:after="0"/>
              <w:rPr>
                <w:sz w:val="20"/>
                <w:szCs w:val="20"/>
                <w:color w:val="auto"/>
              </w:rPr>
            </w:pPr>
            <w:r>
              <w:rPr>
                <w:rFonts w:ascii="Arial" w:cs="Arial" w:eastAsia="Arial" w:hAnsi="Arial"/>
                <w:sz w:val="15"/>
                <w:szCs w:val="15"/>
                <w:b w:val="1"/>
                <w:bCs w:val="1"/>
                <w:color w:val="auto"/>
              </w:rPr>
              <w:t>Economic EPS</w:t>
            </w:r>
          </w:p>
        </w:tc>
        <w:tc>
          <w:tcPr>
            <w:tcW w:w="24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w w:val="95"/>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1.92</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w w:val="95"/>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0.55</w:t>
            </w:r>
          </w:p>
        </w:tc>
        <w:tc>
          <w:tcPr>
            <w:tcW w:w="0" w:type="dxa"/>
            <w:vAlign w:val="bottom"/>
          </w:tcPr>
          <w:p>
            <w:pPr>
              <w:spacing w:after="0"/>
              <w:rPr>
                <w:sz w:val="1"/>
                <w:szCs w:val="1"/>
                <w:color w:val="auto"/>
              </w:rPr>
            </w:pPr>
          </w:p>
        </w:tc>
      </w:tr>
      <w:tr>
        <w:trPr>
          <w:trHeight w:val="20"/>
        </w:trPr>
        <w:tc>
          <w:tcPr>
            <w:tcW w:w="70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020" w:type="dxa"/>
            <w:vAlign w:val="bottom"/>
            <w:shd w:val="clear" w:color="auto" w:fill="CCEEFF"/>
          </w:tcPr>
          <w:p>
            <w:pPr>
              <w:ind w:left="20"/>
              <w:spacing w:after="0"/>
              <w:rPr>
                <w:sz w:val="20"/>
                <w:szCs w:val="20"/>
                <w:color w:val="auto"/>
              </w:rPr>
            </w:pPr>
            <w:r>
              <w:rPr>
                <w:rFonts w:ascii="Arial" w:cs="Arial" w:eastAsia="Arial" w:hAnsi="Arial"/>
                <w:sz w:val="15"/>
                <w:szCs w:val="15"/>
                <w:color w:val="auto"/>
              </w:rPr>
              <w:t>Diluted weighted average shares</w:t>
            </w:r>
          </w:p>
        </w:tc>
        <w:tc>
          <w:tcPr>
            <w:tcW w:w="240" w:type="dxa"/>
            <w:vAlign w:val="bottom"/>
            <w:shd w:val="clear" w:color="auto" w:fill="CCEEFF"/>
          </w:tcPr>
          <w:p>
            <w:pPr>
              <w:spacing w:after="0"/>
              <w:rPr>
                <w:sz w:val="17"/>
                <w:szCs w:val="17"/>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8,072,739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7,867,555</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88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2023-10-31T15:22:17Z</dcterms:created>
  <dcterms:modified xsi:type="dcterms:W3CDTF">2023-10-31T15:22:17Z</dcterms:modified>
</cp:coreProperties>
</file>