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2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4" w:lineRule="exact"/>
        <w:rPr>
          <w:sz w:val="24"/>
          <w:szCs w:val="24"/>
          <w:color w:val="auto"/>
        </w:rPr>
      </w:pPr>
    </w:p>
    <w:p>
      <w:pPr>
        <w:ind w:left="500" w:hanging="350"/>
        <w:spacing w:after="0"/>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00" w:hanging="337"/>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1" w:lineRule="exact"/>
        <w:rPr>
          <w:sz w:val="24"/>
          <w:szCs w:val="24"/>
          <w:color w:val="auto"/>
        </w:rPr>
      </w:pPr>
    </w:p>
    <w:tbl>
      <w:tblPr>
        <w:tblLayout w:type="fixed"/>
        <w:tblInd w:w="376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54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5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4"/>
        </w:trPr>
        <w:tc>
          <w:tcPr>
            <w:tcW w:w="3140" w:type="dxa"/>
            <w:vAlign w:val="bottom"/>
            <w:gridSpan w:val="3"/>
          </w:tcPr>
          <w:p>
            <w:pPr>
              <w:ind w:left="600"/>
              <w:spacing w:after="0"/>
              <w:rPr>
                <w:sz w:val="20"/>
                <w:szCs w:val="20"/>
                <w:color w:val="auto"/>
              </w:rPr>
            </w:pPr>
            <w:r>
              <w:rPr>
                <w:rFonts w:ascii="Arial" w:cs="Arial" w:eastAsia="Arial" w:hAnsi="Arial"/>
                <w:sz w:val="18"/>
                <w:szCs w:val="18"/>
                <w:b w:val="1"/>
                <w:bCs w:val="1"/>
                <w:color w:val="auto"/>
                <w:w w:val="89"/>
              </w:rPr>
              <w:t>Commission file number 1-31234</w:t>
            </w: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13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WESTWOOD HOLDINGS GROUP,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45" w:lineRule="exact"/>
        <w:rPr>
          <w:sz w:val="24"/>
          <w:szCs w:val="24"/>
          <w:color w:val="auto"/>
        </w:rPr>
      </w:pPr>
    </w:p>
    <w:tbl>
      <w:tblPr>
        <w:tblLayout w:type="fixed"/>
        <w:tblInd w:w="440" w:type="dxa"/>
        <w:tblCellMar>
          <w:top w:w="0" w:type="dxa"/>
          <w:left w:w="0" w:type="dxa"/>
          <w:bottom w:w="0" w:type="dxa"/>
          <w:right w:w="0" w:type="dxa"/>
        </w:tblCellMar>
      </w:tblPr>
      <w:tr>
        <w:trPr>
          <w:trHeight w:val="234"/>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3"/>
              </w:rPr>
              <w:t>Delaware</w:t>
            </w:r>
          </w:p>
        </w:tc>
        <w:tc>
          <w:tcPr>
            <w:tcW w:w="6080" w:type="dxa"/>
            <w:vAlign w:val="bottom"/>
          </w:tcPr>
          <w:p>
            <w:pPr>
              <w:jc w:val="right"/>
              <w:ind w:right="479"/>
              <w:spacing w:after="0"/>
              <w:rPr>
                <w:sz w:val="20"/>
                <w:szCs w:val="20"/>
                <w:color w:val="auto"/>
              </w:rPr>
            </w:pPr>
            <w:r>
              <w:rPr>
                <w:rFonts w:ascii="Arial" w:cs="Arial" w:eastAsia="Arial" w:hAnsi="Arial"/>
                <w:sz w:val="18"/>
                <w:szCs w:val="18"/>
                <w:b w:val="1"/>
                <w:bCs w:val="1"/>
                <w:color w:val="auto"/>
              </w:rPr>
              <w:t>75-2969997</w:t>
            </w:r>
          </w:p>
        </w:tc>
      </w:tr>
      <w:tr>
        <w:trPr>
          <w:trHeight w:val="218"/>
        </w:trPr>
        <w:tc>
          <w:tcPr>
            <w:tcW w:w="3560" w:type="dxa"/>
            <w:vAlign w:val="bottom"/>
          </w:tcPr>
          <w:p>
            <w:pPr>
              <w:jc w:val="center"/>
              <w:ind w:right="37"/>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6080" w:type="dxa"/>
            <w:vAlign w:val="bottom"/>
          </w:tcPr>
          <w:p>
            <w:pPr>
              <w:jc w:val="center"/>
              <w:ind w:left="4019"/>
              <w:spacing w:after="0"/>
              <w:rPr>
                <w:sz w:val="20"/>
                <w:szCs w:val="20"/>
                <w:color w:val="auto"/>
              </w:rPr>
            </w:pPr>
            <w:r>
              <w:rPr>
                <w:rFonts w:ascii="Arial" w:cs="Arial" w:eastAsia="Arial" w:hAnsi="Arial"/>
                <w:sz w:val="14"/>
                <w:szCs w:val="14"/>
                <w:color w:val="auto"/>
                <w:w w:val="97"/>
              </w:rPr>
              <w:t>(IRS Employer Identification No.)</w:t>
            </w:r>
          </w:p>
        </w:tc>
      </w:tr>
      <w:tr>
        <w:trPr>
          <w:trHeight w:val="458"/>
        </w:trPr>
        <w:tc>
          <w:tcPr>
            <w:tcW w:w="3560" w:type="dxa"/>
            <w:vAlign w:val="bottom"/>
          </w:tcPr>
          <w:p>
            <w:pPr>
              <w:jc w:val="center"/>
              <w:ind w:right="17"/>
              <w:spacing w:after="0"/>
              <w:rPr>
                <w:sz w:val="20"/>
                <w:szCs w:val="20"/>
                <w:color w:val="auto"/>
              </w:rPr>
            </w:pPr>
            <w:r>
              <w:rPr>
                <w:rFonts w:ascii="Arial" w:cs="Arial" w:eastAsia="Arial" w:hAnsi="Arial"/>
                <w:sz w:val="18"/>
                <w:szCs w:val="18"/>
                <w:b w:val="1"/>
                <w:bCs w:val="1"/>
                <w:color w:val="auto"/>
                <w:w w:val="97"/>
              </w:rPr>
              <w:t>200 CRESCENT COURT, SUITE 1200</w:t>
            </w:r>
          </w:p>
        </w:tc>
        <w:tc>
          <w:tcPr>
            <w:tcW w:w="6080" w:type="dxa"/>
            <w:vAlign w:val="bottom"/>
          </w:tcPr>
          <w:p>
            <w:pPr>
              <w:spacing w:after="0"/>
              <w:rPr>
                <w:sz w:val="24"/>
                <w:szCs w:val="24"/>
                <w:color w:val="auto"/>
              </w:rPr>
            </w:pPr>
          </w:p>
        </w:tc>
      </w:tr>
      <w:tr>
        <w:trPr>
          <w:trHeight w:val="270"/>
        </w:trPr>
        <w:tc>
          <w:tcPr>
            <w:tcW w:w="3560" w:type="dxa"/>
            <w:vAlign w:val="bottom"/>
          </w:tcPr>
          <w:p>
            <w:pPr>
              <w:ind w:left="940"/>
              <w:spacing w:after="0"/>
              <w:rPr>
                <w:sz w:val="20"/>
                <w:szCs w:val="20"/>
                <w:color w:val="auto"/>
              </w:rPr>
            </w:pPr>
            <w:r>
              <w:rPr>
                <w:rFonts w:ascii="Arial" w:cs="Arial" w:eastAsia="Arial" w:hAnsi="Arial"/>
                <w:sz w:val="18"/>
                <w:szCs w:val="18"/>
                <w:b w:val="1"/>
                <w:bCs w:val="1"/>
                <w:color w:val="auto"/>
              </w:rPr>
              <w:t>DALLAS, Texas</w:t>
            </w:r>
          </w:p>
        </w:tc>
        <w:tc>
          <w:tcPr>
            <w:tcW w:w="6080" w:type="dxa"/>
            <w:vAlign w:val="bottom"/>
          </w:tcPr>
          <w:p>
            <w:pPr>
              <w:jc w:val="right"/>
              <w:ind w:right="679"/>
              <w:spacing w:after="0"/>
              <w:rPr>
                <w:sz w:val="20"/>
                <w:szCs w:val="20"/>
                <w:color w:val="auto"/>
              </w:rPr>
            </w:pPr>
            <w:r>
              <w:rPr>
                <w:rFonts w:ascii="Arial" w:cs="Arial" w:eastAsia="Arial" w:hAnsi="Arial"/>
                <w:sz w:val="18"/>
                <w:szCs w:val="18"/>
                <w:b w:val="1"/>
                <w:bCs w:val="1"/>
                <w:color w:val="auto"/>
              </w:rPr>
              <w:t>75201</w:t>
            </w:r>
          </w:p>
        </w:tc>
      </w:tr>
      <w:tr>
        <w:trPr>
          <w:trHeight w:val="218"/>
        </w:trPr>
        <w:tc>
          <w:tcPr>
            <w:tcW w:w="3560" w:type="dxa"/>
            <w:vAlign w:val="bottom"/>
          </w:tcPr>
          <w:p>
            <w:pPr>
              <w:jc w:val="center"/>
              <w:ind w:right="17"/>
              <w:spacing w:after="0"/>
              <w:rPr>
                <w:sz w:val="20"/>
                <w:szCs w:val="20"/>
                <w:color w:val="auto"/>
              </w:rPr>
            </w:pPr>
            <w:r>
              <w:rPr>
                <w:rFonts w:ascii="Arial" w:cs="Arial" w:eastAsia="Arial" w:hAnsi="Arial"/>
                <w:sz w:val="14"/>
                <w:szCs w:val="14"/>
                <w:color w:val="auto"/>
                <w:w w:val="95"/>
              </w:rPr>
              <w:t>(Address of principal executive office)</w:t>
            </w:r>
          </w:p>
        </w:tc>
        <w:tc>
          <w:tcPr>
            <w:tcW w:w="6080" w:type="dxa"/>
            <w:vAlign w:val="bottom"/>
          </w:tcPr>
          <w:p>
            <w:pPr>
              <w:jc w:val="center"/>
              <w:ind w:left="4039"/>
              <w:spacing w:after="0"/>
              <w:rPr>
                <w:sz w:val="20"/>
                <w:szCs w:val="20"/>
                <w:color w:val="auto"/>
              </w:rPr>
            </w:pPr>
            <w:r>
              <w:rPr>
                <w:rFonts w:ascii="Arial" w:cs="Arial" w:eastAsia="Arial" w:hAnsi="Arial"/>
                <w:sz w:val="14"/>
                <w:szCs w:val="14"/>
                <w:color w:val="auto"/>
                <w:w w:val="96"/>
              </w:rPr>
              <w:t>(Zip Code)</w:t>
            </w:r>
          </w:p>
        </w:tc>
      </w:tr>
      <w:tr>
        <w:trPr>
          <w:trHeight w:val="317"/>
        </w:trPr>
        <w:tc>
          <w:tcPr>
            <w:tcW w:w="3560" w:type="dxa"/>
            <w:vAlign w:val="bottom"/>
          </w:tcPr>
          <w:p>
            <w:pPr>
              <w:spacing w:after="0"/>
              <w:rPr>
                <w:sz w:val="24"/>
                <w:szCs w:val="24"/>
                <w:color w:val="auto"/>
              </w:rPr>
            </w:pPr>
          </w:p>
        </w:tc>
        <w:tc>
          <w:tcPr>
            <w:tcW w:w="6080" w:type="dxa"/>
            <w:vAlign w:val="bottom"/>
          </w:tcPr>
          <w:p>
            <w:pPr>
              <w:jc w:val="right"/>
              <w:ind w:right="3819"/>
              <w:spacing w:after="0"/>
              <w:rPr>
                <w:sz w:val="20"/>
                <w:szCs w:val="20"/>
                <w:color w:val="auto"/>
              </w:rPr>
            </w:pPr>
            <w:r>
              <w:rPr>
                <w:rFonts w:ascii="Arial" w:cs="Arial" w:eastAsia="Arial" w:hAnsi="Arial"/>
                <w:sz w:val="18"/>
                <w:szCs w:val="18"/>
                <w:b w:val="1"/>
                <w:bCs w:val="1"/>
                <w:color w:val="auto"/>
              </w:rPr>
              <w:t>(214) 756-6900</w:t>
            </w:r>
          </w:p>
        </w:tc>
      </w:tr>
      <w:tr>
        <w:trPr>
          <w:trHeight w:val="182"/>
        </w:trPr>
        <w:tc>
          <w:tcPr>
            <w:tcW w:w="3560" w:type="dxa"/>
            <w:vAlign w:val="bottom"/>
          </w:tcPr>
          <w:p>
            <w:pPr>
              <w:spacing w:after="0"/>
              <w:rPr>
                <w:sz w:val="15"/>
                <w:szCs w:val="15"/>
                <w:color w:val="auto"/>
              </w:rPr>
            </w:pPr>
          </w:p>
        </w:tc>
        <w:tc>
          <w:tcPr>
            <w:tcW w:w="6080" w:type="dxa"/>
            <w:vAlign w:val="bottom"/>
          </w:tcPr>
          <w:p>
            <w:pPr>
              <w:jc w:val="center"/>
              <w:ind w:right="2759"/>
              <w:spacing w:after="0"/>
              <w:rPr>
                <w:sz w:val="20"/>
                <w:szCs w:val="20"/>
                <w:color w:val="auto"/>
              </w:rPr>
            </w:pPr>
            <w:r>
              <w:rPr>
                <w:rFonts w:ascii="Arial" w:cs="Arial" w:eastAsia="Arial" w:hAnsi="Arial"/>
                <w:sz w:val="14"/>
                <w:szCs w:val="14"/>
                <w:color w:val="auto"/>
                <w:w w:val="92"/>
              </w:rPr>
              <w:t>(Registrant’s telephone number, including area code)</w:t>
            </w:r>
          </w:p>
        </w:tc>
      </w:tr>
    </w:tbl>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68" w:lineRule="exact"/>
        <w:rPr>
          <w:sz w:val="24"/>
          <w:szCs w:val="24"/>
          <w:color w:val="auto"/>
        </w:rPr>
      </w:pPr>
    </w:p>
    <w:tbl>
      <w:tblPr>
        <w:tblLayout w:type="fixed"/>
        <w:tblInd w:w="580" w:type="dxa"/>
        <w:tblCellMar>
          <w:top w:w="0" w:type="dxa"/>
          <w:left w:w="0" w:type="dxa"/>
          <w:bottom w:w="0" w:type="dxa"/>
          <w:right w:w="0" w:type="dxa"/>
        </w:tblCellMar>
      </w:tblPr>
      <w:tr>
        <w:trPr>
          <w:trHeight w:val="206"/>
        </w:trPr>
        <w:tc>
          <w:tcPr>
            <w:tcW w:w="9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980" w:type="dxa"/>
            <w:vAlign w:val="bottom"/>
            <w:gridSpan w:val="3"/>
          </w:tcPr>
          <w:p>
            <w:pPr>
              <w:jc w:val="center"/>
              <w:ind w:right="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020" w:type="dxa"/>
            <w:vAlign w:val="bottom"/>
          </w:tcPr>
          <w:p>
            <w:pPr>
              <w:spacing w:after="0"/>
              <w:rPr>
                <w:sz w:val="17"/>
                <w:szCs w:val="17"/>
                <w:color w:val="auto"/>
              </w:rPr>
            </w:pPr>
          </w:p>
        </w:tc>
      </w:tr>
      <w:tr>
        <w:trPr>
          <w:trHeight w:val="263"/>
        </w:trPr>
        <w:tc>
          <w:tcPr>
            <w:tcW w:w="900" w:type="dxa"/>
            <w:vAlign w:val="bottom"/>
          </w:tcPr>
          <w:p>
            <w:pPr>
              <w:spacing w:after="0"/>
              <w:rPr>
                <w:sz w:val="22"/>
                <w:szCs w:val="22"/>
                <w:color w:val="auto"/>
              </w:rPr>
            </w:pPr>
          </w:p>
        </w:tc>
        <w:tc>
          <w:tcPr>
            <w:tcW w:w="2200" w:type="dxa"/>
            <w:vAlign w:val="bottom"/>
            <w:gridSpan w:val="2"/>
          </w:tcPr>
          <w:p>
            <w:pPr>
              <w:jc w:val="center"/>
              <w:ind w:right="980"/>
              <w:spacing w:after="0"/>
              <w:rPr>
                <w:sz w:val="20"/>
                <w:szCs w:val="20"/>
                <w:color w:val="auto"/>
              </w:rPr>
            </w:pPr>
            <w:r>
              <w:rPr>
                <w:rFonts w:ascii="Arial" w:cs="Arial" w:eastAsia="Arial" w:hAnsi="Arial"/>
                <w:sz w:val="16"/>
                <w:szCs w:val="16"/>
                <w:color w:val="auto"/>
                <w:w w:val="91"/>
              </w:rPr>
              <w:t>Title of Each Class</w:t>
            </w:r>
          </w:p>
        </w:tc>
        <w:tc>
          <w:tcPr>
            <w:tcW w:w="3980" w:type="dxa"/>
            <w:vAlign w:val="bottom"/>
            <w:gridSpan w:val="3"/>
          </w:tcPr>
          <w:p>
            <w:pPr>
              <w:jc w:val="center"/>
              <w:ind w:right="60"/>
              <w:spacing w:after="0"/>
              <w:rPr>
                <w:sz w:val="20"/>
                <w:szCs w:val="20"/>
                <w:color w:val="auto"/>
              </w:rPr>
            </w:pPr>
            <w:r>
              <w:rPr>
                <w:rFonts w:ascii="Arial" w:cs="Arial" w:eastAsia="Arial" w:hAnsi="Arial"/>
                <w:sz w:val="16"/>
                <w:szCs w:val="16"/>
                <w:color w:val="auto"/>
                <w:w w:val="92"/>
              </w:rPr>
              <w:t>Trading Symbol</w:t>
            </w:r>
          </w:p>
        </w:tc>
        <w:tc>
          <w:tcPr>
            <w:tcW w:w="3020" w:type="dxa"/>
            <w:vAlign w:val="bottom"/>
          </w:tcPr>
          <w:p>
            <w:pPr>
              <w:jc w:val="center"/>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9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440" w:type="dxa"/>
            <w:vAlign w:val="bottom"/>
          </w:tcPr>
          <w:p>
            <w:pPr>
              <w:spacing w:after="0"/>
              <w:rPr>
                <w:sz w:val="24"/>
                <w:szCs w:val="24"/>
                <w:color w:val="auto"/>
              </w:rPr>
            </w:pPr>
          </w:p>
        </w:tc>
        <w:tc>
          <w:tcPr>
            <w:tcW w:w="2540" w:type="dxa"/>
            <w:vAlign w:val="bottom"/>
            <w:gridSpan w:val="2"/>
          </w:tcPr>
          <w:p>
            <w:pPr>
              <w:jc w:val="center"/>
              <w:ind w:right="1500"/>
              <w:spacing w:after="0"/>
              <w:rPr>
                <w:sz w:val="20"/>
                <w:szCs w:val="20"/>
                <w:color w:val="auto"/>
              </w:rPr>
            </w:pPr>
            <w:r>
              <w:rPr>
                <w:rFonts w:ascii="Arial" w:cs="Arial" w:eastAsia="Arial" w:hAnsi="Arial"/>
                <w:sz w:val="18"/>
                <w:szCs w:val="18"/>
                <w:color w:val="auto"/>
                <w:w w:val="99"/>
              </w:rPr>
              <w:t>WHG</w:t>
            </w:r>
          </w:p>
        </w:tc>
        <w:tc>
          <w:tcPr>
            <w:tcW w:w="30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25" w:lineRule="exact"/>
        <w:rPr>
          <w:sz w:val="24"/>
          <w:szCs w:val="24"/>
          <w:color w:val="auto"/>
        </w:rPr>
      </w:pPr>
    </w:p>
    <w:p>
      <w:pPr>
        <w:spacing w:after="0" w:line="285"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70" w:lineRule="exact"/>
        <w:rPr>
          <w:sz w:val="24"/>
          <w:szCs w:val="24"/>
          <w:color w:val="auto"/>
        </w:rPr>
      </w:pPr>
    </w:p>
    <w:p>
      <w:pPr>
        <w:ind w:right="400"/>
        <w:spacing w:after="0" w:line="21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ind w:right="120"/>
        <w:spacing w:after="0" w:line="3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Accelerated filer</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20" w:type="dxa"/>
            <w:vAlign w:val="bottom"/>
          </w:tcPr>
          <w:p>
            <w:pPr>
              <w:spacing w:after="0"/>
              <w:rPr>
                <w:sz w:val="20"/>
                <w:szCs w:val="20"/>
                <w:color w:val="auto"/>
              </w:rPr>
            </w:pPr>
            <w:r>
              <w:rPr>
                <w:rFonts w:ascii="Arial" w:cs="Arial" w:eastAsia="Arial" w:hAnsi="Arial"/>
                <w:sz w:val="16"/>
                <w:szCs w:val="16"/>
                <w:color w:val="auto"/>
              </w:rPr>
              <w:t>Non-accelerated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060" w:type="dxa"/>
            <w:vAlign w:val="bottom"/>
          </w:tcPr>
          <w:p>
            <w:pPr>
              <w:ind w:left="2640"/>
              <w:spacing w:after="0"/>
              <w:rPr>
                <w:sz w:val="20"/>
                <w:szCs w:val="20"/>
                <w:color w:val="auto"/>
              </w:rPr>
            </w:pPr>
            <w:r>
              <w:rPr>
                <w:rFonts w:ascii="Arial" w:cs="Arial" w:eastAsia="Arial" w:hAnsi="Arial"/>
                <w:sz w:val="16"/>
                <w:szCs w:val="16"/>
                <w:color w:val="auto"/>
              </w:rPr>
              <w:t>Smaller reporting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0"/>
        </w:trPr>
        <w:tc>
          <w:tcPr>
            <w:tcW w:w="19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060" w:type="dxa"/>
            <w:vAlign w:val="bottom"/>
          </w:tcPr>
          <w:p>
            <w:pPr>
              <w:ind w:left="2640"/>
              <w:spacing w:after="0"/>
              <w:rPr>
                <w:sz w:val="20"/>
                <w:szCs w:val="20"/>
                <w:color w:val="auto"/>
              </w:rPr>
            </w:pPr>
            <w:r>
              <w:rPr>
                <w:rFonts w:ascii="Arial" w:cs="Arial" w:eastAsia="Arial" w:hAnsi="Arial"/>
                <w:sz w:val="16"/>
                <w:szCs w:val="16"/>
                <w:color w:val="auto"/>
              </w:rPr>
              <w:t>Emerging growth company</w:t>
            </w:r>
          </w:p>
        </w:tc>
        <w:tc>
          <w:tcPr>
            <w:tcW w:w="800" w:type="dxa"/>
            <w:vAlign w:val="bottom"/>
          </w:tcPr>
          <w:p>
            <w:pPr>
              <w:ind w:left="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760"/>
        <w:spacing w:after="0" w:line="24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r>
        <w:rPr>
          <w:rFonts w:ascii="Arial" w:cs="Arial" w:eastAsia="Arial" w:hAnsi="Arial"/>
          <w:sz w:val="16"/>
          <w:szCs w:val="16"/>
          <w:color w:val="auto"/>
        </w:rPr>
        <w:t xml:space="preserve"> Shares of common stock, par value $0.01 per share, outstanding as of April 22, 2020: 8,500,061.</w:t>
      </w:r>
    </w:p>
    <w:p>
      <w:pPr>
        <w:spacing w:after="0" w:line="1"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716280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WESTWOOD HOLDINGS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20" w:type="dxa"/>
            <w:vAlign w:val="bottom"/>
          </w:tcPr>
          <w:p>
            <w:pPr>
              <w:ind w:left="280"/>
              <w:spacing w:after="0"/>
              <w:rPr>
                <w:sz w:val="20"/>
                <w:szCs w:val="20"/>
                <w:color w:val="auto"/>
              </w:rPr>
            </w:pPr>
            <w:r>
              <w:rPr>
                <w:rFonts w:ascii="Arial" w:cs="Arial" w:eastAsia="Arial" w:hAnsi="Arial"/>
                <w:sz w:val="16"/>
                <w:szCs w:val="16"/>
                <w:color w:val="auto"/>
              </w:rPr>
              <w:t>PART I</w:t>
            </w:r>
          </w:p>
        </w:tc>
        <w:tc>
          <w:tcPr>
            <w:tcW w:w="200" w:type="dxa"/>
            <w:vAlign w:val="bottom"/>
          </w:tcPr>
          <w:p>
            <w:pPr>
              <w:spacing w:after="0"/>
              <w:rPr>
                <w:sz w:val="20"/>
                <w:szCs w:val="20"/>
                <w:color w:val="auto"/>
              </w:rPr>
            </w:pPr>
          </w:p>
        </w:tc>
        <w:tc>
          <w:tcPr>
            <w:tcW w:w="8640" w:type="dxa"/>
            <w:vAlign w:val="bottom"/>
            <w:gridSpan w:val="12"/>
          </w:tcPr>
          <w:p>
            <w:pPr>
              <w:spacing w:after="0"/>
              <w:rPr>
                <w:sz w:val="20"/>
                <w:szCs w:val="20"/>
                <w:color w:val="auto"/>
              </w:rPr>
            </w:pPr>
            <w:r>
              <w:rPr>
                <w:rFonts w:ascii="Arial" w:cs="Arial" w:eastAsia="Arial" w:hAnsi="Arial"/>
                <w:sz w:val="16"/>
                <w:szCs w:val="16"/>
                <w:color w:val="auto"/>
              </w:rPr>
              <w:t>FINANCIAL INFORMATION</w:t>
            </w:r>
          </w:p>
        </w:tc>
        <w:tc>
          <w:tcPr>
            <w:tcW w:w="1280" w:type="dxa"/>
            <w:vAlign w:val="bottom"/>
          </w:tcPr>
          <w:p>
            <w:pPr>
              <w:jc w:val="right"/>
              <w:ind w:right="299"/>
              <w:spacing w:after="0"/>
              <w:rPr>
                <w:sz w:val="20"/>
                <w:szCs w:val="20"/>
                <w:color w:val="auto"/>
              </w:rPr>
            </w:pPr>
            <w:r>
              <w:rPr>
                <w:rFonts w:ascii="Arial" w:cs="Arial" w:eastAsia="Arial" w:hAnsi="Arial"/>
                <w:sz w:val="16"/>
                <w:szCs w:val="16"/>
                <w:color w:val="auto"/>
              </w:rPr>
              <w:t>PAGE</w:t>
            </w:r>
          </w:p>
        </w:tc>
      </w:tr>
      <w:tr>
        <w:trPr>
          <w:trHeight w:val="324"/>
        </w:trPr>
        <w:tc>
          <w:tcPr>
            <w:tcW w:w="1120" w:type="dxa"/>
            <w:vAlign w:val="bottom"/>
          </w:tcPr>
          <w:p>
            <w:pPr>
              <w:ind w:left="28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24"/>
                <w:szCs w:val="24"/>
                <w:color w:val="auto"/>
              </w:rPr>
            </w:pPr>
          </w:p>
        </w:tc>
        <w:tc>
          <w:tcPr>
            <w:tcW w:w="8640" w:type="dxa"/>
            <w:vAlign w:val="bottom"/>
            <w:gridSpan w:val="12"/>
          </w:tcPr>
          <w:p>
            <w:pPr>
              <w:spacing w:after="0"/>
              <w:rPr>
                <w:sz w:val="20"/>
                <w:szCs w:val="20"/>
                <w:color w:val="auto"/>
              </w:rPr>
            </w:pPr>
            <w:r>
              <w:rPr>
                <w:rFonts w:ascii="Arial" w:cs="Arial" w:eastAsia="Arial" w:hAnsi="Arial"/>
                <w:sz w:val="16"/>
                <w:szCs w:val="16"/>
                <w:color w:val="auto"/>
              </w:rPr>
              <w:t>Financial Statements</w:t>
            </w:r>
          </w:p>
        </w:tc>
        <w:tc>
          <w:tcPr>
            <w:tcW w:w="1280" w:type="dxa"/>
            <w:vAlign w:val="bottom"/>
          </w:tcPr>
          <w:p>
            <w:pPr>
              <w:spacing w:after="0"/>
              <w:rPr>
                <w:sz w:val="24"/>
                <w:szCs w:val="24"/>
                <w:color w:val="auto"/>
              </w:rPr>
            </w:pPr>
          </w:p>
        </w:tc>
      </w:tr>
      <w:tr>
        <w:trPr>
          <w:trHeight w:val="289"/>
        </w:trPr>
        <w:tc>
          <w:tcPr>
            <w:tcW w:w="1120" w:type="dxa"/>
            <w:vAlign w:val="bottom"/>
          </w:tcPr>
          <w:p>
            <w:pPr>
              <w:spacing w:after="0"/>
              <w:rPr>
                <w:sz w:val="24"/>
                <w:szCs w:val="24"/>
                <w:color w:val="auto"/>
              </w:rPr>
            </w:pPr>
          </w:p>
        </w:tc>
        <w:tc>
          <w:tcPr>
            <w:tcW w:w="8840" w:type="dxa"/>
            <w:vAlign w:val="bottom"/>
            <w:gridSpan w:val="13"/>
          </w:tcPr>
          <w:p>
            <w:pPr>
              <w:ind w:left="160"/>
              <w:spacing w:after="0"/>
              <w:rPr>
                <w:rFonts w:ascii="Arial" w:cs="Arial" w:eastAsia="Arial" w:hAnsi="Arial"/>
                <w:sz w:val="16"/>
                <w:szCs w:val="16"/>
                <w:color w:val="0000FF"/>
              </w:rPr>
            </w:pPr>
            <w:hyperlink w:anchor="page3">
              <w:r>
                <w:rPr>
                  <w:rFonts w:ascii="Arial" w:cs="Arial" w:eastAsia="Arial" w:hAnsi="Arial"/>
                  <w:sz w:val="16"/>
                  <w:szCs w:val="16"/>
                  <w:u w:val="single" w:color="auto"/>
                  <w:color w:val="0000FF"/>
                </w:rPr>
                <w:t>Condensed Consolidated Balance Sheets as of March 31, 2020 and December 31,</w:t>
              </w:r>
              <w:r>
                <w:rPr>
                  <w:rFonts w:ascii="Arial" w:cs="Arial" w:eastAsia="Arial" w:hAnsi="Arial"/>
                  <w:sz w:val="16"/>
                  <w:szCs w:val="16"/>
                  <w:color w:val="0000FF"/>
                </w:rPr>
                <w:t xml:space="preserve"> 2</w:t>
              </w:r>
            </w:hyperlink>
            <w:r>
              <w:rPr>
                <w:rFonts w:ascii="Arial" w:cs="Arial" w:eastAsia="Arial" w:hAnsi="Arial"/>
                <w:sz w:val="16"/>
                <w:szCs w:val="16"/>
                <w:color w:val="0000FF"/>
              </w:rPr>
              <w:t>019</w:t>
            </w:r>
          </w:p>
        </w:tc>
        <w:tc>
          <w:tcPr>
            <w:tcW w:w="1280" w:type="dxa"/>
            <w:vAlign w:val="bottom"/>
          </w:tcPr>
          <w:p>
            <w:pPr>
              <w:jc w:val="right"/>
              <w:ind w:right="139"/>
              <w:spacing w:after="0"/>
              <w:rPr>
                <w:rFonts w:ascii="Arial" w:cs="Arial" w:eastAsia="Arial" w:hAnsi="Arial"/>
                <w:sz w:val="16"/>
                <w:szCs w:val="16"/>
                <w:color w:val="0000FF"/>
              </w:rPr>
            </w:pPr>
            <w:hyperlink w:anchor="page3">
              <w:r>
                <w:rPr>
                  <w:rFonts w:ascii="Arial" w:cs="Arial" w:eastAsia="Arial" w:hAnsi="Arial"/>
                  <w:sz w:val="16"/>
                  <w:szCs w:val="16"/>
                  <w:color w:val="0000FF"/>
                </w:rPr>
                <w:t>1</w:t>
              </w:r>
            </w:hyperlink>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6"/>
                <w:szCs w:val="16"/>
                <w:color w:val="0000FF"/>
                <w:w w:val="96"/>
              </w:rPr>
            </w:pPr>
            <w:hyperlink w:anchor="page4">
              <w:r>
                <w:rPr>
                  <w:rFonts w:ascii="Arial" w:cs="Arial" w:eastAsia="Arial" w:hAnsi="Arial"/>
                  <w:sz w:val="16"/>
                  <w:szCs w:val="16"/>
                  <w:u w:val="single" w:color="auto"/>
                  <w:color w:val="0000FF"/>
                  <w:w w:val="96"/>
                </w:rPr>
                <w:t xml:space="preserve">Condensed Consolidated Statements of Comprehensive Income </w:t>
              </w:r>
            </w:hyperlink>
            <w:r>
              <w:rPr>
                <w:rFonts w:ascii="Arial" w:cs="Arial" w:eastAsia="Arial" w:hAnsi="Arial"/>
                <w:sz w:val="16"/>
                <w:szCs w:val="16"/>
                <w:color w:val="0000FF"/>
                <w:w w:val="96"/>
              </w:rPr>
              <w:t xml:space="preserve">(Loss) </w:t>
            </w:r>
            <w:hyperlink w:anchor="page4">
              <w:r>
                <w:rPr>
                  <w:rFonts w:ascii="Arial" w:cs="Arial" w:eastAsia="Arial" w:hAnsi="Arial"/>
                  <w:sz w:val="16"/>
                  <w:szCs w:val="16"/>
                  <w:color w:val="0000FF"/>
                  <w:w w:val="96"/>
                </w:rPr>
                <w:t xml:space="preserve">for the Three Months Ended March 31, 2020 and </w:t>
              </w:r>
            </w:hyperlink>
            <w:r>
              <w:rPr>
                <w:rFonts w:ascii="Arial" w:cs="Arial" w:eastAsia="Arial" w:hAnsi="Arial"/>
                <w:sz w:val="16"/>
                <w:szCs w:val="16"/>
                <w:color w:val="0000FF"/>
                <w:w w:val="96"/>
              </w:rPr>
              <w:t>2019</w:t>
            </w:r>
          </w:p>
        </w:tc>
        <w:tc>
          <w:tcPr>
            <w:tcW w:w="1280" w:type="dxa"/>
            <w:vAlign w:val="bottom"/>
          </w:tcPr>
          <w:p>
            <w:pPr>
              <w:jc w:val="right"/>
              <w:ind w:right="139"/>
              <w:spacing w:after="0"/>
              <w:rPr>
                <w:rFonts w:ascii="Arial" w:cs="Arial" w:eastAsia="Arial" w:hAnsi="Arial"/>
                <w:sz w:val="16"/>
                <w:szCs w:val="16"/>
                <w:color w:val="0000FF"/>
              </w:rPr>
            </w:pPr>
            <w:hyperlink w:anchor="page4">
              <w:r>
                <w:rPr>
                  <w:rFonts w:ascii="Arial" w:cs="Arial" w:eastAsia="Arial" w:hAnsi="Arial"/>
                  <w:sz w:val="16"/>
                  <w:szCs w:val="16"/>
                  <w:color w:val="0000FF"/>
                </w:rPr>
                <w:t>2</w:t>
              </w:r>
            </w:hyperlink>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6"/>
                <w:szCs w:val="16"/>
                <w:color w:val="0000FF"/>
              </w:rPr>
            </w:pPr>
            <w:hyperlink w:anchor="page5">
              <w:r>
                <w:rPr>
                  <w:rFonts w:ascii="Arial" w:cs="Arial" w:eastAsia="Arial" w:hAnsi="Arial"/>
                  <w:sz w:val="16"/>
                  <w:szCs w:val="16"/>
                  <w:u w:val="single" w:color="auto"/>
                  <w:color w:val="0000FF"/>
                </w:rPr>
                <w:t>Condensed Consolidated Statement of Stockholders’ Equity for the Three Months Ended March</w:t>
              </w:r>
              <w:r>
                <w:rPr>
                  <w:rFonts w:ascii="Arial" w:cs="Arial" w:eastAsia="Arial" w:hAnsi="Arial"/>
                  <w:sz w:val="16"/>
                  <w:szCs w:val="16"/>
                  <w:color w:val="0000FF"/>
                </w:rPr>
                <w:t xml:space="preserve"> 31, 2020 and </w:t>
              </w:r>
            </w:hyperlink>
            <w:r>
              <w:rPr>
                <w:rFonts w:ascii="Arial" w:cs="Arial" w:eastAsia="Arial" w:hAnsi="Arial"/>
                <w:sz w:val="16"/>
                <w:szCs w:val="16"/>
                <w:color w:val="0000FF"/>
              </w:rPr>
              <w:t>2019</w:t>
            </w:r>
          </w:p>
        </w:tc>
        <w:tc>
          <w:tcPr>
            <w:tcW w:w="1280" w:type="dxa"/>
            <w:vAlign w:val="bottom"/>
          </w:tcPr>
          <w:p>
            <w:pPr>
              <w:jc w:val="right"/>
              <w:ind w:right="139"/>
              <w:spacing w:after="0"/>
              <w:rPr>
                <w:rFonts w:ascii="Arial" w:cs="Arial" w:eastAsia="Arial" w:hAnsi="Arial"/>
                <w:sz w:val="16"/>
                <w:szCs w:val="16"/>
                <w:color w:val="0000FF"/>
              </w:rPr>
            </w:pPr>
            <w:hyperlink w:anchor="page5">
              <w:r>
                <w:rPr>
                  <w:rFonts w:ascii="Arial" w:cs="Arial" w:eastAsia="Arial" w:hAnsi="Arial"/>
                  <w:sz w:val="16"/>
                  <w:szCs w:val="16"/>
                  <w:color w:val="0000FF"/>
                </w:rPr>
                <w:t>3</w:t>
              </w:r>
            </w:hyperlink>
          </w:p>
        </w:tc>
      </w:tr>
      <w:tr>
        <w:trPr>
          <w:trHeight w:val="20"/>
        </w:trPr>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4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 xml:space="preserve">Condensed Consolidated Statements of Cash Flows for the Three Months Ended </w:t>
              </w:r>
              <w:r>
                <w:rPr>
                  <w:rFonts w:ascii="Arial" w:cs="Arial" w:eastAsia="Arial" w:hAnsi="Arial"/>
                  <w:sz w:val="16"/>
                  <w:szCs w:val="16"/>
                  <w:u w:val="single" w:color="auto"/>
                  <w:color w:val="0000FF"/>
                </w:rPr>
                <w:t>March 31,</w:t>
              </w:r>
              <w:r>
                <w:rPr>
                  <w:rFonts w:ascii="Arial" w:cs="Arial" w:eastAsia="Arial" w:hAnsi="Arial"/>
                  <w:sz w:val="16"/>
                  <w:szCs w:val="16"/>
                  <w:color w:val="0000FF"/>
                </w:rPr>
                <w:t xml:space="preserve"> 2020 and </w:t>
              </w:r>
            </w:hyperlink>
            <w:r>
              <w:rPr>
                <w:rFonts w:ascii="Arial" w:cs="Arial" w:eastAsia="Arial" w:hAnsi="Arial"/>
                <w:sz w:val="16"/>
                <w:szCs w:val="16"/>
                <w:color w:val="0000FF"/>
              </w:rPr>
              <w:t>2019</w:t>
            </w:r>
          </w:p>
        </w:tc>
        <w:tc>
          <w:tcPr>
            <w:tcW w:w="1280" w:type="dxa"/>
            <w:vAlign w:val="bottom"/>
          </w:tcPr>
          <w:p>
            <w:pPr>
              <w:jc w:val="right"/>
              <w:ind w:right="139"/>
              <w:spacing w:after="0"/>
              <w:rPr>
                <w:rFonts w:ascii="Arial" w:cs="Arial" w:eastAsia="Arial" w:hAnsi="Arial"/>
                <w:sz w:val="16"/>
                <w:szCs w:val="16"/>
                <w:color w:val="0000FF"/>
              </w:rPr>
            </w:pPr>
            <w:hyperlink w:anchor="page6">
              <w:r>
                <w:rPr>
                  <w:rFonts w:ascii="Arial" w:cs="Arial" w:eastAsia="Arial" w:hAnsi="Arial"/>
                  <w:sz w:val="16"/>
                  <w:szCs w:val="16"/>
                  <w:color w:val="0000FF"/>
                </w:rPr>
                <w:t>4</w:t>
              </w:r>
            </w:hyperlink>
          </w:p>
        </w:tc>
      </w:tr>
      <w:tr>
        <w:trPr>
          <w:trHeight w:val="285"/>
        </w:trPr>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60" w:type="dxa"/>
            <w:vAlign w:val="bottom"/>
            <w:tcBorders>
              <w:top w:val="single" w:sz="8" w:color="0000FF"/>
            </w:tcBorders>
            <w:gridSpan w:val="2"/>
          </w:tcPr>
          <w:p>
            <w:pPr>
              <w:spacing w:after="0"/>
              <w:rPr>
                <w:rFonts w:ascii="Arial" w:cs="Arial" w:eastAsia="Arial" w:hAnsi="Arial"/>
                <w:sz w:val="16"/>
                <w:szCs w:val="16"/>
                <w:u w:val="single" w:color="auto"/>
                <w:color w:val="0000FF"/>
              </w:rPr>
            </w:pPr>
            <w:hyperlink w:anchor="page7">
              <w:r>
                <w:rPr>
                  <w:rFonts w:ascii="Arial" w:cs="Arial" w:eastAsia="Arial" w:hAnsi="Arial"/>
                  <w:sz w:val="16"/>
                  <w:szCs w:val="16"/>
                  <w:u w:val="single" w:color="auto"/>
                  <w:color w:val="0000FF"/>
                </w:rPr>
                <w:t>Notes to Condensed Consolidated Financial Statements</w:t>
              </w:r>
            </w:hyperlink>
          </w:p>
        </w:tc>
        <w:tc>
          <w:tcPr>
            <w:tcW w:w="860" w:type="dxa"/>
            <w:vAlign w:val="bottom"/>
            <w:gridSpan w:val="3"/>
          </w:tcPr>
          <w:p>
            <w:pPr>
              <w:spacing w:after="0"/>
              <w:rPr>
                <w:sz w:val="24"/>
                <w:szCs w:val="24"/>
                <w:color w:val="auto"/>
              </w:rPr>
            </w:pPr>
          </w:p>
        </w:tc>
        <w:tc>
          <w:tcPr>
            <w:tcW w:w="800" w:type="dxa"/>
            <w:vAlign w:val="bottom"/>
            <w:tcBorders>
              <w:top w:val="single" w:sz="8" w:color="0000FF"/>
            </w:tcBorders>
            <w:gridSpan w:val="2"/>
          </w:tcPr>
          <w:p>
            <w:pPr>
              <w:spacing w:after="0"/>
              <w:rPr>
                <w:sz w:val="24"/>
                <w:szCs w:val="24"/>
                <w:color w:val="auto"/>
              </w:rPr>
            </w:pPr>
          </w:p>
        </w:tc>
        <w:tc>
          <w:tcPr>
            <w:tcW w:w="1720" w:type="dxa"/>
            <w:vAlign w:val="bottom"/>
            <w:gridSpan w:val="5"/>
          </w:tcPr>
          <w:p>
            <w:pPr>
              <w:spacing w:after="0"/>
              <w:rPr>
                <w:sz w:val="24"/>
                <w:szCs w:val="24"/>
                <w:color w:val="auto"/>
              </w:rPr>
            </w:pPr>
          </w:p>
        </w:tc>
        <w:tc>
          <w:tcPr>
            <w:tcW w:w="1280" w:type="dxa"/>
            <w:vAlign w:val="bottom"/>
          </w:tcPr>
          <w:p>
            <w:pPr>
              <w:jc w:val="right"/>
              <w:ind w:right="139"/>
              <w:spacing w:after="0"/>
              <w:rPr>
                <w:rFonts w:ascii="Arial" w:cs="Arial" w:eastAsia="Arial" w:hAnsi="Arial"/>
                <w:sz w:val="16"/>
                <w:szCs w:val="16"/>
                <w:color w:val="0000FF"/>
              </w:rPr>
            </w:pPr>
            <w:hyperlink w:anchor="page7">
              <w:r>
                <w:rPr>
                  <w:rFonts w:ascii="Arial" w:cs="Arial" w:eastAsia="Arial" w:hAnsi="Arial"/>
                  <w:sz w:val="16"/>
                  <w:szCs w:val="16"/>
                  <w:color w:val="0000FF"/>
                </w:rPr>
                <w:t>5</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Management’s Discussion and Analysis of Financial Condition and Results of Operations</w:t>
              </w:r>
            </w:hyperlink>
          </w:p>
        </w:tc>
        <w:tc>
          <w:tcPr>
            <w:tcW w:w="1280" w:type="dxa"/>
            <w:vAlign w:val="bottom"/>
          </w:tcPr>
          <w:p>
            <w:pPr>
              <w:jc w:val="right"/>
              <w:ind w:right="139"/>
              <w:spacing w:after="0"/>
              <w:rPr>
                <w:rFonts w:ascii="Arial" w:cs="Arial" w:eastAsia="Arial" w:hAnsi="Arial"/>
                <w:sz w:val="16"/>
                <w:szCs w:val="16"/>
                <w:color w:val="0000FF"/>
              </w:rPr>
            </w:pPr>
            <w:hyperlink w:anchor="page18">
              <w:r>
                <w:rPr>
                  <w:rFonts w:ascii="Arial" w:cs="Arial" w:eastAsia="Arial" w:hAnsi="Arial"/>
                  <w:sz w:val="16"/>
                  <w:szCs w:val="16"/>
                  <w:color w:val="0000FF"/>
                </w:rPr>
                <w:t>16</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3.</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Quantitative and Qualitative Disclosures About Market Risk</w:t>
              </w:r>
            </w:hyperlink>
          </w:p>
        </w:tc>
        <w:tc>
          <w:tcPr>
            <w:tcW w:w="1280" w:type="dxa"/>
            <w:vAlign w:val="bottom"/>
          </w:tcPr>
          <w:p>
            <w:pPr>
              <w:jc w:val="right"/>
              <w:ind w:right="139"/>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4.</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5">
              <w:r>
                <w:rPr>
                  <w:rFonts w:ascii="Arial" w:cs="Arial" w:eastAsia="Arial" w:hAnsi="Arial"/>
                  <w:sz w:val="16"/>
                  <w:szCs w:val="16"/>
                  <w:u w:val="single" w:color="auto"/>
                  <w:color w:val="0000FF"/>
                </w:rPr>
                <w:t>Controls and Procedures</w:t>
              </w:r>
            </w:hyperlink>
          </w:p>
        </w:tc>
        <w:tc>
          <w:tcPr>
            <w:tcW w:w="1280" w:type="dxa"/>
            <w:vAlign w:val="bottom"/>
          </w:tcPr>
          <w:p>
            <w:pPr>
              <w:jc w:val="right"/>
              <w:ind w:right="139"/>
              <w:spacing w:after="0"/>
              <w:rPr>
                <w:rFonts w:ascii="Arial" w:cs="Arial" w:eastAsia="Arial" w:hAnsi="Arial"/>
                <w:sz w:val="16"/>
                <w:szCs w:val="16"/>
                <w:color w:val="0000FF"/>
              </w:rPr>
            </w:pPr>
            <w:hyperlink w:anchor="page25">
              <w:r>
                <w:rPr>
                  <w:rFonts w:ascii="Arial" w:cs="Arial" w:eastAsia="Arial" w:hAnsi="Arial"/>
                  <w:sz w:val="16"/>
                  <w:szCs w:val="16"/>
                  <w:color w:val="0000FF"/>
                </w:rPr>
                <w:t>23</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PART II</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OTHER INFORMATION</w:t>
              </w:r>
            </w:hyperlink>
          </w:p>
        </w:tc>
        <w:tc>
          <w:tcPr>
            <w:tcW w:w="1280" w:type="dxa"/>
            <w:vAlign w:val="bottom"/>
          </w:tcPr>
          <w:p>
            <w:pPr>
              <w:jc w:val="right"/>
              <w:ind w:right="139"/>
              <w:spacing w:after="0"/>
              <w:rPr>
                <w:rFonts w:ascii="Arial" w:cs="Arial" w:eastAsia="Arial" w:hAnsi="Arial"/>
                <w:sz w:val="16"/>
                <w:szCs w:val="16"/>
                <w:color w:val="0000FF"/>
              </w:rPr>
            </w:pPr>
            <w:hyperlink w:anchor="page26">
              <w:r>
                <w:rPr>
                  <w:rFonts w:ascii="Arial" w:cs="Arial" w:eastAsia="Arial" w:hAnsi="Arial"/>
                  <w:sz w:val="16"/>
                  <w:szCs w:val="16"/>
                  <w:color w:val="0000FF"/>
                </w:rPr>
                <w:t>24</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1.</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Legal Proceedings</w:t>
              </w:r>
            </w:hyperlink>
          </w:p>
        </w:tc>
        <w:tc>
          <w:tcPr>
            <w:tcW w:w="1280" w:type="dxa"/>
            <w:vAlign w:val="bottom"/>
          </w:tcPr>
          <w:p>
            <w:pPr>
              <w:jc w:val="right"/>
              <w:ind w:right="139"/>
              <w:spacing w:after="0"/>
              <w:rPr>
                <w:rFonts w:ascii="Arial" w:cs="Arial" w:eastAsia="Arial" w:hAnsi="Arial"/>
                <w:sz w:val="16"/>
                <w:szCs w:val="16"/>
                <w:color w:val="0000FF"/>
              </w:rPr>
            </w:pPr>
            <w:hyperlink w:anchor="page26">
              <w:r>
                <w:rPr>
                  <w:rFonts w:ascii="Arial" w:cs="Arial" w:eastAsia="Arial" w:hAnsi="Arial"/>
                  <w:sz w:val="16"/>
                  <w:szCs w:val="16"/>
                  <w:color w:val="0000FF"/>
                </w:rPr>
                <w:t>24</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1A.</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Risk Factors</w:t>
              </w:r>
            </w:hyperlink>
          </w:p>
        </w:tc>
        <w:tc>
          <w:tcPr>
            <w:tcW w:w="1280" w:type="dxa"/>
            <w:vAlign w:val="bottom"/>
          </w:tcPr>
          <w:p>
            <w:pPr>
              <w:jc w:val="right"/>
              <w:ind w:right="139"/>
              <w:spacing w:after="0"/>
              <w:rPr>
                <w:rFonts w:ascii="Arial" w:cs="Arial" w:eastAsia="Arial" w:hAnsi="Arial"/>
                <w:sz w:val="16"/>
                <w:szCs w:val="16"/>
                <w:color w:val="0000FF"/>
              </w:rPr>
            </w:pPr>
            <w:hyperlink w:anchor="page26">
              <w:r>
                <w:rPr>
                  <w:rFonts w:ascii="Arial" w:cs="Arial" w:eastAsia="Arial" w:hAnsi="Arial"/>
                  <w:sz w:val="16"/>
                  <w:szCs w:val="16"/>
                  <w:color w:val="0000FF"/>
                </w:rPr>
                <w:t>24</w:t>
              </w:r>
            </w:hyperlink>
          </w:p>
        </w:tc>
      </w:tr>
      <w:tr>
        <w:trPr>
          <w:trHeight w:val="270"/>
        </w:trPr>
        <w:tc>
          <w:tcPr>
            <w:tcW w:w="1120" w:type="dxa"/>
            <w:vAlign w:val="bottom"/>
          </w:tcPr>
          <w:p>
            <w:pPr>
              <w:ind w:left="280"/>
              <w:spacing w:after="0"/>
              <w:rPr>
                <w:sz w:val="20"/>
                <w:szCs w:val="20"/>
                <w:color w:val="auto"/>
              </w:rPr>
            </w:pPr>
            <w:r>
              <w:rPr>
                <w:rFonts w:ascii="Arial" w:cs="Arial" w:eastAsia="Arial" w:hAnsi="Arial"/>
                <w:sz w:val="16"/>
                <w:szCs w:val="16"/>
                <w:color w:val="auto"/>
              </w:rPr>
              <w:t>Item 2.</w:t>
            </w:r>
          </w:p>
        </w:tc>
        <w:tc>
          <w:tcPr>
            <w:tcW w:w="200" w:type="dxa"/>
            <w:vAlign w:val="bottom"/>
          </w:tcPr>
          <w:p>
            <w:pPr>
              <w:spacing w:after="0"/>
              <w:rPr>
                <w:sz w:val="23"/>
                <w:szCs w:val="23"/>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6">
              <w:r>
                <w:rPr>
                  <w:rFonts w:ascii="Arial" w:cs="Arial" w:eastAsia="Arial" w:hAnsi="Arial"/>
                  <w:sz w:val="16"/>
                  <w:szCs w:val="16"/>
                  <w:u w:val="single" w:color="auto"/>
                  <w:color w:val="0000FF"/>
                </w:rPr>
                <w:t>Unregistered Sales of Equity Securities and Use of Proceeds</w:t>
              </w:r>
            </w:hyperlink>
          </w:p>
        </w:tc>
        <w:tc>
          <w:tcPr>
            <w:tcW w:w="1280" w:type="dxa"/>
            <w:vAlign w:val="bottom"/>
          </w:tcPr>
          <w:p>
            <w:pPr>
              <w:jc w:val="right"/>
              <w:ind w:right="139"/>
              <w:spacing w:after="0"/>
              <w:rPr>
                <w:rFonts w:ascii="Arial" w:cs="Arial" w:eastAsia="Arial" w:hAnsi="Arial"/>
                <w:sz w:val="16"/>
                <w:szCs w:val="16"/>
                <w:color w:val="0000FF"/>
              </w:rPr>
            </w:pPr>
            <w:hyperlink w:anchor="page26">
              <w:r>
                <w:rPr>
                  <w:rFonts w:ascii="Arial" w:cs="Arial" w:eastAsia="Arial" w:hAnsi="Arial"/>
                  <w:sz w:val="16"/>
                  <w:szCs w:val="16"/>
                  <w:color w:val="0000FF"/>
                </w:rPr>
                <w:t>24</w:t>
              </w:r>
            </w:hyperlink>
          </w:p>
        </w:tc>
      </w:tr>
      <w:tr>
        <w:trPr>
          <w:trHeight w:val="311"/>
        </w:trPr>
        <w:tc>
          <w:tcPr>
            <w:tcW w:w="1120" w:type="dxa"/>
            <w:vAlign w:val="bottom"/>
          </w:tcPr>
          <w:p>
            <w:pPr>
              <w:ind w:left="240"/>
              <w:spacing w:after="0"/>
              <w:rPr>
                <w:sz w:val="20"/>
                <w:szCs w:val="20"/>
                <w:color w:val="auto"/>
              </w:rPr>
            </w:pPr>
            <w:r>
              <w:rPr>
                <w:rFonts w:ascii="Arial" w:cs="Arial" w:eastAsia="Arial" w:hAnsi="Arial"/>
                <w:sz w:val="16"/>
                <w:szCs w:val="16"/>
                <w:color w:val="auto"/>
              </w:rPr>
              <w:t>Item 6.</w:t>
            </w:r>
          </w:p>
        </w:tc>
        <w:tc>
          <w:tcPr>
            <w:tcW w:w="200" w:type="dxa"/>
            <w:vAlign w:val="bottom"/>
          </w:tcPr>
          <w:p>
            <w:pPr>
              <w:spacing w:after="0"/>
              <w:rPr>
                <w:sz w:val="24"/>
                <w:szCs w:val="24"/>
                <w:color w:val="auto"/>
              </w:rPr>
            </w:pPr>
          </w:p>
        </w:tc>
        <w:tc>
          <w:tcPr>
            <w:tcW w:w="8640" w:type="dxa"/>
            <w:vAlign w:val="bottom"/>
            <w:gridSpan w:val="12"/>
          </w:tcPr>
          <w:p>
            <w:pPr>
              <w:spacing w:after="0"/>
              <w:rPr>
                <w:rFonts w:ascii="Arial" w:cs="Arial" w:eastAsia="Arial" w:hAnsi="Arial"/>
                <w:sz w:val="16"/>
                <w:szCs w:val="16"/>
                <w:u w:val="single" w:color="auto"/>
                <w:color w:val="0000FF"/>
              </w:rPr>
            </w:pPr>
            <w:hyperlink w:anchor="page28">
              <w:r>
                <w:rPr>
                  <w:rFonts w:ascii="Arial" w:cs="Arial" w:eastAsia="Arial" w:hAnsi="Arial"/>
                  <w:sz w:val="16"/>
                  <w:szCs w:val="16"/>
                  <w:u w:val="single" w:color="auto"/>
                  <w:color w:val="0000FF"/>
                </w:rPr>
                <w:t>Exhibits</w:t>
              </w:r>
            </w:hyperlink>
          </w:p>
        </w:tc>
        <w:tc>
          <w:tcPr>
            <w:tcW w:w="1280" w:type="dxa"/>
            <w:vAlign w:val="bottom"/>
          </w:tcPr>
          <w:p>
            <w:pPr>
              <w:jc w:val="right"/>
              <w:ind w:right="139"/>
              <w:spacing w:after="0"/>
              <w:rPr>
                <w:rFonts w:ascii="Arial" w:cs="Arial" w:eastAsia="Arial" w:hAnsi="Arial"/>
                <w:sz w:val="16"/>
                <w:szCs w:val="16"/>
                <w:color w:val="0000FF"/>
              </w:rPr>
            </w:pPr>
            <w:hyperlink w:anchor="page28">
              <w:r>
                <w:rPr>
                  <w:rFonts w:ascii="Arial" w:cs="Arial" w:eastAsia="Arial" w:hAnsi="Arial"/>
                  <w:sz w:val="16"/>
                  <w:szCs w:val="16"/>
                  <w:color w:val="0000FF"/>
                </w:rPr>
                <w:t>26</w:t>
              </w:r>
            </w:hyperlink>
          </w:p>
        </w:tc>
      </w:tr>
      <w:tr>
        <w:trPr>
          <w:trHeight w:val="270"/>
        </w:trPr>
        <w:tc>
          <w:tcPr>
            <w:tcW w:w="1120" w:type="dxa"/>
            <w:vAlign w:val="bottom"/>
          </w:tcPr>
          <w:p>
            <w:pPr>
              <w:ind w:left="280"/>
              <w:spacing w:after="0"/>
              <w:rPr>
                <w:rFonts w:ascii="Arial" w:cs="Arial" w:eastAsia="Arial" w:hAnsi="Arial"/>
                <w:sz w:val="16"/>
                <w:szCs w:val="16"/>
                <w:u w:val="single" w:color="auto"/>
                <w:color w:val="0000FF"/>
              </w:rPr>
            </w:pPr>
            <w:hyperlink w:anchor="page29">
              <w:r>
                <w:rPr>
                  <w:rFonts w:ascii="Arial" w:cs="Arial" w:eastAsia="Arial" w:hAnsi="Arial"/>
                  <w:sz w:val="16"/>
                  <w:szCs w:val="16"/>
                  <w:u w:val="single" w:color="auto"/>
                  <w:color w:val="0000FF"/>
                </w:rPr>
                <w:t>Signatures</w:t>
              </w:r>
            </w:hyperlink>
          </w:p>
        </w:tc>
        <w:tc>
          <w:tcPr>
            <w:tcW w:w="200" w:type="dxa"/>
            <w:vAlign w:val="bottom"/>
          </w:tcPr>
          <w:p>
            <w:pPr>
              <w:spacing w:after="0"/>
              <w:rPr>
                <w:sz w:val="23"/>
                <w:szCs w:val="23"/>
                <w:color w:val="auto"/>
              </w:rPr>
            </w:pPr>
          </w:p>
        </w:tc>
        <w:tc>
          <w:tcPr>
            <w:tcW w:w="4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80" w:type="dxa"/>
            <w:vAlign w:val="bottom"/>
          </w:tcPr>
          <w:p>
            <w:pPr>
              <w:jc w:val="right"/>
              <w:ind w:right="139"/>
              <w:spacing w:after="0"/>
              <w:rPr>
                <w:rFonts w:ascii="Arial" w:cs="Arial" w:eastAsia="Arial" w:hAnsi="Arial"/>
                <w:sz w:val="16"/>
                <w:szCs w:val="16"/>
                <w:color w:val="0000FF"/>
              </w:rPr>
            </w:pPr>
            <w:hyperlink w:anchor="page29">
              <w:r>
                <w:rPr>
                  <w:rFonts w:ascii="Arial" w:cs="Arial" w:eastAsia="Arial" w:hAnsi="Arial"/>
                  <w:sz w:val="16"/>
                  <w:szCs w:val="16"/>
                  <w:color w:val="0000FF"/>
                </w:rPr>
                <w:t>27</w:t>
              </w:r>
            </w:hyperlink>
          </w:p>
        </w:tc>
      </w:tr>
      <w:tr>
        <w:trPr>
          <w:trHeight w:val="2780"/>
        </w:trPr>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 w:name="page3"/>
    <w:bookmarkEnd w:id="2"/>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 and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December 31, 2019</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45,116</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49,766</w:t>
            </w: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11,172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13,177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Investments, at fair value</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37,272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50,324</w:t>
            </w:r>
          </w:p>
        </w:tc>
        <w:tc>
          <w:tcPr>
            <w:tcW w:w="0" w:type="dxa"/>
            <w:vAlign w:val="bottom"/>
          </w:tcPr>
          <w:p>
            <w:pPr>
              <w:spacing w:after="0"/>
              <w:rPr>
                <w:sz w:val="1"/>
                <w:szCs w:val="1"/>
                <w:color w:val="auto"/>
              </w:rPr>
            </w:pPr>
          </w:p>
        </w:tc>
      </w:tr>
      <w:tr>
        <w:trPr>
          <w:trHeight w:val="224"/>
        </w:trPr>
        <w:tc>
          <w:tcPr>
            <w:tcW w:w="8100" w:type="dxa"/>
            <w:vAlign w:val="bottom"/>
          </w:tcPr>
          <w:p>
            <w:pPr>
              <w:ind w:left="46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assets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2,168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2,544</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96,386</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116,961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8,154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8,154</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Noncurrent investments at fair value</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3,243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4,238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c>
          <w:tcPr>
            <w:tcW w:w="0" w:type="dxa"/>
            <w:vAlign w:val="bottom"/>
          </w:tcPr>
          <w:p>
            <w:pPr>
              <w:spacing w:after="0"/>
              <w:rPr>
                <w:sz w:val="1"/>
                <w:szCs w:val="1"/>
                <w:color w:val="auto"/>
              </w:rPr>
            </w:pPr>
          </w:p>
        </w:tc>
      </w:tr>
      <w:tr>
        <w:trPr>
          <w:trHeight w:val="224"/>
        </w:trPr>
        <w:tc>
          <w:tcPr>
            <w:tcW w:w="810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3,831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2,216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7,220</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7,562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14,833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15,256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 of accumulated depreciation of $7,570 and $7,395</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3,931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4,152</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Other long-term assets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157,802</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bottom w:val="single" w:sz="8" w:color="CCEEFF"/>
            </w:tcBorders>
            <w:vMerge w:val="restart"/>
          </w:tcPr>
          <w:p>
            <w:pPr>
              <w:ind w:left="22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1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19"/>
                <w:szCs w:val="19"/>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2,145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Dividends payable</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4,834</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7,362</w:t>
            </w:r>
          </w:p>
        </w:tc>
        <w:tc>
          <w:tcPr>
            <w:tcW w:w="0" w:type="dxa"/>
            <w:vAlign w:val="bottom"/>
          </w:tcPr>
          <w:p>
            <w:pPr>
              <w:spacing w:after="0"/>
              <w:rPr>
                <w:sz w:val="1"/>
                <w:szCs w:val="1"/>
                <w:color w:val="auto"/>
              </w:rPr>
            </w:pPr>
          </w:p>
        </w:tc>
      </w:tr>
      <w:tr>
        <w:trPr>
          <w:trHeight w:val="224"/>
        </w:trPr>
        <w:tc>
          <w:tcPr>
            <w:tcW w:w="8100" w:type="dxa"/>
            <w:vAlign w:val="bottom"/>
          </w:tcPr>
          <w:p>
            <w:pPr>
              <w:ind w:left="460"/>
              <w:spacing w:after="0"/>
              <w:rPr>
                <w:sz w:val="20"/>
                <w:szCs w:val="20"/>
                <w:color w:val="auto"/>
              </w:rPr>
            </w:pPr>
            <w:r>
              <w:rPr>
                <w:rFonts w:ascii="Arial" w:cs="Arial" w:eastAsia="Arial" w:hAnsi="Arial"/>
                <w:sz w:val="16"/>
                <w:szCs w:val="16"/>
                <w:color w:val="auto"/>
              </w:rPr>
              <w:t>Compensation and benefits payable</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9,975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1,622</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24"/>
        </w:trPr>
        <w:tc>
          <w:tcPr>
            <w:tcW w:w="8100" w:type="dxa"/>
            <w:vAlign w:val="bottom"/>
          </w:tcPr>
          <w:p>
            <w:pPr>
              <w:ind w:left="460"/>
              <w:spacing w:after="0"/>
              <w:rPr>
                <w:sz w:val="20"/>
                <w:szCs w:val="20"/>
                <w:color w:val="auto"/>
              </w:rPr>
            </w:pPr>
            <w:r>
              <w:rPr>
                <w:rFonts w:ascii="Arial" w:cs="Arial" w:eastAsia="Arial" w:hAnsi="Arial"/>
                <w:sz w:val="16"/>
                <w:szCs w:val="16"/>
                <w:color w:val="auto"/>
              </w:rPr>
              <w:t>Accrued stock repurchases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Income taxes payable</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11,698</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21,355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dividends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1,303</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7,304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7,762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19,413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30,420</w:t>
            </w:r>
          </w:p>
        </w:tc>
        <w:tc>
          <w:tcPr>
            <w:tcW w:w="0" w:type="dxa"/>
            <w:vAlign w:val="bottom"/>
          </w:tcPr>
          <w:p>
            <w:pPr>
              <w:spacing w:after="0"/>
              <w:rPr>
                <w:sz w:val="1"/>
                <w:szCs w:val="1"/>
                <w:color w:val="auto"/>
              </w:rPr>
            </w:pPr>
          </w:p>
        </w:tc>
      </w:tr>
      <w:tr>
        <w:trPr>
          <w:trHeight w:val="203"/>
        </w:trPr>
        <w:tc>
          <w:tcPr>
            <w:tcW w:w="810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8100" w:type="dxa"/>
            <w:vAlign w:val="bottom"/>
          </w:tcPr>
          <w:p>
            <w:pPr>
              <w:ind w:left="480"/>
              <w:spacing w:after="0" w:line="166" w:lineRule="exact"/>
              <w:rPr>
                <w:sz w:val="20"/>
                <w:szCs w:val="20"/>
                <w:color w:val="auto"/>
              </w:rPr>
            </w:pPr>
            <w:r>
              <w:rPr>
                <w:rFonts w:ascii="Arial" w:cs="Arial" w:eastAsia="Arial" w:hAnsi="Arial"/>
                <w:sz w:val="16"/>
                <w:szCs w:val="16"/>
                <w:color w:val="auto"/>
                <w:w w:val="91"/>
              </w:rPr>
              <w:t>Common stock, $0.01 par value, authorized 25,000,000 shares, issued 10,548,103 and outstanding 8,780,041 shares</w:t>
            </w:r>
          </w:p>
        </w:tc>
        <w:tc>
          <w:tcPr>
            <w:tcW w:w="240" w:type="dxa"/>
            <w:vAlign w:val="bottom"/>
          </w:tcPr>
          <w:p>
            <w:pPr>
              <w:spacing w:after="0"/>
              <w:rPr>
                <w:sz w:val="14"/>
                <w:szCs w:val="14"/>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9"/>
        </w:trPr>
        <w:tc>
          <w:tcPr>
            <w:tcW w:w="8100" w:type="dxa"/>
            <w:vAlign w:val="bottom"/>
          </w:tcPr>
          <w:p>
            <w:pPr>
              <w:ind w:left="640"/>
              <w:spacing w:after="0"/>
              <w:rPr>
                <w:sz w:val="20"/>
                <w:szCs w:val="20"/>
                <w:color w:val="auto"/>
              </w:rPr>
            </w:pPr>
            <w:r>
              <w:rPr>
                <w:rFonts w:ascii="Arial" w:cs="Arial" w:eastAsia="Arial" w:hAnsi="Arial"/>
                <w:sz w:val="16"/>
                <w:szCs w:val="16"/>
                <w:color w:val="auto"/>
              </w:rPr>
              <w:t>at March 31, 2020; issued 10,306,570 and outstanding 8,881,086 shares at December 31, 2019</w:t>
            </w:r>
          </w:p>
        </w:tc>
        <w:tc>
          <w:tcPr>
            <w:tcW w:w="2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206,267</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203,441</w:t>
            </w:r>
          </w:p>
        </w:tc>
        <w:tc>
          <w:tcPr>
            <w:tcW w:w="0" w:type="dxa"/>
            <w:vAlign w:val="bottom"/>
          </w:tcPr>
          <w:p>
            <w:pPr>
              <w:spacing w:after="0"/>
              <w:rPr>
                <w:sz w:val="1"/>
                <w:szCs w:val="1"/>
                <w:color w:val="auto"/>
              </w:rPr>
            </w:pPr>
          </w:p>
        </w:tc>
      </w:tr>
      <w:tr>
        <w:trPr>
          <w:trHeight w:val="224"/>
        </w:trPr>
        <w:tc>
          <w:tcPr>
            <w:tcW w:w="8100" w:type="dxa"/>
            <w:vAlign w:val="bottom"/>
          </w:tcPr>
          <w:p>
            <w:pPr>
              <w:ind w:left="480"/>
              <w:spacing w:after="0"/>
              <w:rPr>
                <w:sz w:val="20"/>
                <w:szCs w:val="20"/>
                <w:color w:val="auto"/>
              </w:rPr>
            </w:pPr>
            <w:r>
              <w:rPr>
                <w:rFonts w:ascii="Arial" w:cs="Arial" w:eastAsia="Arial" w:hAnsi="Arial"/>
                <w:sz w:val="16"/>
                <w:szCs w:val="16"/>
                <w:color w:val="auto"/>
              </w:rPr>
              <w:t>Treasury stock, at cost - 1,768,061 shares at March 31, 2020; 1,425,483 shares at December 31, 2019</w:t>
            </w:r>
          </w:p>
        </w:tc>
        <w:tc>
          <w:tcPr>
            <w:tcW w:w="2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(69,965)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(63,281)</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(6,185)</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(2,943)</w:t>
            </w:r>
          </w:p>
        </w:tc>
        <w:tc>
          <w:tcPr>
            <w:tcW w:w="0" w:type="dxa"/>
            <w:vAlign w:val="bottom"/>
          </w:tcPr>
          <w:p>
            <w:pPr>
              <w:spacing w:after="0"/>
              <w:rPr>
                <w:sz w:val="1"/>
                <w:szCs w:val="1"/>
                <w:color w:val="auto"/>
              </w:rPr>
            </w:pPr>
          </w:p>
        </w:tc>
      </w:tr>
      <w:tr>
        <w:trPr>
          <w:trHeight w:val="223"/>
        </w:trPr>
        <w:tc>
          <w:tcPr>
            <w:tcW w:w="8100" w:type="dxa"/>
            <w:vAlign w:val="bottom"/>
          </w:tcPr>
          <w:p>
            <w:pPr>
              <w:ind w:left="460"/>
              <w:spacing w:after="0"/>
              <w:rPr>
                <w:sz w:val="20"/>
                <w:szCs w:val="20"/>
                <w:color w:val="auto"/>
              </w:rPr>
            </w:pPr>
            <w:r>
              <w:rPr>
                <w:rFonts w:ascii="Arial" w:cs="Arial" w:eastAsia="Arial" w:hAnsi="Arial"/>
                <w:sz w:val="16"/>
                <w:szCs w:val="16"/>
                <w:color w:val="auto"/>
              </w:rPr>
              <w:t>Retained earnings</w:t>
            </w:r>
          </w:p>
        </w:tc>
        <w:tc>
          <w:tcPr>
            <w:tcW w:w="24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8,166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10,967</w:t>
            </w:r>
          </w:p>
        </w:tc>
        <w:tc>
          <w:tcPr>
            <w:tcW w:w="0" w:type="dxa"/>
            <w:vAlign w:val="bottom"/>
          </w:tcPr>
          <w:p>
            <w:pPr>
              <w:spacing w:after="0"/>
              <w:rPr>
                <w:sz w:val="1"/>
                <w:szCs w:val="1"/>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6"/>
                <w:szCs w:val="16"/>
                <w:color w:val="auto"/>
              </w:rPr>
              <w:t>Total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138,389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17"/>
        </w:trPr>
        <w:tc>
          <w:tcPr>
            <w:tcW w:w="8100" w:type="dxa"/>
            <w:vAlign w:val="bottom"/>
          </w:tcPr>
          <w:p>
            <w:pPr>
              <w:ind w:left="780"/>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157,802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178,707</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160"/>
          </w:cols>
          <w:pgMar w:left="360" w:top="1440" w:right="37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1440" w:right="379" w:bottom="1440" w:gutter="0" w:footer="0" w:header="0"/>
          <w:type w:val="continuous"/>
        </w:sectPr>
      </w:pPr>
    </w:p>
    <w:bookmarkStart w:id="3" w:name="page4"/>
    <w:bookmarkEnd w:id="3"/>
    <w:p>
      <w:pPr>
        <w:jc w:val="center"/>
        <w:spacing w:after="0" w:line="263" w:lineRule="auto"/>
        <w:rPr>
          <w:sz w:val="20"/>
          <w:szCs w:val="20"/>
          <w:color w:val="auto"/>
        </w:rPr>
      </w:pPr>
      <w:r>
        <w:rPr>
          <w:rFonts w:ascii="Arial" w:cs="Arial" w:eastAsia="Arial" w:hAnsi="Arial"/>
          <w:sz w:val="18"/>
          <w:szCs w:val="18"/>
          <w:b w:val="1"/>
          <w:bCs w:val="1"/>
          <w:color w:val="auto"/>
        </w:rPr>
        <w:t>WESTWOOD HOLDINGS GROUP, INC. AND SUBSIDIARIES CONDENSED CONSOLIDATED STATEMENTS OF COMPREHENSIVE INCOME (LOSS) (In thousands, except per share data and share amounts) (Unaudited)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2440" w:type="dxa"/>
            <w:vAlign w:val="bottom"/>
            <w:gridSpan w:val="5"/>
          </w:tcPr>
          <w:p>
            <w:pPr>
              <w:jc w:val="right"/>
              <w:ind w:right="10"/>
              <w:spacing w:after="0"/>
              <w:rPr>
                <w:sz w:val="20"/>
                <w:szCs w:val="20"/>
                <w:color w:val="auto"/>
              </w:rPr>
            </w:pPr>
            <w:r>
              <w:rPr>
                <w:rFonts w:ascii="Arial" w:cs="Arial" w:eastAsia="Arial" w:hAnsi="Arial"/>
                <w:sz w:val="16"/>
                <w:szCs w:val="16"/>
                <w:b w:val="1"/>
                <w:bCs w:val="1"/>
                <w:color w:val="auto"/>
                <w:w w:val="98"/>
              </w:rPr>
              <w:t>Three Months Ended March 31,</w:t>
            </w:r>
          </w:p>
        </w:tc>
        <w:tc>
          <w:tcPr>
            <w:tcW w:w="0" w:type="dxa"/>
            <w:vAlign w:val="bottom"/>
          </w:tcPr>
          <w:p>
            <w:pPr>
              <w:spacing w:after="0"/>
              <w:rPr>
                <w:sz w:val="1"/>
                <w:szCs w:val="1"/>
                <w:color w:val="auto"/>
              </w:rPr>
            </w:pPr>
          </w:p>
        </w:tc>
      </w:tr>
      <w:tr>
        <w:trPr>
          <w:trHeight w:val="33"/>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330"/>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16,406</w:t>
            </w:r>
          </w:p>
        </w:tc>
        <w:tc>
          <w:tcPr>
            <w:tcW w:w="0" w:type="dxa"/>
            <w:vAlign w:val="bottom"/>
          </w:tcPr>
          <w:p>
            <w:pPr>
              <w:spacing w:after="0"/>
              <w:rPr>
                <w:sz w:val="1"/>
                <w:szCs w:val="1"/>
                <w:color w:val="auto"/>
              </w:rPr>
            </w:pPr>
          </w:p>
        </w:tc>
      </w:tr>
      <w:tr>
        <w:trPr>
          <w:trHeight w:val="243"/>
        </w:trPr>
        <w:tc>
          <w:tcPr>
            <w:tcW w:w="880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20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6,539</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80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23,862</w:t>
            </w:r>
          </w:p>
        </w:tc>
        <w:tc>
          <w:tcPr>
            <w:tcW w:w="0" w:type="dxa"/>
            <w:vAlign w:val="bottom"/>
          </w:tcPr>
          <w:p>
            <w:pPr>
              <w:spacing w:after="0"/>
              <w:rPr>
                <w:sz w:val="1"/>
                <w:szCs w:val="1"/>
                <w:color w:val="auto"/>
              </w:rPr>
            </w:pPr>
          </w:p>
        </w:tc>
      </w:tr>
      <w:tr>
        <w:trPr>
          <w:trHeight w:val="22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12,668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14,610</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Westwood mutual funds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Information technology</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1,977</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2,306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37"/>
        </w:trPr>
        <w:tc>
          <w:tcPr>
            <w:tcW w:w="8800" w:type="dxa"/>
            <w:vAlign w:val="bottom"/>
          </w:tcPr>
          <w:p>
            <w:pPr>
              <w:ind w:left="860"/>
              <w:spacing w:after="0"/>
              <w:rPr>
                <w:sz w:val="20"/>
                <w:szCs w:val="20"/>
                <w:color w:val="auto"/>
              </w:rPr>
            </w:pPr>
            <w:r>
              <w:rPr>
                <w:rFonts w:ascii="Arial" w:cs="Arial" w:eastAsia="Arial" w:hAnsi="Arial"/>
                <w:sz w:val="18"/>
                <w:szCs w:val="18"/>
                <w:color w:val="auto"/>
              </w:rPr>
              <w:t>Total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16,253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22,366</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Unrealized gains (losses) on private investments</w:t>
            </w:r>
          </w:p>
        </w:tc>
        <w:tc>
          <w:tcPr>
            <w:tcW w:w="2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37"/>
        </w:trPr>
        <w:tc>
          <w:tcPr>
            <w:tcW w:w="880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37"/>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34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w w:val="99"/>
              </w:rPr>
              <w:t>8,414,393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w w:val="97"/>
              </w:rPr>
              <w:t>8,363,109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8,458,473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7"/>
              </w:rPr>
              <w:t>8,455,386</w:t>
            </w:r>
          </w:p>
        </w:tc>
        <w:tc>
          <w:tcPr>
            <w:tcW w:w="0" w:type="dxa"/>
            <w:vAlign w:val="bottom"/>
          </w:tcPr>
          <w:p>
            <w:pPr>
              <w:spacing w:after="0"/>
              <w:rPr>
                <w:sz w:val="1"/>
                <w:szCs w:val="1"/>
                <w:color w:val="auto"/>
              </w:rPr>
            </w:pP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Three Months Ended March 31, 2020 and 2019</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220" w:type="dxa"/>
            <w:vAlign w:val="bottom"/>
          </w:tcPr>
          <w:p>
            <w:pPr>
              <w:spacing w:after="0"/>
              <w:rPr>
                <w:sz w:val="16"/>
                <w:szCs w:val="16"/>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8,881,086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203,441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(63,281)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(2,943)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10,967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148,287</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1,102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loss</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(3,242)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(3,242)</w:t>
            </w: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241,533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declared ($0.43 per share)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(3,903)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(3,903)</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 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2,616</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8"/>
              </w:rPr>
              <w:t>Reclassification of compensation liability to be</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paid in shares</w:t>
            </w: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(272,059)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(4,867)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(4,867)</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rPr>
              <w:t>Purchase of treasury stock under employee</w:t>
            </w: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(27,474)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(697)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(697)</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 plans</w:t>
            </w: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220" w:type="dxa"/>
            <w:vAlign w:val="bottom"/>
          </w:tcPr>
          <w:p>
            <w:pPr>
              <w:spacing w:after="0"/>
              <w:rPr>
                <w:sz w:val="20"/>
                <w:szCs w:val="20"/>
                <w:color w:val="auto"/>
              </w:rPr>
            </w:pPr>
            <w:r>
              <w:rPr>
                <w:rFonts w:ascii="Arial" w:cs="Arial" w:eastAsia="Arial" w:hAnsi="Arial"/>
                <w:sz w:val="16"/>
                <w:szCs w:val="16"/>
                <w:color w:val="auto"/>
                <w:w w:val="97"/>
              </w:rPr>
              <w:t>Restricted stock returned for payment of taxes</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(43,045)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(1,120)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(1,120)</w:t>
            </w:r>
          </w:p>
        </w:tc>
        <w:tc>
          <w:tcPr>
            <w:tcW w:w="0" w:type="dxa"/>
            <w:vAlign w:val="bottom"/>
          </w:tcPr>
          <w:p>
            <w:pPr>
              <w:spacing w:after="0"/>
              <w:rPr>
                <w:sz w:val="1"/>
                <w:szCs w:val="1"/>
                <w:color w:val="auto"/>
              </w:rPr>
            </w:pPr>
          </w:p>
        </w:tc>
      </w:tr>
      <w:tr>
        <w:trPr>
          <w:trHeight w:val="33"/>
        </w:trPr>
        <w:tc>
          <w:tcPr>
            <w:tcW w:w="32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March 31, 2020</w:t>
            </w:r>
          </w:p>
        </w:tc>
        <w:tc>
          <w:tcPr>
            <w:tcW w:w="10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8,780,041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206,267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(69,965)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8,166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138,389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3220" w:type="dxa"/>
            <w:vAlign w:val="bottom"/>
          </w:tcPr>
          <w:p>
            <w:pPr>
              <w:spacing w:after="0"/>
              <w:rPr>
                <w:sz w:val="24"/>
                <w:szCs w:val="24"/>
                <w:color w:val="auto"/>
              </w:rPr>
            </w:pPr>
          </w:p>
        </w:tc>
        <w:tc>
          <w:tcPr>
            <w:tcW w:w="2160" w:type="dxa"/>
            <w:vAlign w:val="bottom"/>
            <w:gridSpan w:val="5"/>
          </w:tcPr>
          <w:p>
            <w:pPr>
              <w:ind w:left="360"/>
              <w:spacing w:after="0"/>
              <w:rPr>
                <w:sz w:val="20"/>
                <w:szCs w:val="20"/>
                <w:color w:val="auto"/>
              </w:rPr>
            </w:pPr>
            <w:r>
              <w:rPr>
                <w:rFonts w:ascii="Arial" w:cs="Arial" w:eastAsia="Arial" w:hAnsi="Arial"/>
                <w:sz w:val="15"/>
                <w:szCs w:val="15"/>
                <w:b w:val="1"/>
                <w:bCs w:val="1"/>
                <w:color w:val="auto"/>
              </w:rPr>
              <w:t>Common Stock, Par</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93"/>
              </w:rPr>
              <w:t>Accumulated Other</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Additional</w:t>
            </w:r>
          </w:p>
        </w:tc>
        <w:tc>
          <w:tcPr>
            <w:tcW w:w="140" w:type="dxa"/>
            <w:vAlign w:val="bottom"/>
          </w:tcPr>
          <w:p>
            <w:pPr>
              <w:spacing w:after="0"/>
              <w:rPr>
                <w:sz w:val="4"/>
                <w:szCs w:val="4"/>
                <w:color w:val="auto"/>
              </w:rPr>
            </w:pPr>
          </w:p>
        </w:tc>
        <w:tc>
          <w:tcPr>
            <w:tcW w:w="92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1"/>
              </w:rPr>
              <w:t>Treasury</w:t>
            </w:r>
          </w:p>
        </w:tc>
        <w:tc>
          <w:tcPr>
            <w:tcW w:w="140" w:type="dxa"/>
            <w:vAlign w:val="bottom"/>
          </w:tcPr>
          <w:p>
            <w:pPr>
              <w:spacing w:after="0"/>
              <w:rPr>
                <w:sz w:val="4"/>
                <w:szCs w:val="4"/>
                <w:color w:val="auto"/>
              </w:rPr>
            </w:pPr>
          </w:p>
        </w:tc>
        <w:tc>
          <w:tcPr>
            <w:tcW w:w="1400" w:type="dxa"/>
            <w:vAlign w:val="bottom"/>
            <w:gridSpan w:val="2"/>
            <w:vMerge w:val="restart"/>
          </w:tcPr>
          <w:p>
            <w:pPr>
              <w:jc w:val="center"/>
              <w:ind w:right="260"/>
              <w:spacing w:after="0" w:line="131" w:lineRule="exact"/>
              <w:rPr>
                <w:sz w:val="20"/>
                <w:szCs w:val="20"/>
                <w:color w:val="auto"/>
              </w:rPr>
            </w:pPr>
            <w:r>
              <w:rPr>
                <w:rFonts w:ascii="Arial" w:cs="Arial" w:eastAsia="Arial" w:hAnsi="Arial"/>
                <w:sz w:val="15"/>
                <w:szCs w:val="15"/>
                <w:b w:val="1"/>
                <w:bCs w:val="1"/>
                <w:color w:val="auto"/>
                <w:w w:val="90"/>
              </w:rPr>
              <w:t>Comprehensive</w:t>
            </w:r>
          </w:p>
        </w:tc>
        <w:tc>
          <w:tcPr>
            <w:tcW w:w="140" w:type="dxa"/>
            <w:vAlign w:val="bottom"/>
          </w:tcPr>
          <w:p>
            <w:pPr>
              <w:spacing w:after="0"/>
              <w:rPr>
                <w:sz w:val="4"/>
                <w:szCs w:val="4"/>
                <w:color w:val="auto"/>
              </w:rPr>
            </w:pPr>
          </w:p>
        </w:tc>
        <w:tc>
          <w:tcPr>
            <w:tcW w:w="940" w:type="dxa"/>
            <w:vAlign w:val="bottom"/>
            <w:gridSpan w:val="2"/>
            <w:vMerge w:val="restart"/>
          </w:tcPr>
          <w:p>
            <w:pPr>
              <w:ind w:left="40"/>
              <w:spacing w:after="0" w:line="131" w:lineRule="exact"/>
              <w:rPr>
                <w:sz w:val="20"/>
                <w:szCs w:val="20"/>
                <w:color w:val="auto"/>
              </w:rPr>
            </w:pPr>
            <w:r>
              <w:rPr>
                <w:rFonts w:ascii="Arial" w:cs="Arial" w:eastAsia="Arial" w:hAnsi="Arial"/>
                <w:sz w:val="15"/>
                <w:szCs w:val="15"/>
                <w:b w:val="1"/>
                <w:bCs w:val="1"/>
                <w:color w:val="auto"/>
              </w:rPr>
              <w:t>Retained</w:t>
            </w: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3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220" w:type="dxa"/>
            <w:vAlign w:val="bottom"/>
          </w:tcPr>
          <w:p>
            <w:pPr>
              <w:spacing w:after="0"/>
              <w:rPr>
                <w:sz w:val="17"/>
                <w:szCs w:val="17"/>
                <w:color w:val="auto"/>
              </w:rPr>
            </w:pPr>
          </w:p>
        </w:tc>
        <w:tc>
          <w:tcPr>
            <w:tcW w:w="114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Arial" w:cs="Arial" w:eastAsia="Arial" w:hAnsi="Arial"/>
                <w:sz w:val="15"/>
                <w:szCs w:val="15"/>
                <w:b w:val="1"/>
                <w:bCs w:val="1"/>
                <w:color w:val="auto"/>
              </w:rPr>
              <w:t>Amount</w:t>
            </w:r>
          </w:p>
        </w:tc>
        <w:tc>
          <w:tcPr>
            <w:tcW w:w="1160" w:type="dxa"/>
            <w:vAlign w:val="bottom"/>
            <w:gridSpan w:val="3"/>
          </w:tcPr>
          <w:p>
            <w:pPr>
              <w:ind w:left="20"/>
              <w:spacing w:after="0"/>
              <w:rPr>
                <w:sz w:val="20"/>
                <w:szCs w:val="20"/>
                <w:color w:val="auto"/>
              </w:rPr>
            </w:pPr>
            <w:r>
              <w:rPr>
                <w:rFonts w:ascii="Arial" w:cs="Arial" w:eastAsia="Arial" w:hAnsi="Arial"/>
                <w:sz w:val="15"/>
                <w:szCs w:val="15"/>
                <w:b w:val="1"/>
                <w:bCs w:val="1"/>
                <w:color w:val="auto"/>
              </w:rPr>
              <w:t>Paid-In Capital</w:t>
            </w:r>
          </w:p>
        </w:tc>
        <w:tc>
          <w:tcPr>
            <w:tcW w:w="1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2"/>
              </w:rPr>
              <w:t>Stock</w:t>
            </w:r>
          </w:p>
        </w:tc>
        <w:tc>
          <w:tcPr>
            <w:tcW w:w="140" w:type="dxa"/>
            <w:vAlign w:val="bottom"/>
          </w:tcPr>
          <w:p>
            <w:pPr>
              <w:spacing w:after="0"/>
              <w:rPr>
                <w:sz w:val="17"/>
                <w:szCs w:val="17"/>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Income (Loss)</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5"/>
                <w:szCs w:val="15"/>
                <w:b w:val="1"/>
                <w:bCs w:val="1"/>
                <w:color w:val="auto"/>
              </w:rPr>
              <w:t>Earnings</w:t>
            </w:r>
          </w:p>
        </w:tc>
        <w:tc>
          <w:tcPr>
            <w:tcW w:w="200" w:type="dxa"/>
            <w:vAlign w:val="bottom"/>
          </w:tcPr>
          <w:p>
            <w:pPr>
              <w:spacing w:after="0"/>
              <w:rPr>
                <w:sz w:val="17"/>
                <w:szCs w:val="17"/>
                <w:color w:val="auto"/>
              </w:rPr>
            </w:pPr>
          </w:p>
        </w:tc>
        <w:tc>
          <w:tcPr>
            <w:tcW w:w="760" w:type="dxa"/>
            <w:vAlign w:val="bottom"/>
          </w:tcPr>
          <w:p>
            <w:pPr>
              <w:jc w:val="right"/>
              <w:ind w:right="239"/>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34"/>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December 31, 2018</w:t>
            </w:r>
          </w:p>
        </w:tc>
        <w:tc>
          <w:tcPr>
            <w:tcW w:w="10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8,904,902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194,116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(58,711)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(4,883)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30,525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161,149</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Net income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40" w:type="dxa"/>
            <w:vAlign w:val="bottom"/>
          </w:tcPr>
          <w:p>
            <w:pPr>
              <w:jc w:val="right"/>
              <w:ind w:right="80"/>
              <w:spacing w:after="0"/>
              <w:rPr>
                <w:sz w:val="20"/>
                <w:szCs w:val="20"/>
                <w:color w:val="auto"/>
              </w:rPr>
            </w:pPr>
            <w:r>
              <w:rPr>
                <w:rFonts w:ascii="Arial" w:cs="Arial" w:eastAsia="Arial" w:hAnsi="Arial"/>
                <w:sz w:val="16"/>
                <w:szCs w:val="16"/>
                <w:color w:val="auto"/>
              </w:rPr>
              <w:t>392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comprehensive income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831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Issuance of restricted stock, net of forfeitures</w:t>
            </w:r>
          </w:p>
        </w:tc>
        <w:tc>
          <w:tcPr>
            <w:tcW w:w="1040" w:type="dxa"/>
            <w:vAlign w:val="bottom"/>
          </w:tcPr>
          <w:p>
            <w:pPr>
              <w:jc w:val="right"/>
              <w:ind w:right="80"/>
              <w:spacing w:after="0"/>
              <w:rPr>
                <w:sz w:val="20"/>
                <w:szCs w:val="20"/>
                <w:color w:val="auto"/>
              </w:rPr>
            </w:pPr>
            <w:r>
              <w:rPr>
                <w:rFonts w:ascii="Arial" w:cs="Arial" w:eastAsia="Arial" w:hAnsi="Arial"/>
                <w:sz w:val="16"/>
                <w:szCs w:val="16"/>
                <w:color w:val="auto"/>
              </w:rPr>
              <w:t>158,046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Dividends declared ($0.72 per share)</w:t>
            </w: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(6,380)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(6,380)</w:t>
            </w: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Stock based compensation expense</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3,252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20" w:type="dxa"/>
            <w:vAlign w:val="bottom"/>
            <w:shd w:val="clear" w:color="auto" w:fill="CCEEFF"/>
          </w:tcPr>
          <w:p>
            <w:pPr>
              <w:spacing w:after="0" w:line="166" w:lineRule="exact"/>
              <w:rPr>
                <w:sz w:val="20"/>
                <w:szCs w:val="20"/>
                <w:color w:val="auto"/>
              </w:rPr>
            </w:pPr>
            <w:r>
              <w:rPr>
                <w:rFonts w:ascii="Arial" w:cs="Arial" w:eastAsia="Arial" w:hAnsi="Arial"/>
                <w:sz w:val="16"/>
                <w:szCs w:val="16"/>
                <w:color w:val="auto"/>
                <w:w w:val="98"/>
              </w:rPr>
              <w:t>Reclassification of compensation liability to be</w:t>
            </w:r>
          </w:p>
        </w:tc>
        <w:tc>
          <w:tcPr>
            <w:tcW w:w="11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12"/>
        </w:trPr>
        <w:tc>
          <w:tcPr>
            <w:tcW w:w="3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paid in shares</w:t>
            </w:r>
          </w:p>
        </w:tc>
        <w:tc>
          <w:tcPr>
            <w:tcW w:w="11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20" w:type="dxa"/>
            <w:vAlign w:val="bottom"/>
          </w:tcPr>
          <w:p>
            <w:pPr>
              <w:spacing w:after="0"/>
              <w:rPr>
                <w:sz w:val="20"/>
                <w:szCs w:val="20"/>
                <w:color w:val="auto"/>
              </w:rPr>
            </w:pPr>
            <w:r>
              <w:rPr>
                <w:rFonts w:ascii="Arial" w:cs="Arial" w:eastAsia="Arial" w:hAnsi="Arial"/>
                <w:sz w:val="16"/>
                <w:szCs w:val="16"/>
                <w:color w:val="auto"/>
              </w:rPr>
              <w:t>Purchases of treasury stock</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(25,047)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ind w:right="20"/>
              <w:spacing w:after="0"/>
              <w:rPr>
                <w:sz w:val="20"/>
                <w:szCs w:val="20"/>
                <w:color w:val="auto"/>
              </w:rPr>
            </w:pPr>
            <w:r>
              <w:rPr>
                <w:rFonts w:ascii="Arial" w:cs="Arial" w:eastAsia="Arial" w:hAnsi="Arial"/>
                <w:sz w:val="16"/>
                <w:szCs w:val="16"/>
                <w:color w:val="auto"/>
              </w:rPr>
              <w:t>(981)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(981)</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Restricted stock returned for payment of taxes</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(62,036)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17"/>
        </w:trPr>
        <w:tc>
          <w:tcPr>
            <w:tcW w:w="3220" w:type="dxa"/>
            <w:vAlign w:val="bottom"/>
          </w:tcPr>
          <w:p>
            <w:pPr>
              <w:spacing w:after="0"/>
              <w:rPr>
                <w:sz w:val="20"/>
                <w:szCs w:val="20"/>
                <w:color w:val="auto"/>
              </w:rPr>
            </w:pPr>
            <w:r>
              <w:rPr>
                <w:rFonts w:ascii="Arial" w:cs="Arial" w:eastAsia="Arial" w:hAnsi="Arial"/>
                <w:sz w:val="16"/>
                <w:szCs w:val="16"/>
                <w:b w:val="1"/>
                <w:bCs w:val="1"/>
                <w:color w:val="auto"/>
              </w:rPr>
              <w:t>Balance, March 31, 2019</w:t>
            </w:r>
          </w:p>
        </w:tc>
        <w:tc>
          <w:tcPr>
            <w:tcW w:w="10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8,975,865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197,598</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(62,077)</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(4,052)</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24,537</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156,110</w:t>
            </w:r>
          </w:p>
        </w:tc>
        <w:tc>
          <w:tcPr>
            <w:tcW w:w="0" w:type="dxa"/>
            <w:vAlign w:val="bottom"/>
          </w:tcPr>
          <w:p>
            <w:pPr>
              <w:spacing w:after="0"/>
              <w:rPr>
                <w:sz w:val="1"/>
                <w:szCs w:val="1"/>
                <w:color w:val="auto"/>
              </w:rPr>
            </w:pPr>
          </w:p>
        </w:tc>
      </w:tr>
      <w:tr>
        <w:trPr>
          <w:trHeight w:val="33"/>
        </w:trPr>
        <w:tc>
          <w:tcPr>
            <w:tcW w:w="32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255"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WESTWOOD HOLDINGS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5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9"/>
              <w:spacing w:after="0"/>
              <w:rPr>
                <w:sz w:val="20"/>
                <w:szCs w:val="20"/>
                <w:color w:val="auto"/>
              </w:rPr>
            </w:pPr>
            <w:r>
              <w:rPr>
                <w:rFonts w:ascii="Arial" w:cs="Arial" w:eastAsia="Arial" w:hAnsi="Arial"/>
                <w:sz w:val="16"/>
                <w:szCs w:val="16"/>
                <w:b w:val="1"/>
                <w:bCs w:val="1"/>
                <w:color w:val="auto"/>
              </w:rPr>
              <w:t>2019</w:t>
            </w:r>
          </w:p>
        </w:tc>
      </w:tr>
      <w:tr>
        <w:trPr>
          <w:trHeight w:val="3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1,102</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392</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Depreciation</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212</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413</w:t>
            </w:r>
          </w:p>
        </w:tc>
      </w:tr>
      <w:tr>
        <w:trPr>
          <w:trHeight w:val="223"/>
        </w:trPr>
        <w:tc>
          <w:tcPr>
            <w:tcW w:w="7980" w:type="dxa"/>
            <w:vAlign w:val="bottom"/>
          </w:tcPr>
          <w:p>
            <w:pPr>
              <w:ind w:left="660"/>
              <w:spacing w:after="0"/>
              <w:rPr>
                <w:sz w:val="20"/>
                <w:szCs w:val="20"/>
                <w:color w:val="auto"/>
              </w:rPr>
            </w:pPr>
            <w:r>
              <w:rPr>
                <w:rFonts w:ascii="Arial" w:cs="Arial" w:eastAsia="Arial" w:hAnsi="Arial"/>
                <w:sz w:val="16"/>
                <w:szCs w:val="16"/>
                <w:color w:val="auto"/>
              </w:rPr>
              <w:t>Unrealized (gains) losses on investments</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(374)</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 based compensation expense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2,616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3,252</w:t>
            </w: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273</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Non-cash lease expense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242</w:t>
            </w:r>
          </w:p>
        </w:tc>
      </w:tr>
      <w:tr>
        <w:trPr>
          <w:trHeight w:val="224"/>
        </w:trPr>
        <w:tc>
          <w:tcPr>
            <w:tcW w:w="7980" w:type="dxa"/>
            <w:vAlign w:val="bottom"/>
          </w:tcPr>
          <w:p>
            <w:pPr>
              <w:ind w:left="340"/>
              <w:spacing w:after="0"/>
              <w:rPr>
                <w:sz w:val="20"/>
                <w:szCs w:val="20"/>
                <w:color w:val="auto"/>
              </w:rPr>
            </w:pPr>
            <w:r>
              <w:rPr>
                <w:rFonts w:ascii="Arial" w:cs="Arial" w:eastAsia="Arial" w:hAnsi="Arial"/>
                <w:sz w:val="16"/>
                <w:szCs w:val="16"/>
                <w:color w:val="auto"/>
              </w:rPr>
              <w:t>Change in operating assets and liabilities:</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Net sales of investments - trading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12,916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16,554</w:t>
            </w:r>
          </w:p>
        </w:tc>
      </w:tr>
      <w:tr>
        <w:trPr>
          <w:trHeight w:val="223"/>
        </w:trPr>
        <w:tc>
          <w:tcPr>
            <w:tcW w:w="798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2,981</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(886)</w:t>
            </w:r>
          </w:p>
        </w:tc>
      </w:tr>
      <w:tr>
        <w:trPr>
          <w:trHeight w:val="224"/>
        </w:trPr>
        <w:tc>
          <w:tcPr>
            <w:tcW w:w="7980" w:type="dxa"/>
            <w:vAlign w:val="bottom"/>
          </w:tcPr>
          <w:p>
            <w:pPr>
              <w:ind w:left="660"/>
              <w:spacing w:after="0"/>
              <w:rPr>
                <w:sz w:val="20"/>
                <w:szCs w:val="20"/>
                <w:color w:val="auto"/>
              </w:rPr>
            </w:pPr>
            <w:r>
              <w:rPr>
                <w:rFonts w:ascii="Arial" w:cs="Arial" w:eastAsia="Arial" w:hAnsi="Arial"/>
                <w:sz w:val="16"/>
                <w:szCs w:val="16"/>
                <w:color w:val="auto"/>
              </w:rPr>
              <w:t>Accounts payable and accrued liabilities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(469)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Compensation and benefits payable</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(7,356)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(12,305)</w:t>
            </w:r>
          </w:p>
        </w:tc>
      </w:tr>
      <w:tr>
        <w:trPr>
          <w:trHeight w:val="223"/>
        </w:trPr>
        <w:tc>
          <w:tcPr>
            <w:tcW w:w="7980" w:type="dxa"/>
            <w:vAlign w:val="bottom"/>
          </w:tcPr>
          <w:p>
            <w:pPr>
              <w:ind w:left="660"/>
              <w:spacing w:after="0"/>
              <w:rPr>
                <w:sz w:val="20"/>
                <w:szCs w:val="20"/>
                <w:color w:val="auto"/>
              </w:rPr>
            </w:pPr>
            <w:r>
              <w:rPr>
                <w:rFonts w:ascii="Arial" w:cs="Arial" w:eastAsia="Arial" w:hAnsi="Arial"/>
                <w:sz w:val="16"/>
                <w:szCs w:val="16"/>
                <w:color w:val="auto"/>
              </w:rPr>
              <w:t>Income taxes payable</w:t>
            </w:r>
          </w:p>
        </w:tc>
        <w:tc>
          <w:tcPr>
            <w:tcW w:w="300" w:type="dxa"/>
            <w:vAlign w:val="bottom"/>
          </w:tcPr>
          <w:p>
            <w:pPr>
              <w:spacing w:after="0"/>
              <w:rPr>
                <w:sz w:val="19"/>
                <w:szCs w:val="19"/>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379</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6"/>
        </w:trPr>
        <w:tc>
          <w:tcPr>
            <w:tcW w:w="79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17"/>
        </w:trPr>
        <w:tc>
          <w:tcPr>
            <w:tcW w:w="7980" w:type="dxa"/>
            <w:vAlign w:val="bottom"/>
          </w:tcPr>
          <w:p>
            <w:pPr>
              <w:ind w:left="86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11,522</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10,565</w:t>
            </w:r>
          </w:p>
        </w:tc>
      </w:tr>
      <w:tr>
        <w:trPr>
          <w:trHeight w:val="3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Purchase of property and equipment</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investments</w:t>
            </w:r>
          </w:p>
        </w:tc>
        <w:tc>
          <w:tcPr>
            <w:tcW w:w="3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17"/>
        </w:trPr>
        <w:tc>
          <w:tcPr>
            <w:tcW w:w="7980" w:type="dxa"/>
            <w:vAlign w:val="bottom"/>
          </w:tcPr>
          <w:p>
            <w:pPr>
              <w:ind w:left="86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(321)</w:t>
            </w:r>
          </w:p>
        </w:tc>
      </w:tr>
      <w:tr>
        <w:trPr>
          <w:trHeight w:val="3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Purchases of treasury stock</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(3,947)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(981)</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Purchase of treasury stock under employee stock plans</w:t>
            </w:r>
          </w:p>
        </w:tc>
        <w:tc>
          <w:tcPr>
            <w:tcW w:w="3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Restricted stock returned for payment of taxes</w:t>
            </w:r>
          </w:p>
        </w:tc>
        <w:tc>
          <w:tcPr>
            <w:tcW w:w="300" w:type="dxa"/>
            <w:vAlign w:val="bottom"/>
          </w:tcPr>
          <w:p>
            <w:pPr>
              <w:spacing w:after="0"/>
              <w:rPr>
                <w:sz w:val="19"/>
                <w:szCs w:val="19"/>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3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(7,686)</w:t>
            </w:r>
          </w:p>
        </w:tc>
      </w:tr>
      <w:tr>
        <w:trPr>
          <w:trHeight w:val="217"/>
        </w:trPr>
        <w:tc>
          <w:tcPr>
            <w:tcW w:w="7980" w:type="dxa"/>
            <w:vAlign w:val="bottom"/>
          </w:tcPr>
          <w:p>
            <w:pPr>
              <w:ind w:left="86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(13,088)</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(11,052)</w:t>
            </w:r>
          </w:p>
        </w:tc>
      </w:tr>
      <w:tr>
        <w:trPr>
          <w:trHeight w:val="3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currency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780</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b w:val="1"/>
                <w:bCs w:val="1"/>
                <w:color w:val="auto"/>
              </w:rPr>
              <w:t>Net Change in Cash and Cash Equivalents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(4,650)</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r>
      <w:tr>
        <w:trPr>
          <w:trHeight w:val="33"/>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52,449</w:t>
            </w:r>
          </w:p>
        </w:tc>
      </w:tr>
      <w:tr>
        <w:trPr>
          <w:trHeight w:val="217"/>
        </w:trPr>
        <w:tc>
          <w:tcPr>
            <w:tcW w:w="798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45,116</w:t>
            </w:r>
          </w:p>
        </w:tc>
        <w:tc>
          <w:tcPr>
            <w:tcW w:w="100" w:type="dxa"/>
            <w:vAlign w:val="bottom"/>
          </w:tcPr>
          <w:p>
            <w:pPr>
              <w:spacing w:after="0"/>
              <w:rPr>
                <w:sz w:val="18"/>
                <w:szCs w:val="18"/>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52,421</w:t>
            </w:r>
          </w:p>
        </w:tc>
      </w:tr>
      <w:tr>
        <w:trPr>
          <w:trHeight w:val="33"/>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6"/>
                <w:szCs w:val="16"/>
                <w:color w:val="auto"/>
              </w:rPr>
              <w:t>Supplemental cash flow information:</w:t>
            </w:r>
          </w:p>
        </w:tc>
        <w:tc>
          <w:tcPr>
            <w:tcW w:w="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paid during the period for income taxes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453</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Accrued dividends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5,245</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7,980</w:t>
            </w:r>
          </w:p>
        </w:tc>
      </w:tr>
      <w:tr>
        <w:trPr>
          <w:trHeight w:val="33"/>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6"/>
        </w:trPr>
        <w:tc>
          <w:tcPr>
            <w:tcW w:w="7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purchase of property and equipment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425</w:t>
            </w:r>
          </w:p>
        </w:tc>
      </w:tr>
      <w:tr>
        <w:trPr>
          <w:trHeight w:val="223"/>
        </w:trPr>
        <w:tc>
          <w:tcPr>
            <w:tcW w:w="7980" w:type="dxa"/>
            <w:vAlign w:val="bottom"/>
          </w:tcPr>
          <w:p>
            <w:pPr>
              <w:ind w:left="340"/>
              <w:spacing w:after="0"/>
              <w:rPr>
                <w:sz w:val="20"/>
                <w:szCs w:val="20"/>
                <w:color w:val="auto"/>
              </w:rPr>
            </w:pPr>
            <w:r>
              <w:rPr>
                <w:rFonts w:ascii="Arial" w:cs="Arial" w:eastAsia="Arial" w:hAnsi="Arial"/>
                <w:sz w:val="16"/>
                <w:szCs w:val="16"/>
                <w:color w:val="auto"/>
              </w:rPr>
              <w:t>Accrued purchases of treasury stock</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920</w:t>
            </w:r>
          </w:p>
        </w:tc>
        <w:tc>
          <w:tcPr>
            <w:tcW w:w="10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240"/>
          </w:cols>
          <w:pgMar w:left="320" w:top="1255" w:right="3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type w:val="continuous"/>
        </w:sectPr>
      </w:pPr>
    </w:p>
    <w:bookmarkStart w:id="6" w:name="page7"/>
    <w:bookmarkEnd w:id="6"/>
    <w:p>
      <w:pPr>
        <w:jc w:val="center"/>
        <w:ind w:left="340" w:right="26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140" w:firstLine="486"/>
        <w:spacing w:after="0" w:line="289" w:lineRule="auto"/>
        <w:rPr>
          <w:sz w:val="20"/>
          <w:szCs w:val="20"/>
          <w:color w:val="auto"/>
        </w:rPr>
      </w:pPr>
      <w:r>
        <w:rPr>
          <w:rFonts w:ascii="Arial" w:cs="Arial" w:eastAsia="Arial" w:hAnsi="Arial"/>
          <w:sz w:val="16"/>
          <w:szCs w:val="16"/>
          <w:color w:val="auto"/>
        </w:rPr>
        <w:t>Westwood Holdings Group, Inc. (“Westwood”, “the Company”, “we”, “us” or “our”) was incorporated under the laws of the State of Delaware on December 12, 2001. Westwood manages investment assets and provides services for its clients through its wholly-owned subsidiaries, Westwood Management Corp. and Westwood Advisors, L.L.C. (referred to hereinafter together as “Westwood Management”), Westwood Trust and Westwood International Advisors Inc. (“Westwood International Advisors”). Westwood Management provides investment advisory services to institutional clients, a family of mutual funds called the Westwood Funds®, other mutual funds, individual investors and clients of Westwood Trust. Westwood International Advisors provides investment advisory services to institutional clients, the Westwood Funds®, other mutual funds, the UCITS Fund, individual investors and clients of Westwood Trust. Westwood Trust provides trust and custodial services and participation in self-sponsored common trust funds (“CTFs”) to institutions and high net worth individuals. Revenue is largely dependent on the total value and composition of assets under management ("AUM"). Accordingly, fluctuations in financial markets and in the composition of AUM impact our revenues and results of operations.</w:t>
      </w:r>
    </w:p>
    <w:p>
      <w:pPr>
        <w:spacing w:after="0" w:line="58" w:lineRule="exact"/>
        <w:rPr>
          <w:sz w:val="20"/>
          <w:szCs w:val="20"/>
          <w:color w:val="auto"/>
        </w:rPr>
      </w:pPr>
    </w:p>
    <w:p>
      <w:pPr>
        <w:jc w:val="both"/>
        <w:ind w:right="20" w:firstLine="486"/>
        <w:spacing w:after="0" w:line="311" w:lineRule="auto"/>
        <w:rPr>
          <w:sz w:val="20"/>
          <w:szCs w:val="20"/>
          <w:color w:val="auto"/>
        </w:rPr>
      </w:pPr>
      <w:r>
        <w:rPr>
          <w:rFonts w:ascii="Arial" w:cs="Arial" w:eastAsia="Arial" w:hAnsi="Arial"/>
          <w:sz w:val="16"/>
          <w:szCs w:val="16"/>
          <w:color w:val="auto"/>
        </w:rPr>
        <w:t>Westwood Management is registered with the Securities and Exchange Commission ("SEC") as an investment advisor ("RIA") under the Investment Advisers Act of 1940. Westwood Trust is chartered and regulated by the Texas Department of Banking. Westwood International Advisors is registered as a portfolio manager and exempt market dealer with the Ontario Securities Commission and the Autorité des marchés financiers in Québec.</w:t>
      </w:r>
    </w:p>
    <w:p>
      <w:pPr>
        <w:spacing w:after="0" w:line="37" w:lineRule="exact"/>
        <w:rPr>
          <w:sz w:val="20"/>
          <w:szCs w:val="20"/>
          <w:color w:val="auto"/>
        </w:rPr>
      </w:pPr>
    </w:p>
    <w:p>
      <w:pPr>
        <w:ind w:left="40" w:right="6340" w:hanging="32"/>
        <w:spacing w:after="0" w:line="378"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40" w:firstLine="486"/>
        <w:spacing w:after="0" w:line="255" w:lineRule="auto"/>
        <w:rPr>
          <w:sz w:val="20"/>
          <w:szCs w:val="20"/>
          <w:color w:val="auto"/>
        </w:rPr>
      </w:pPr>
      <w:r>
        <w:rPr>
          <w:rFonts w:ascii="Arial" w:cs="Arial" w:eastAsia="Arial" w:hAnsi="Arial"/>
          <w:sz w:val="18"/>
          <w:szCs w:val="18"/>
          <w:color w:val="auto"/>
        </w:rPr>
        <w:t>The accompanying Condensed Consolidated Financial Statements are unaudited and are presented in accordance with the requirements for quarterly reports on Form 10-Q and consequently do not include all of the information and footnote disclosures required by accounting principles generally accepted in the United States of America (“GAAP”). The Company’s Condensed Consolidated Financial Statements reflect all adjustments (consisting only of normal recurring adjustments) necessary in the opinion of management to present fairly our interim financial position and results of operations and cash flows for the periods presented. The accompanying Condensed Consolidated Financial Statements are presented in accordance with GAAP and the rules and regulations of the SEC.</w:t>
      </w:r>
    </w:p>
    <w:p>
      <w:pPr>
        <w:spacing w:after="0" w:line="84"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our Consolidated Financial Statements, and notes thereto, included in our Annual Report on Form 10-K for the year ended December 31, 2019, filed with the SEC. Operating results for the periods in these Condensed Consolidated Financial Statements are not necessarily indicative of results for any future period. The accompanying Condensed Consolidated Financial Statements include the accounts of Westwood and its subsidiaries. All intercompany accounts and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1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 Disclosure Framework- Changes to the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Requirements for Fair Value Measurement</w:t>
      </w:r>
      <w:r>
        <w:rPr>
          <w:rFonts w:ascii="Arial" w:cs="Arial" w:eastAsia="Arial" w:hAnsi="Arial"/>
          <w:sz w:val="17"/>
          <w:szCs w:val="17"/>
          <w:color w:val="auto"/>
        </w:rPr>
        <w:t>. The purpose of this amendment is to modify, remove and add certain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Under ASU 2018-13, entities are required to disclose the amount of total gains or losses recognized in other comprehensive income attributable to assets and liabilities categorized within Level 3 of the fair value hierarchy. The ASU includes an incremental requirement about significant unobservable inputs for Level 3 fair value measurements. The requirement to disclose reasons for transfers between Level 1 and Level 2 was removed. Various requirements for Level 3 disclosure were also modified. The amendments in this ASU are effective for all entities for fiscal years and interim periods beginning after December 15, 2019. We adopted this ASU as of January 1, 2020, and further information is included in Note 5 "Fair Value." There was no significant impact on our Condensed Consolidated Financial Statements.</w:t>
      </w:r>
    </w:p>
    <w:p>
      <w:pPr>
        <w:spacing w:after="0" w:line="7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(Topic 350):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The purpose of this amendment is to align the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for capitalizing implementation costs incurred in a hosting arrangement that is a service contract with the requirements for capitalizing implementation costs incurred to develop</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 w:name="page8"/>
    <w:bookmarkEnd w:id="7"/>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or obtain internal-use software (and hosting arrangements that include an internal-use software license). The amendments in this update are effective for public companies for fiscal years beginning after December 15, 2019, including interim periods within that fiscal year. We adopted this ASU as of January 1, 2020 under the prospective transition method. Incremental costs related to hosting arrangements will be recorded on the Condensed Consolidated Balance Sheets in either other current or other long-term assets, instead of intangible assets, net. Related amortization will be recorded in information technology expense on the Condensed Consolidated Statements of Comprehensive Income (Loss), amortization of previously capitalized costs were recorded in general and administrative expense.</w:t>
      </w:r>
    </w:p>
    <w:p>
      <w:pPr>
        <w:spacing w:after="0" w:line="8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 xml:space="preserve">In May 2019, the FASB issued ASU 2019-05, </w:t>
      </w:r>
      <w:r>
        <w:rPr>
          <w:rFonts w:ascii="Arial" w:cs="Arial" w:eastAsia="Arial" w:hAnsi="Arial"/>
          <w:sz w:val="18"/>
          <w:szCs w:val="18"/>
          <w:i w:val="1"/>
          <w:iCs w:val="1"/>
          <w:color w:val="auto"/>
        </w:rPr>
        <w:t>Financial Instruments—Credit Losses (Topic 326): Targeted Transition Relief.</w:t>
      </w:r>
      <w:r>
        <w:rPr>
          <w:rFonts w:ascii="Arial" w:cs="Arial" w:eastAsia="Arial" w:hAnsi="Arial"/>
          <w:sz w:val="18"/>
          <w:szCs w:val="18"/>
          <w:color w:val="auto"/>
        </w:rPr>
        <w:t xml:space="preserve"> The purpose of this amendment is to amend ASU 2016-13,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to allow companies to irrevocably elect, upon adoption of ASU 2016-13, the fair value option on financial instruments that were previously recorded at amortized cost and are within the scope of ASC 326-20, </w:t>
      </w:r>
      <w:r>
        <w:rPr>
          <w:rFonts w:ascii="Arial" w:cs="Arial" w:eastAsia="Arial" w:hAnsi="Arial"/>
          <w:sz w:val="18"/>
          <w:szCs w:val="18"/>
          <w:i w:val="1"/>
          <w:iCs w:val="1"/>
          <w:color w:val="auto"/>
        </w:rPr>
        <w:t>Financial Instruments-Credit Losses: Amortization Cost</w:t>
      </w:r>
      <w:r>
        <w:rPr>
          <w:rFonts w:ascii="Arial" w:cs="Arial" w:eastAsia="Arial" w:hAnsi="Arial"/>
          <w:sz w:val="18"/>
          <w:szCs w:val="18"/>
          <w:color w:val="auto"/>
        </w:rPr>
        <w:t xml:space="preserve">, if the instruments are eligible for the fair value option under Accounting Standards Codification 825 - </w:t>
      </w:r>
      <w:r>
        <w:rPr>
          <w:rFonts w:ascii="Arial" w:cs="Arial" w:eastAsia="Arial" w:hAnsi="Arial"/>
          <w:sz w:val="18"/>
          <w:szCs w:val="18"/>
          <w:i w:val="1"/>
          <w:iCs w:val="1"/>
          <w:color w:val="auto"/>
        </w:rPr>
        <w:t>Financial Instruments</w:t>
      </w:r>
      <w:r>
        <w:rPr>
          <w:rFonts w:ascii="Arial" w:cs="Arial" w:eastAsia="Arial" w:hAnsi="Arial"/>
          <w:sz w:val="18"/>
          <w:szCs w:val="18"/>
          <w:color w:val="auto"/>
        </w:rPr>
        <w:t>. The fair value option election does not apply to held-to-maturity debt securities. The amendments in this update are effective for public companies for fiscal years beginning after December 15, 2019, including interim periods within that fiscal year. We adopted this ASU as of January 1, 2020, and it did not have a significant impact on our Condensed Consolidated Financial Statements.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Basic earnings per common share is computed by dividing net income available to common stockholders by the weighted average number of shares outstanding for the applicable period. Diluted earnings per share is computed based on the weighted average number of shares outstanding plus the effect of any dilutive shares of restricted stock granted to employees and non-employee directors. There were approximately 131,000 and 51,000 anti-dilutive restricted shares outstanding for the three months ended March 31, 2020 and March 31, 2019, respectively.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sets forth the computation of basic and diluted earnings per share (in thousands, except per share and share amounts):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4"/>
          </w:tcPr>
          <w:p>
            <w:pPr>
              <w:jc w:val="right"/>
              <w:ind w:right="71"/>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8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8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2019</w:t>
            </w:r>
          </w:p>
        </w:tc>
      </w:tr>
      <w:tr>
        <w:trPr>
          <w:trHeight w:val="33"/>
        </w:trPr>
        <w:tc>
          <w:tcPr>
            <w:tcW w:w="8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w:t>
            </w:r>
          </w:p>
        </w:tc>
      </w:tr>
      <w:tr>
        <w:trPr>
          <w:trHeight w:val="256"/>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8,414,393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8,363,109</w:t>
            </w: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Dilutive potential shares from unvested restricted shares</w:t>
            </w:r>
          </w:p>
        </w:tc>
        <w:tc>
          <w:tcPr>
            <w:tcW w:w="14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44,080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92,277</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diluted</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8,458,473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8,455,386</w:t>
            </w:r>
          </w:p>
        </w:tc>
      </w:tr>
      <w:tr>
        <w:trPr>
          <w:trHeight w:val="257"/>
        </w:trPr>
        <w:tc>
          <w:tcPr>
            <w:tcW w:w="8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50"/>
        </w:trPr>
        <w:tc>
          <w:tcPr>
            <w:tcW w:w="8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0.05</w:t>
            </w:r>
          </w:p>
        </w:tc>
      </w:tr>
      <w:tr>
        <w:trPr>
          <w:trHeight w:val="27"/>
        </w:trPr>
        <w:tc>
          <w:tcPr>
            <w:tcW w:w="8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0.05</w:t>
            </w:r>
          </w:p>
        </w:tc>
      </w:tr>
      <w:tr>
        <w:trPr>
          <w:trHeight w:val="27"/>
        </w:trPr>
        <w:tc>
          <w:tcPr>
            <w:tcW w:w="87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21"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During 2018, we made a $5.4 million strategic investment in InvestCloud, which is included in “Investments” on our Condensed Consolidated Balance Sheets. This investment represents an equity interest in a private company without a readily determinable fair value. The Company has elected to apply the measurement alternative of cost minus impairment, if any, plus or minus changes resulting from observable price changes. Following observable price changes for this investment in 2019, we recorded a gain of $2.8 million. As of March 31, 2020 there were no additional observable price changes or indicators of impairment for this investment.</w:t>
      </w:r>
    </w:p>
    <w:p>
      <w:pPr>
        <w:spacing w:after="0" w:line="80"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Our investment in Charis, a private bank, is included in “Noncurrent investments at fair value” on our Condensed Consolidated Balance Sheets and is measured at fair value on a recurring basis. Following fair value increases resulting from market transactions, we recorded a gain of $0.6 million in 2019. In the three months ended March 31, 2020, we recorded a loss of $1.0 million, primarily as a result of a downturn in the banking industry due to global macroeconomic effects of the Coronavirus Disease 2019 ("COVID-19") pandemic.</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ind w:left="360" w:right="204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All other investments are carried at fair value on a recurring basis and are accounted for as trading securities.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Investments carried at fair value are presented in the table below (in thousands):</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w w:val="91"/>
              </w:rPr>
              <w:t>Estimated</w:t>
            </w:r>
          </w:p>
        </w:tc>
      </w:tr>
      <w:tr>
        <w:trPr>
          <w:trHeight w:val="203"/>
        </w:trPr>
        <w:tc>
          <w:tcPr>
            <w:tcW w:w="6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Unrealized</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Unrealized</w:t>
            </w:r>
          </w:p>
        </w:tc>
        <w:tc>
          <w:tcPr>
            <w:tcW w:w="160" w:type="dxa"/>
            <w:vAlign w:val="bottom"/>
          </w:tcPr>
          <w:p>
            <w:pPr>
              <w:spacing w:after="0"/>
              <w:rPr>
                <w:sz w:val="17"/>
                <w:szCs w:val="17"/>
                <w:color w:val="auto"/>
              </w:rPr>
            </w:pPr>
          </w:p>
        </w:tc>
        <w:tc>
          <w:tcPr>
            <w:tcW w:w="960" w:type="dxa"/>
            <w:vAlign w:val="bottom"/>
          </w:tcPr>
          <w:p>
            <w:pPr>
              <w:jc w:val="center"/>
              <w:ind w:right="92"/>
              <w:spacing w:after="0"/>
              <w:rPr>
                <w:sz w:val="20"/>
                <w:szCs w:val="20"/>
                <w:color w:val="auto"/>
              </w:rPr>
            </w:pPr>
            <w:r>
              <w:rPr>
                <w:rFonts w:ascii="Arial" w:cs="Arial" w:eastAsia="Arial" w:hAnsi="Arial"/>
                <w:sz w:val="16"/>
                <w:szCs w:val="16"/>
                <w:b w:val="1"/>
                <w:bCs w:val="1"/>
                <w:color w:val="auto"/>
              </w:rPr>
              <w:t>Fair</w:t>
            </w:r>
          </w:p>
        </w:tc>
      </w:tr>
      <w:tr>
        <w:trPr>
          <w:trHeight w:val="210"/>
        </w:trPr>
        <w:tc>
          <w:tcPr>
            <w:tcW w:w="6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160"/>
              <w:spacing w:after="0"/>
              <w:rPr>
                <w:sz w:val="20"/>
                <w:szCs w:val="20"/>
                <w:color w:val="auto"/>
              </w:rPr>
            </w:pPr>
            <w:r>
              <w:rPr>
                <w:rFonts w:ascii="Arial" w:cs="Arial" w:eastAsia="Arial" w:hAnsi="Arial"/>
                <w:sz w:val="16"/>
                <w:szCs w:val="16"/>
                <w:b w:val="1"/>
                <w:bCs w:val="1"/>
                <w:color w:val="auto"/>
              </w:rPr>
              <w:t>Cost</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Losses</w:t>
            </w:r>
          </w:p>
        </w:tc>
        <w:tc>
          <w:tcPr>
            <w:tcW w:w="160" w:type="dxa"/>
            <w:vAlign w:val="bottom"/>
          </w:tcPr>
          <w:p>
            <w:pPr>
              <w:spacing w:after="0"/>
              <w:rPr>
                <w:sz w:val="18"/>
                <w:szCs w:val="18"/>
                <w:color w:val="auto"/>
              </w:rPr>
            </w:pPr>
          </w:p>
        </w:tc>
        <w:tc>
          <w:tcPr>
            <w:tcW w:w="960" w:type="dxa"/>
            <w:vAlign w:val="bottom"/>
          </w:tcPr>
          <w:p>
            <w:pPr>
              <w:jc w:val="center"/>
              <w:ind w:right="72"/>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2020:</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27,418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27,749</w:t>
            </w: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5,065</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Equity funds</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4,666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ind w:left="480"/>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4,458</w:t>
            </w:r>
          </w:p>
        </w:tc>
      </w:tr>
      <w:tr>
        <w:trPr>
          <w:trHeight w:val="27"/>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37,272</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Private investment fund</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263</w:t>
            </w: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equity</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(440)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2,980</w:t>
            </w:r>
          </w:p>
        </w:tc>
      </w:tr>
      <w:tr>
        <w:trPr>
          <w:trHeight w:val="237"/>
        </w:trPr>
        <w:tc>
          <w:tcPr>
            <w:tcW w:w="6020" w:type="dxa"/>
            <w:vAlign w:val="bottom"/>
          </w:tcPr>
          <w:p>
            <w:pPr>
              <w:ind w:left="32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40,819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(648)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40,515</w:t>
            </w:r>
          </w:p>
        </w:tc>
      </w:tr>
      <w:tr>
        <w:trPr>
          <w:trHeight w:val="27"/>
        </w:trPr>
        <w:tc>
          <w:tcPr>
            <w:tcW w:w="6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6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6020" w:type="dxa"/>
            <w:vAlign w:val="bottom"/>
          </w:tcPr>
          <w:p>
            <w:pPr>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 and Government agency obligations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39,248</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Money market funds</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4,592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4,592</w:t>
            </w: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funds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6,399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6,484</w:t>
            </w:r>
          </w:p>
        </w:tc>
      </w:tr>
      <w:tr>
        <w:trPr>
          <w:trHeight w:val="237"/>
        </w:trPr>
        <w:tc>
          <w:tcPr>
            <w:tcW w:w="6020" w:type="dxa"/>
            <w:vAlign w:val="bottom"/>
          </w:tcPr>
          <w:p>
            <w:pPr>
              <w:ind w:left="320"/>
              <w:spacing w:after="0"/>
              <w:rPr>
                <w:sz w:val="20"/>
                <w:szCs w:val="20"/>
                <w:color w:val="auto"/>
              </w:rPr>
            </w:pPr>
            <w:r>
              <w:rPr>
                <w:rFonts w:ascii="Arial" w:cs="Arial" w:eastAsia="Arial" w:hAnsi="Arial"/>
                <w:sz w:val="18"/>
                <w:szCs w:val="18"/>
                <w:color w:val="auto"/>
              </w:rPr>
              <w:t>Total trading securities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50,065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259</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50,324</w:t>
            </w:r>
          </w:p>
        </w:tc>
      </w:tr>
      <w:tr>
        <w:trPr>
          <w:trHeight w:val="27"/>
        </w:trPr>
        <w:tc>
          <w:tcPr>
            <w:tcW w:w="6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Private investment fund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w:t>
            </w:r>
          </w:p>
        </w:tc>
      </w:tr>
      <w:tr>
        <w:trPr>
          <w:trHeight w:val="243"/>
        </w:trPr>
        <w:tc>
          <w:tcPr>
            <w:tcW w:w="6020" w:type="dxa"/>
            <w:vAlign w:val="bottom"/>
          </w:tcPr>
          <w:p>
            <w:pPr>
              <w:spacing w:after="0"/>
              <w:rPr>
                <w:sz w:val="20"/>
                <w:szCs w:val="20"/>
                <w:color w:val="auto"/>
              </w:rPr>
            </w:pPr>
            <w:r>
              <w:rPr>
                <w:rFonts w:ascii="Arial" w:cs="Arial" w:eastAsia="Arial" w:hAnsi="Arial"/>
                <w:sz w:val="18"/>
                <w:szCs w:val="18"/>
                <w:color w:val="auto"/>
              </w:rPr>
              <w:t>Private equity</w:t>
            </w:r>
          </w:p>
        </w:tc>
        <w:tc>
          <w:tcPr>
            <w:tcW w:w="24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3,975</w:t>
            </w:r>
          </w:p>
        </w:tc>
      </w:tr>
      <w:tr>
        <w:trPr>
          <w:trHeight w:val="27"/>
        </w:trPr>
        <w:tc>
          <w:tcPr>
            <w:tcW w:w="60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60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investments carried at fair value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53,735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827</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54,562</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of March 31, 2020 and December 31, 2019, approximately $4.4 million and $6.4 million, respectively, in corporate funds were invested in Westwood Funds®. See Note 8 “Variable Interest Entities.”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ASC 820, Fair Value Measurements, defines fair value, establishes a framework for measuring fair value and requires disclosures regarding certain fair value measurements. ASC 820 establishes a three-tier hierarchy for measuring fair value, as follows:</w:t>
      </w:r>
    </w:p>
    <w:p>
      <w:pPr>
        <w:spacing w:after="0" w:line="62" w:lineRule="exact"/>
        <w:rPr>
          <w:sz w:val="20"/>
          <w:szCs w:val="20"/>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directly or indirectly observable</w:t>
      </w:r>
    </w:p>
    <w:p>
      <w:pPr>
        <w:spacing w:after="0" w:line="117" w:lineRule="exact"/>
        <w:rPr>
          <w:rFonts w:ascii="Arial" w:cs="Arial" w:eastAsia="Arial" w:hAnsi="Arial"/>
          <w:sz w:val="18"/>
          <w:szCs w:val="18"/>
          <w:color w:val="auto"/>
        </w:rPr>
      </w:pPr>
    </w:p>
    <w:p>
      <w:pPr>
        <w:ind w:left="1140" w:hanging="565"/>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significant unobservable inputs where there is little or no market activity</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strategic investment in InvestCloud, discussed in Note 4 “Investments,” is excluded from the recurring fair value table shown below because we have elected to apply the measurement alternative for this investment.</w:t>
      </w:r>
    </w:p>
    <w:p>
      <w:pPr>
        <w:spacing w:after="0" w:line="62"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The following table summarizes the values of our investments measured at fair value on a recurring basis within the fair value hierarchy as of the dates indicated (in thousands):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 w:name="page10"/>
    <w:bookmarkEnd w:id="9"/>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Investments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4"/>
                <w:szCs w:val="14"/>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2"/>
              </w:rPr>
              <w:t>Measured at</w:t>
            </w:r>
          </w:p>
        </w:tc>
        <w:tc>
          <w:tcPr>
            <w:tcW w:w="220" w:type="dxa"/>
            <w:vAlign w:val="bottom"/>
          </w:tcPr>
          <w:p>
            <w:pPr>
              <w:spacing w:after="0"/>
              <w:rPr>
                <w:sz w:val="14"/>
                <w:szCs w:val="14"/>
                <w:color w:val="auto"/>
              </w:rPr>
            </w:pPr>
          </w:p>
        </w:tc>
        <w:tc>
          <w:tcPr>
            <w:tcW w:w="780" w:type="dxa"/>
            <w:vAlign w:val="bottom"/>
            <w:vMerge w:val="restart"/>
          </w:tcPr>
          <w:p>
            <w:pPr>
              <w:jc w:val="right"/>
              <w:ind w:right="235"/>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line="216" w:lineRule="exact"/>
              <w:rPr>
                <w:sz w:val="20"/>
                <w:szCs w:val="20"/>
                <w:color w:val="auto"/>
              </w:rPr>
            </w:pPr>
            <w:r>
              <w:rPr>
                <w:rFonts w:ascii="Arial" w:cs="Arial" w:eastAsia="Arial" w:hAnsi="Arial"/>
                <w:sz w:val="16"/>
                <w:szCs w:val="16"/>
                <w:b w:val="1"/>
                <w:bCs w:val="1"/>
                <w:color w:val="auto"/>
                <w:w w:val="90"/>
              </w:rPr>
              <w:t xml:space="preserve">NAV </w:t>
            </w:r>
            <w:r>
              <w:rPr>
                <w:rFonts w:ascii="Arial" w:cs="Arial" w:eastAsia="Arial" w:hAnsi="Arial"/>
                <w:sz w:val="21"/>
                <w:szCs w:val="21"/>
                <w:color w:val="auto"/>
                <w:w w:val="90"/>
                <w:vertAlign w:val="superscript"/>
              </w:rPr>
              <w:t>(1)</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March 31, 2020:</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37,272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37,272</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2,980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2,980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37,272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2,980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40,515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Investments in trading securities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ind w:right="55"/>
              <w:spacing w:after="0"/>
              <w:rPr>
                <w:sz w:val="20"/>
                <w:szCs w:val="20"/>
                <w:color w:val="auto"/>
              </w:rPr>
            </w:pPr>
            <w:r>
              <w:rPr>
                <w:rFonts w:ascii="Arial" w:cs="Arial" w:eastAsia="Arial" w:hAnsi="Arial"/>
                <w:sz w:val="17"/>
                <w:szCs w:val="17"/>
                <w:color w:val="auto"/>
              </w:rPr>
              <w:t>50,324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50,324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Private investment fund</w:t>
            </w: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6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92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1"/>
                <w:szCs w:val="21"/>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3,975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780" w:type="dxa"/>
            <w:vAlign w:val="bottom"/>
          </w:tcPr>
          <w:p>
            <w:pPr>
              <w:jc w:val="right"/>
              <w:ind w:right="75"/>
              <w:spacing w:after="0"/>
              <w:rPr>
                <w:sz w:val="20"/>
                <w:szCs w:val="20"/>
                <w:color w:val="auto"/>
              </w:rPr>
            </w:pPr>
            <w:r>
              <w:rPr>
                <w:rFonts w:ascii="Arial" w:cs="Arial" w:eastAsia="Arial" w:hAnsi="Arial"/>
                <w:sz w:val="17"/>
                <w:szCs w:val="17"/>
                <w:color w:val="auto"/>
              </w:rPr>
              <w:t>3,975</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measured at fair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50,324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3,975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263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54,562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20" w:right="600" w:firstLine="6"/>
        <w:spacing w:after="0" w:line="253" w:lineRule="auto"/>
        <w:tabs>
          <w:tab w:leader="none" w:pos="224" w:val="left"/>
        </w:tabs>
        <w:numPr>
          <w:ilvl w:val="0"/>
          <w:numId w:val="5"/>
        </w:numPr>
        <w:rPr>
          <w:rFonts w:ascii="Arial" w:cs="Arial" w:eastAsia="Arial" w:hAnsi="Arial"/>
          <w:sz w:val="14"/>
          <w:szCs w:val="14"/>
          <w:color w:val="auto"/>
        </w:rPr>
      </w:pPr>
      <w:r>
        <w:rPr>
          <w:rFonts w:ascii="Arial" w:cs="Arial" w:eastAsia="Arial" w:hAnsi="Arial"/>
          <w:sz w:val="14"/>
          <w:szCs w:val="14"/>
          <w:color w:val="auto"/>
        </w:rPr>
        <w:t>Comprised of certain investments measured at fair value using net asset value ("NAV") as a practical expedient. The fair value amounts presented in this table are intended to permit reconciliation of the fair value hierarchy to the amounts presented on our Condensed Consolidated Balance Sheets.</w:t>
      </w:r>
    </w:p>
    <w:p>
      <w:pPr>
        <w:spacing w:after="0" w:line="200" w:lineRule="exact"/>
        <w:rPr>
          <w:sz w:val="20"/>
          <w:szCs w:val="20"/>
          <w:color w:val="auto"/>
        </w:rPr>
      </w:pPr>
    </w:p>
    <w:p>
      <w:pPr>
        <w:spacing w:after="0" w:line="248"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Our investment in Charis is included within Level 3 of the fair value hierarchy as we value that investment utilizing inputs not observable in the market. Our investment is measured at fair value on a recurring basis using a market approach based on a price to tangible book value multiple range that is determined to be reasonable in the current environment, or market transactions. Management believes this valuation methodology is consistent with the banking industry and we will reevaluate our methodology and inputs on a quarterly basis.</w:t>
      </w:r>
    </w:p>
    <w:p>
      <w:pPr>
        <w:spacing w:after="0" w:line="63" w:lineRule="exact"/>
        <w:rPr>
          <w:sz w:val="20"/>
          <w:szCs w:val="20"/>
          <w:color w:val="auto"/>
        </w:rPr>
      </w:pPr>
    </w:p>
    <w:p>
      <w:pPr>
        <w:ind w:right="660" w:firstLine="486"/>
        <w:spacing w:after="0" w:line="277" w:lineRule="auto"/>
        <w:rPr>
          <w:sz w:val="20"/>
          <w:szCs w:val="20"/>
          <w:color w:val="auto"/>
        </w:rPr>
      </w:pPr>
      <w:r>
        <w:rPr>
          <w:rFonts w:ascii="Arial" w:cs="Arial" w:eastAsia="Arial" w:hAnsi="Arial"/>
          <w:sz w:val="18"/>
          <w:szCs w:val="18"/>
          <w:color w:val="auto"/>
        </w:rPr>
        <w:t>The following table summarizes the changes in Level 3 investments measured at fair value on a recurring basis for the periods presented (in thousands):</w:t>
      </w:r>
    </w:p>
    <w:p>
      <w:pPr>
        <w:spacing w:after="0" w:line="117"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Fair Value using Significant Unobservable</w:t>
      </w:r>
    </w:p>
    <w:p>
      <w:pPr>
        <w:spacing w:after="0" w:line="26"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Inputs (Level 3)</w:t>
      </w:r>
    </w:p>
    <w:p>
      <w:pPr>
        <w:spacing w:after="0" w:line="65" w:lineRule="exact"/>
        <w:rPr>
          <w:sz w:val="20"/>
          <w:szCs w:val="20"/>
          <w:color w:val="auto"/>
        </w:rPr>
      </w:pPr>
    </w:p>
    <w:p>
      <w:pPr>
        <w:ind w:left="8420"/>
        <w:spacing w:after="0"/>
        <w:rPr>
          <w:sz w:val="20"/>
          <w:szCs w:val="20"/>
          <w:color w:val="auto"/>
        </w:rPr>
      </w:pPr>
      <w:r>
        <w:rPr>
          <w:rFonts w:ascii="Arial" w:cs="Arial" w:eastAsia="Arial" w:hAnsi="Arial"/>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37465</wp:posOffset>
            </wp:positionV>
            <wp:extent cx="20916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ind w:right="552"/>
              <w:spacing w:after="0"/>
              <w:rPr>
                <w:sz w:val="20"/>
                <w:szCs w:val="20"/>
                <w:color w:val="auto"/>
              </w:rPr>
            </w:pPr>
            <w:r>
              <w:rPr>
                <w:rFonts w:ascii="Arial" w:cs="Arial" w:eastAsia="Arial" w:hAnsi="Arial"/>
                <w:sz w:val="16"/>
                <w:szCs w:val="16"/>
                <w:b w:val="1"/>
                <w:bCs w:val="1"/>
                <w:color w:val="auto"/>
              </w:rPr>
              <w:t>2019</w:t>
            </w:r>
          </w:p>
        </w:tc>
      </w:tr>
      <w:tr>
        <w:trPr>
          <w:trHeight w:val="33"/>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100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3,975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7800" w:type="dxa"/>
            <w:vAlign w:val="bottom"/>
          </w:tcPr>
          <w:p>
            <w:pPr>
              <w:ind w:left="320"/>
              <w:spacing w:after="0"/>
              <w:rPr>
                <w:sz w:val="20"/>
                <w:szCs w:val="20"/>
                <w:color w:val="auto"/>
              </w:rPr>
            </w:pPr>
            <w:r>
              <w:rPr>
                <w:rFonts w:ascii="Arial" w:cs="Arial" w:eastAsia="Arial" w:hAnsi="Arial"/>
                <w:sz w:val="18"/>
                <w:szCs w:val="18"/>
                <w:color w:val="auto"/>
              </w:rPr>
              <w:t>Unrealized gains (losses) on private investments</w:t>
            </w:r>
          </w:p>
        </w:tc>
        <w:tc>
          <w:tcPr>
            <w:tcW w:w="100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100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2,980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100" w:firstLine="486"/>
        <w:spacing w:after="0" w:line="286" w:lineRule="auto"/>
        <w:rPr>
          <w:sz w:val="20"/>
          <w:szCs w:val="20"/>
          <w:color w:val="auto"/>
        </w:rPr>
      </w:pPr>
      <w:r>
        <w:rPr>
          <w:rFonts w:ascii="Arial" w:cs="Arial" w:eastAsia="Arial" w:hAnsi="Arial"/>
          <w:sz w:val="17"/>
          <w:szCs w:val="17"/>
          <w:color w:val="auto"/>
        </w:rPr>
        <w:t>The March 31, 2020 private investment fair value of $3.0 million was valued using a market approach based on a price to tangible book value multiple, with unobservable book value multiples ranging from $1.05 to $1.25 per share, with a weighted average of $1.12 per share. Significant increases (decreases) in book value multiples in isolation would have resulted in a significantly higher (lower) fair value measurement.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OTHER INTANGIBLE ASSETS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Goodwill represents the excess of the cost of acquired assets over the fair value of the underlying identifiable assets at the date of acquisition. Goodwill is not amortized but is tested for impairment at least annually. We completed our most recent annual goodwill impairment assessment during the third quarter of 2019 and determined that no impairment loss was required. No impairments on goodwill were recorded during the three months ended March 31, 2020 or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12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Our intangible assets represent the acquisition date fair value of acquired client relationships, trade names, non-compete agreements and internally developed software and are reflected net of amortization. In valuing these assets, we made</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jc w:val="center"/>
        <w:ind w:left="380" w:right="202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significant estimates regarding their useful lives, growth rates and potential attrition. We periodically review intangible assets for events or circumstances that would indicate impairment. No intangible asset impairments were recorded during the three months ended March 31, 2020 or 2019.</w:t>
      </w:r>
    </w:p>
    <w:p>
      <w:pPr>
        <w:spacing w:after="0" w:line="12" w:lineRule="exact"/>
        <w:rPr>
          <w:sz w:val="20"/>
          <w:szCs w:val="20"/>
          <w:color w:val="auto"/>
        </w:rPr>
      </w:pPr>
    </w:p>
    <w:p>
      <w:pPr>
        <w:ind w:right="86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Share Repurchase Program</w:t>
      </w:r>
    </w:p>
    <w:p>
      <w:pPr>
        <w:ind w:right="60" w:firstLine="486"/>
        <w:spacing w:after="0" w:line="263" w:lineRule="auto"/>
        <w:rPr>
          <w:sz w:val="20"/>
          <w:szCs w:val="20"/>
          <w:color w:val="auto"/>
        </w:rPr>
      </w:pPr>
      <w:r>
        <w:rPr>
          <w:rFonts w:ascii="Arial" w:cs="Arial" w:eastAsia="Arial" w:hAnsi="Arial"/>
          <w:sz w:val="18"/>
          <w:szCs w:val="18"/>
          <w:color w:val="auto"/>
        </w:rPr>
        <w:t>In February 2020, our Board of Directors authorized management to repurchase up to an additional $10.0 million of our outstanding common stock on the open market or in privately negotiated transactions, bringing the total available under the share repurchase program to $12.9 million. As of March 31, 2020, approximately $8.1 million remained available under the share repurchase program.</w:t>
      </w:r>
    </w:p>
    <w:p>
      <w:pPr>
        <w:spacing w:after="0" w:line="7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During the three months ended March 31, 2020, the Company repurchased 272,059 shares of our common stock at an average price of $17.89 per share, including commissions, for an aggregate purchase price of $4.9 million under our share repurchase plan.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VARIABLE INTEREST ENTITIES</w:t>
      </w:r>
    </w:p>
    <w:p>
      <w:pPr>
        <w:spacing w:after="0" w:line="121" w:lineRule="exact"/>
        <w:rPr>
          <w:sz w:val="20"/>
          <w:szCs w:val="20"/>
          <w:color w:val="auto"/>
        </w:rPr>
      </w:pPr>
    </w:p>
    <w:p>
      <w:pPr>
        <w:ind w:firstLine="486"/>
        <w:spacing w:after="0" w:line="301" w:lineRule="auto"/>
        <w:rPr>
          <w:sz w:val="20"/>
          <w:szCs w:val="20"/>
          <w:color w:val="auto"/>
        </w:rPr>
      </w:pPr>
      <w:r>
        <w:rPr>
          <w:rFonts w:ascii="Arial" w:cs="Arial" w:eastAsia="Arial" w:hAnsi="Arial"/>
          <w:sz w:val="16"/>
          <w:szCs w:val="16"/>
          <w:color w:val="auto"/>
        </w:rPr>
        <w:t xml:space="preserve">We evaluated (i) our relationship as sponsor of the Common Trust Funds (“CTFs”) and managing member of the private equity funds Westwood Hospitality Fund I, LLC and Westwood Technology Opportunities Fund I, LP (collectively, the “Private Funds”), (ii) our advisory relationships with Westwood Investment Funds PLC (the “UCITS Fund”) and the Westwood Funds® and (iii) our investments in InvestCloud and Charis discussed in Note 4 </w:t>
      </w:r>
      <w:r>
        <w:rPr>
          <w:rFonts w:ascii="Arial" w:cs="Arial" w:eastAsia="Arial" w:hAnsi="Arial"/>
          <w:sz w:val="16"/>
          <w:szCs w:val="16"/>
          <w:color w:val="222222"/>
        </w:rPr>
        <w:t xml:space="preserve">“Investments” </w:t>
      </w:r>
      <w:r>
        <w:rPr>
          <w:rFonts w:ascii="Arial" w:cs="Arial" w:eastAsia="Arial" w:hAnsi="Arial"/>
          <w:sz w:val="16"/>
          <w:szCs w:val="16"/>
          <w:color w:val="000000"/>
        </w:rPr>
        <w:t>(“Private Equity”) to determine whether each of these entities is a variable interest entity (“VIE”) or voting ownership entity (“VOE”).</w:t>
      </w:r>
    </w:p>
    <w:p>
      <w:pPr>
        <w:spacing w:after="0" w:line="49" w:lineRule="exact"/>
        <w:rPr>
          <w:sz w:val="20"/>
          <w:szCs w:val="20"/>
          <w:color w:val="auto"/>
        </w:rPr>
      </w:pPr>
    </w:p>
    <w:p>
      <w:pPr>
        <w:ind w:firstLine="486"/>
        <w:spacing w:after="0" w:line="263" w:lineRule="auto"/>
        <w:rPr>
          <w:sz w:val="20"/>
          <w:szCs w:val="20"/>
          <w:color w:val="auto"/>
        </w:rPr>
      </w:pPr>
      <w:r>
        <w:rPr>
          <w:rFonts w:ascii="Arial" w:cs="Arial" w:eastAsia="Arial" w:hAnsi="Arial"/>
          <w:sz w:val="18"/>
          <w:szCs w:val="18"/>
          <w:color w:val="auto"/>
        </w:rPr>
        <w:t>Based on our analyses, we determined that the CTFs and Private Funds were VIEs, as the at-risk equity holders do not have the ability to direct the activities that most significantly impact the entities' economic performance, and the Company and its representatives have a majority control of the entities' respective boards of directors and can influence the respective entities' management and affairs.</w:t>
      </w:r>
    </w:p>
    <w:p>
      <w:pPr>
        <w:spacing w:after="0" w:line="76"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Although we have related parties on the UCITS Fund board of directors, the shareholders have rights to remove the current directors by a simple majority vote and so we determined that the UCITS Fund is not a VIE.</w:t>
      </w:r>
    </w:p>
    <w:p>
      <w:pPr>
        <w:spacing w:after="0" w:line="62" w:lineRule="exact"/>
        <w:rPr>
          <w:sz w:val="20"/>
          <w:szCs w:val="20"/>
          <w:color w:val="auto"/>
        </w:rPr>
      </w:pPr>
    </w:p>
    <w:p>
      <w:pPr>
        <w:ind w:right="340" w:firstLine="486"/>
        <w:spacing w:after="0" w:line="311" w:lineRule="auto"/>
        <w:rPr>
          <w:sz w:val="20"/>
          <w:szCs w:val="20"/>
          <w:color w:val="auto"/>
        </w:rPr>
      </w:pPr>
      <w:r>
        <w:rPr>
          <w:rFonts w:ascii="Arial" w:cs="Arial" w:eastAsia="Arial" w:hAnsi="Arial"/>
          <w:sz w:val="16"/>
          <w:szCs w:val="16"/>
          <w:color w:val="auto"/>
        </w:rPr>
        <w:t>Based on our analyses, we determined the UCITS Fund, Westwood Funds®, and Private Equity (i) have sufficient equity at risk to finance the entities' activities independently, (ii) have the obligation to absorb losses, the right to receive residual returns and the right to direct the activities of the entities that most significantly impact the entities' economic performance and (iii) are not structured with disproportionate voting rights.</w:t>
      </w:r>
    </w:p>
    <w:p>
      <w:pPr>
        <w:spacing w:after="0" w:line="41" w:lineRule="exact"/>
        <w:rPr>
          <w:sz w:val="20"/>
          <w:szCs w:val="20"/>
          <w:color w:val="auto"/>
        </w:rPr>
      </w:pPr>
    </w:p>
    <w:p>
      <w:pPr>
        <w:ind w:right="40" w:firstLine="486"/>
        <w:spacing w:after="0" w:line="308" w:lineRule="auto"/>
        <w:rPr>
          <w:sz w:val="20"/>
          <w:szCs w:val="20"/>
          <w:color w:val="auto"/>
        </w:rPr>
      </w:pPr>
      <w:r>
        <w:rPr>
          <w:rFonts w:ascii="Arial" w:cs="Arial" w:eastAsia="Arial" w:hAnsi="Arial"/>
          <w:sz w:val="17"/>
          <w:szCs w:val="17"/>
          <w:color w:val="auto"/>
        </w:rPr>
        <w:t>Based on our analyses of our investments in these entities for the periods ending March 31, 2020 and December 31, 2019, we have not consolidated the CTFs or Private Funds under the VIE method or the UCITS Fund, Westwood Funds® or Private Equity under the VOE method.</w:t>
      </w:r>
    </w:p>
    <w:p>
      <w:pPr>
        <w:spacing w:after="0" w:line="38" w:lineRule="exact"/>
        <w:rPr>
          <w:sz w:val="20"/>
          <w:szCs w:val="20"/>
          <w:color w:val="auto"/>
        </w:rPr>
      </w:pPr>
    </w:p>
    <w:p>
      <w:pPr>
        <w:ind w:right="220" w:firstLine="486"/>
        <w:spacing w:after="0" w:line="263" w:lineRule="auto"/>
        <w:rPr>
          <w:sz w:val="20"/>
          <w:szCs w:val="20"/>
          <w:color w:val="auto"/>
        </w:rPr>
      </w:pPr>
      <w:r>
        <w:rPr>
          <w:rFonts w:ascii="Arial" w:cs="Arial" w:eastAsia="Arial" w:hAnsi="Arial"/>
          <w:sz w:val="18"/>
          <w:szCs w:val="18"/>
          <w:color w:val="auto"/>
        </w:rPr>
        <w:t>As of March 31, 2020 and December 31, 2019, our seed investments in the Westwood Funds aggregated approximately $4.4 million and $6.4 million, respectively. The seed investments were provided for the sole purpose of showing the economic substance needed to establish the funds and are included in “Investments, at fair value” on our Condensed Consolidated Balance Sheets.</w:t>
      </w:r>
    </w:p>
    <w:p>
      <w:pPr>
        <w:spacing w:after="0" w:line="76" w:lineRule="exact"/>
        <w:rPr>
          <w:sz w:val="20"/>
          <w:szCs w:val="20"/>
          <w:color w:val="auto"/>
        </w:rPr>
      </w:pPr>
    </w:p>
    <w:p>
      <w:pPr>
        <w:ind w:right="140" w:firstLine="486"/>
        <w:spacing w:after="0" w:line="301" w:lineRule="auto"/>
        <w:rPr>
          <w:sz w:val="20"/>
          <w:szCs w:val="20"/>
          <w:color w:val="auto"/>
        </w:rPr>
      </w:pPr>
      <w:r>
        <w:rPr>
          <w:rFonts w:ascii="Arial" w:cs="Arial" w:eastAsia="Arial" w:hAnsi="Arial"/>
          <w:sz w:val="16"/>
          <w:szCs w:val="16"/>
          <w:color w:val="auto"/>
        </w:rPr>
        <w:t>We have not otherwise provided any financial support not previously contractually obligated to provide, and there are no arrangements that would require us to provide additional financial support to any of these entities. Our seed investments in the above-mentioned Westwood Funds</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are accounted for as investments consistent with our other investments described in Note 4 “Investments.” We recognized fee revenue from the Westwood VIEs and Westwood VOEs of approximately $5.7 million and $8.7 million for the three months ended March 31, 2020 and 2019, respectively.</w:t>
      </w:r>
    </w:p>
    <w:p>
      <w:pPr>
        <w:spacing w:after="0" w:line="4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following table displays the AUM, the amounts of our seed investments included in “Investments” on our consolidated balance sheets, and the risk of loss in each vehicle (in millions):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 w:name="page12"/>
    <w:bookmarkEnd w:id="11"/>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250"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As of March 31, 2020</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33"/>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83"/>
              </w:rPr>
              <w:t>Assets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03"/>
        </w:trPr>
        <w:tc>
          <w:tcPr>
            <w:tcW w:w="6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Under</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Corporate</w:t>
            </w: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0"/>
        </w:trPr>
        <w:tc>
          <w:tcPr>
            <w:tcW w:w="6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Management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Investment</w:t>
            </w:r>
          </w:p>
        </w:tc>
        <w:tc>
          <w:tcPr>
            <w:tcW w:w="120" w:type="dxa"/>
            <w:vAlign w:val="bottom"/>
          </w:tcPr>
          <w:p>
            <w:pPr>
              <w:spacing w:after="0"/>
              <w:rPr>
                <w:sz w:val="18"/>
                <w:szCs w:val="18"/>
                <w:color w:val="auto"/>
              </w:rPr>
            </w:pPr>
          </w:p>
        </w:tc>
        <w:tc>
          <w:tcPr>
            <w:tcW w:w="1280" w:type="dxa"/>
            <w:vAlign w:val="bottom"/>
          </w:tcPr>
          <w:p>
            <w:pPr>
              <w:jc w:val="right"/>
              <w:ind w:right="59"/>
              <w:spacing w:after="0"/>
              <w:rPr>
                <w:sz w:val="20"/>
                <w:szCs w:val="20"/>
                <w:color w:val="auto"/>
              </w:rPr>
            </w:pPr>
            <w:r>
              <w:rPr>
                <w:rFonts w:ascii="Arial" w:cs="Arial" w:eastAsia="Arial" w:hAnsi="Arial"/>
                <w:sz w:val="16"/>
                <w:szCs w:val="16"/>
                <w:b w:val="1"/>
                <w:bCs w:val="1"/>
                <w:color w:val="auto"/>
                <w:w w:val="95"/>
              </w:rPr>
              <w:t>Amount at Risk</w:t>
            </w:r>
          </w:p>
        </w:tc>
      </w:tr>
      <w:tr>
        <w:trPr>
          <w:trHeight w:val="33"/>
        </w:trPr>
        <w:tc>
          <w:tcPr>
            <w:tcW w:w="6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VIEs/VOEs: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Westwood Funds®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1,500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4.4</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Common Trust Funds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UCITS Fund</w:t>
            </w:r>
          </w:p>
        </w:tc>
        <w:tc>
          <w:tcPr>
            <w:tcW w:w="18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Private Funds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0.3</w:t>
            </w: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Private Equity</w:t>
            </w:r>
          </w:p>
        </w:tc>
        <w:tc>
          <w:tcPr>
            <w:tcW w:w="18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11.1</w:t>
            </w: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 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420" w:type="dxa"/>
            <w:vAlign w:val="bottom"/>
          </w:tcPr>
          <w:p>
            <w:pPr>
              <w:ind w:left="320"/>
              <w:spacing w:after="0"/>
              <w:rPr>
                <w:sz w:val="20"/>
                <w:szCs w:val="20"/>
                <w:color w:val="auto"/>
              </w:rPr>
            </w:pPr>
            <w:r>
              <w:rPr>
                <w:rFonts w:ascii="Arial" w:cs="Arial" w:eastAsia="Arial" w:hAnsi="Arial"/>
                <w:sz w:val="18"/>
                <w:szCs w:val="18"/>
                <w:color w:val="auto"/>
              </w:rPr>
              <w:t>Wealth Management</w:t>
            </w:r>
          </w:p>
        </w:tc>
        <w:tc>
          <w:tcPr>
            <w:tcW w:w="180" w:type="dxa"/>
            <w:vAlign w:val="bottom"/>
          </w:tcPr>
          <w:p>
            <w:pPr>
              <w:spacing w:after="0"/>
              <w:rPr>
                <w:sz w:val="21"/>
                <w:szCs w:val="21"/>
                <w:color w:val="auto"/>
              </w:rPr>
            </w:pPr>
          </w:p>
        </w:tc>
        <w:tc>
          <w:tcPr>
            <w:tcW w:w="1220" w:type="dxa"/>
            <w:vAlign w:val="bottom"/>
          </w:tcPr>
          <w:p>
            <w:pPr>
              <w:jc w:val="right"/>
              <w:ind w:right="59"/>
              <w:spacing w:after="0"/>
              <w:rPr>
                <w:sz w:val="20"/>
                <w:szCs w:val="20"/>
                <w:color w:val="auto"/>
              </w:rPr>
            </w:pPr>
            <w:r>
              <w:rPr>
                <w:rFonts w:ascii="Arial" w:cs="Arial" w:eastAsia="Arial" w:hAnsi="Arial"/>
                <w:sz w:val="16"/>
                <w:szCs w:val="16"/>
                <w:color w:val="auto"/>
              </w:rPr>
              <w:t>2,663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4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Institutional</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6,105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r>
      <w:tr>
        <w:trPr>
          <w:trHeight w:val="243"/>
        </w:trPr>
        <w:tc>
          <w:tcPr>
            <w:tcW w:w="6420" w:type="dxa"/>
            <w:vAlign w:val="bottom"/>
          </w:tcPr>
          <w:p>
            <w:pPr>
              <w:spacing w:after="0"/>
              <w:rPr>
                <w:sz w:val="20"/>
                <w:szCs w:val="20"/>
                <w:color w:val="auto"/>
              </w:rPr>
            </w:pPr>
            <w:r>
              <w:rPr>
                <w:rFonts w:ascii="Arial" w:cs="Arial" w:eastAsia="Arial" w:hAnsi="Arial"/>
                <w:sz w:val="18"/>
                <w:szCs w:val="18"/>
                <w:color w:val="auto"/>
              </w:rPr>
              <w:t>Total Assets Under Management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ind w:right="9580" w:firstLine="8"/>
        <w:spacing w:after="0" w:line="425" w:lineRule="auto"/>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Revenue Recognition</w:t>
      </w:r>
    </w:p>
    <w:p>
      <w:pPr>
        <w:ind w:firstLine="486"/>
        <w:spacing w:after="0" w:line="257" w:lineRule="auto"/>
        <w:rPr>
          <w:sz w:val="20"/>
          <w:szCs w:val="20"/>
          <w:color w:val="auto"/>
        </w:rPr>
      </w:pPr>
      <w:r>
        <w:rPr>
          <w:rFonts w:ascii="Arial" w:cs="Arial" w:eastAsia="Arial" w:hAnsi="Arial"/>
          <w:sz w:val="18"/>
          <w:szCs w:val="18"/>
          <w:color w:val="auto"/>
        </w:rPr>
        <w:t>Revenues are recognized when the performance obligation (the investment management and advisory or trust services provided to the client) defined by the investment advisory or sub-advisory agreement is satisfied. For each performance obligation, we determine at contract inception whether the revenue satisfies over time or at a point in time. We derive our revenues from investment advisory fees, trust fees and other sources of revenues. Advisory and trust fees are calculated based on a percentage of AUM and the performance obligation is realized over the current calendar quarter. Once clients receive our investment advisory services we have an enforceable right to payment.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Fee Revenues</w:t>
      </w:r>
    </w:p>
    <w:p>
      <w:pPr>
        <w:spacing w:after="0" w:line="121"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Our advisory fees are generated by Westwood Management and Westwood International Advisors,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Since our advance paying clients' billing periods coincide with the calendar quarter to which such payments relate, revenue is recognized within the quarter and our Condensed Consolidated Financial Statements contain no deferred advisory fee revenues. Advisory clients typically consist of institutional and mutual fund accounts.</w:t>
      </w:r>
    </w:p>
    <w:p>
      <w:pPr>
        <w:spacing w:after="0" w:line="69" w:lineRule="exact"/>
        <w:rPr>
          <w:sz w:val="20"/>
          <w:szCs w:val="20"/>
          <w:color w:val="auto"/>
        </w:rPr>
      </w:pPr>
    </w:p>
    <w:p>
      <w:pPr>
        <w:ind w:right="300" w:firstLine="486"/>
        <w:spacing w:after="0" w:line="301" w:lineRule="auto"/>
        <w:rPr>
          <w:sz w:val="20"/>
          <w:szCs w:val="20"/>
          <w:color w:val="auto"/>
        </w:rPr>
      </w:pPr>
      <w:r>
        <w:rPr>
          <w:rFonts w:ascii="Arial" w:cs="Arial" w:eastAsia="Arial" w:hAnsi="Arial"/>
          <w:sz w:val="16"/>
          <w:szCs w:val="16"/>
          <w:color w:val="auto"/>
        </w:rPr>
        <w:t>Institutional investors include separate accounts of (i)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49" w:lineRule="exact"/>
        <w:rPr>
          <w:sz w:val="20"/>
          <w:szCs w:val="20"/>
          <w:color w:val="auto"/>
        </w:rPr>
      </w:pPr>
    </w:p>
    <w:p>
      <w:pPr>
        <w:jc w:val="both"/>
        <w:ind w:right="620" w:firstLine="486"/>
        <w:spacing w:after="0" w:line="342" w:lineRule="auto"/>
        <w:rPr>
          <w:sz w:val="20"/>
          <w:szCs w:val="20"/>
          <w:color w:val="auto"/>
        </w:rPr>
      </w:pPr>
      <w:r>
        <w:rPr>
          <w:rFonts w:ascii="Arial" w:cs="Arial" w:eastAsia="Arial" w:hAnsi="Arial"/>
          <w:sz w:val="16"/>
          <w:szCs w:val="16"/>
          <w:color w:val="auto"/>
        </w:rPr>
        <w:t>Mutual funds include the Westwood Funds®, a family of mutual funds for which Westwood Management serves as advisor. These funds are available to individual investors, as well as offered as part of our investment strategies for institutional investors and wealth management accounts.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Performance Based Obligations</w:t>
      </w:r>
    </w:p>
    <w:p>
      <w:pPr>
        <w:spacing w:after="0" w:line="121"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 limited number of our advisory clients have a contractual performance-based fee component in their contracts, which generates additional revenues if we outperform a specified index over a specific period of time, and a limited number of our mutual fund offerings have fees that generate additional revenues if we outperform specified indices over specific periods of time.</w:t>
      </w:r>
    </w:p>
    <w:p>
      <w:pPr>
        <w:spacing w:after="0" w:line="76"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The revenue is based on future market performance and is subject to factors outside our control. We cannot conclude that a significant reversal in the cumulative amount of revenue recognized will not occur during the measurement period, and therefore the revenue is recorded at the end of the measurement period when the performance obligation has been satisfied.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Fee Revenues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The fees for most of our trust clients are calculated quarterly in arrears, based on a daily average of AUM for the quarter, or monthly, based on the month-end value of AUM. Since billing periods for most of Westwood Trust’s clients coincide with the calendar quarter, revenue is fully recognized within the quarter and our Condensed Consolidated Financial Statements contain no deferred advisory fee revenues.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Disaggregated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taxes are excluded from revenues. The following table presents our revenue disaggregated by account type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60" w:type="dxa"/>
            <w:vAlign w:val="bottom"/>
          </w:tcPr>
          <w:p>
            <w:pPr>
              <w:spacing w:after="0"/>
              <w:rPr>
                <w:sz w:val="18"/>
                <w:szCs w:val="18"/>
                <w:color w:val="auto"/>
              </w:rPr>
            </w:pPr>
          </w:p>
        </w:tc>
        <w:tc>
          <w:tcPr>
            <w:tcW w:w="2380" w:type="dxa"/>
            <w:vAlign w:val="bottom"/>
            <w:gridSpan w:val="5"/>
          </w:tcPr>
          <w:p>
            <w:pPr>
              <w:jc w:val="right"/>
              <w:spacing w:after="0"/>
              <w:rPr>
                <w:sz w:val="20"/>
                <w:szCs w:val="20"/>
                <w:color w:val="auto"/>
              </w:rPr>
            </w:pPr>
            <w:r>
              <w:rPr>
                <w:rFonts w:ascii="Arial" w:cs="Arial" w:eastAsia="Arial" w:hAnsi="Arial"/>
                <w:sz w:val="16"/>
                <w:szCs w:val="16"/>
                <w:b w:val="1"/>
                <w:bCs w:val="1"/>
                <w:color w:val="auto"/>
                <w:w w:val="96"/>
              </w:rPr>
              <w:t>Three Months Ended March 31,</w:t>
            </w:r>
          </w:p>
        </w:tc>
      </w:tr>
      <w:tr>
        <w:trPr>
          <w:trHeight w:val="33"/>
        </w:trPr>
        <w:tc>
          <w:tcPr>
            <w:tcW w:w="8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2019</w:t>
            </w:r>
          </w:p>
        </w:tc>
      </w:tr>
      <w:tr>
        <w:trPr>
          <w:trHeight w:val="33"/>
        </w:trPr>
        <w:tc>
          <w:tcPr>
            <w:tcW w:w="8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 Fees:</w:t>
            </w: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43"/>
        </w:trPr>
        <w:tc>
          <w:tcPr>
            <w:tcW w:w="8860" w:type="dxa"/>
            <w:vAlign w:val="bottom"/>
          </w:tcPr>
          <w:p>
            <w:pPr>
              <w:ind w:left="340"/>
              <w:spacing w:after="0"/>
              <w:rPr>
                <w:sz w:val="20"/>
                <w:szCs w:val="20"/>
                <w:color w:val="auto"/>
              </w:rPr>
            </w:pPr>
            <w:r>
              <w:rPr>
                <w:rFonts w:ascii="Arial" w:cs="Arial" w:eastAsia="Arial" w:hAnsi="Arial"/>
                <w:sz w:val="18"/>
                <w:szCs w:val="18"/>
                <w:color w:val="auto"/>
              </w:rPr>
              <w:t>Institutional</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10,439</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Mutual Funds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5,865</w:t>
            </w:r>
          </w:p>
        </w:tc>
      </w:tr>
      <w:tr>
        <w:trPr>
          <w:trHeight w:val="243"/>
        </w:trPr>
        <w:tc>
          <w:tcPr>
            <w:tcW w:w="8860" w:type="dxa"/>
            <w:vAlign w:val="bottom"/>
          </w:tcPr>
          <w:p>
            <w:pPr>
              <w:ind w:left="340"/>
              <w:spacing w:after="0"/>
              <w:rPr>
                <w:sz w:val="20"/>
                <w:szCs w:val="20"/>
                <w:color w:val="auto"/>
              </w:rPr>
            </w:pPr>
            <w:r>
              <w:rPr>
                <w:rFonts w:ascii="Arial" w:cs="Arial" w:eastAsia="Arial" w:hAnsi="Arial"/>
                <w:sz w:val="18"/>
                <w:szCs w:val="18"/>
                <w:color w:val="auto"/>
              </w:rPr>
              <w:t>Wealth Management</w:t>
            </w: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102</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8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Performance-based</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180</w:t>
            </w:r>
          </w:p>
        </w:tc>
      </w:tr>
      <w:tr>
        <w:trPr>
          <w:trHeight w:val="243"/>
        </w:trPr>
        <w:tc>
          <w:tcPr>
            <w:tcW w:w="8860" w:type="dxa"/>
            <w:vAlign w:val="bottom"/>
          </w:tcPr>
          <w:p>
            <w:pPr>
              <w:ind w:left="20"/>
              <w:spacing w:after="0"/>
              <w:rPr>
                <w:sz w:val="20"/>
                <w:szCs w:val="20"/>
                <w:color w:val="auto"/>
              </w:rPr>
            </w:pPr>
            <w:r>
              <w:rPr>
                <w:rFonts w:ascii="Arial" w:cs="Arial" w:eastAsia="Arial" w:hAnsi="Arial"/>
                <w:sz w:val="18"/>
                <w:szCs w:val="18"/>
                <w:color w:val="auto"/>
              </w:rPr>
              <w:t>Trust Fees</w:t>
            </w: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1"/>
              <w:spacing w:after="0"/>
              <w:rPr>
                <w:sz w:val="20"/>
                <w:szCs w:val="20"/>
                <w:color w:val="auto"/>
              </w:rPr>
            </w:pPr>
            <w:r>
              <w:rPr>
                <w:rFonts w:ascii="Arial" w:cs="Arial" w:eastAsia="Arial" w:hAnsi="Arial"/>
                <w:sz w:val="18"/>
                <w:szCs w:val="18"/>
                <w:color w:val="auto"/>
              </w:rPr>
              <w:t>6,539</w:t>
            </w:r>
          </w:p>
        </w:tc>
      </w:tr>
      <w:tr>
        <w:trPr>
          <w:trHeight w:val="27"/>
        </w:trPr>
        <w:tc>
          <w:tcPr>
            <w:tcW w:w="8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737</w:t>
            </w:r>
          </w:p>
        </w:tc>
      </w:tr>
      <w:tr>
        <w:trPr>
          <w:trHeight w:val="264"/>
        </w:trPr>
        <w:tc>
          <w:tcPr>
            <w:tcW w:w="8860" w:type="dxa"/>
            <w:vAlign w:val="bottom"/>
          </w:tcPr>
          <w:p>
            <w:pPr>
              <w:ind w:left="34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16,669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23,862</w:t>
            </w:r>
          </w:p>
        </w:tc>
      </w:tr>
      <w:tr>
        <w:trPr>
          <w:trHeight w:val="20"/>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serve clients in various locations around the world. The following table presents our revenue disaggregated by our clients' geographical locations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2020</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417</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490</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1,009</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14,753</w:t>
            </w:r>
          </w:p>
        </w:tc>
      </w:tr>
      <w:tr>
        <w:trPr>
          <w:trHeight w:val="27"/>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3"/>
        </w:trPr>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11,102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5,951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16,669</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Three Months Ended March 31, 2019</w:t>
            </w:r>
          </w:p>
        </w:tc>
        <w:tc>
          <w:tcPr>
            <w:tcW w:w="20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Advisory</w:t>
            </w:r>
          </w:p>
        </w:tc>
        <w:tc>
          <w:tcPr>
            <w:tcW w:w="280" w:type="dxa"/>
            <w:vAlign w:val="bottom"/>
          </w:tcPr>
          <w:p>
            <w:pPr>
              <w:spacing w:after="0"/>
              <w:rPr>
                <w:sz w:val="24"/>
                <w:szCs w:val="24"/>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Trust</w:t>
            </w:r>
          </w:p>
        </w:tc>
        <w:tc>
          <w:tcPr>
            <w:tcW w:w="160" w:type="dxa"/>
            <w:vAlign w:val="bottom"/>
          </w:tcPr>
          <w:p>
            <w:pPr>
              <w:spacing w:after="0"/>
              <w:rPr>
                <w:sz w:val="24"/>
                <w:szCs w:val="24"/>
                <w:color w:val="auto"/>
              </w:rPr>
            </w:pPr>
          </w:p>
        </w:tc>
        <w:tc>
          <w:tcPr>
            <w:tcW w:w="1720" w:type="dxa"/>
            <w:vAlign w:val="bottom"/>
            <w:gridSpan w:val="2"/>
          </w:tcPr>
          <w:p>
            <w:pPr>
              <w:ind w:left="60"/>
              <w:spacing w:after="0"/>
              <w:rPr>
                <w:sz w:val="20"/>
                <w:szCs w:val="20"/>
                <w:color w:val="auto"/>
              </w:rPr>
            </w:pPr>
            <w:r>
              <w:rPr>
                <w:rFonts w:ascii="Arial" w:cs="Arial" w:eastAsia="Arial" w:hAnsi="Arial"/>
                <w:sz w:val="16"/>
                <w:szCs w:val="16"/>
                <w:b w:val="1"/>
                <w:bCs w:val="1"/>
                <w:color w:val="auto"/>
              </w:rPr>
              <w:t>Performance-based</w:t>
            </w:r>
          </w:p>
        </w:tc>
        <w:tc>
          <w:tcPr>
            <w:tcW w:w="260" w:type="dxa"/>
            <w:vAlign w:val="bottom"/>
          </w:tcPr>
          <w:p>
            <w:pPr>
              <w:spacing w:after="0"/>
              <w:rPr>
                <w:sz w:val="24"/>
                <w:szCs w:val="24"/>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Other</w:t>
            </w:r>
          </w:p>
        </w:tc>
        <w:tc>
          <w:tcPr>
            <w:tcW w:w="280" w:type="dxa"/>
            <w:vAlign w:val="bottom"/>
          </w:tcPr>
          <w:p>
            <w:pPr>
              <w:spacing w:after="0"/>
              <w:rPr>
                <w:sz w:val="24"/>
                <w:szCs w:val="24"/>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0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Asia</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406</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Australia</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591</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864</w:t>
            </w:r>
          </w:p>
        </w:tc>
      </w:tr>
      <w:tr>
        <w:trPr>
          <w:trHeight w:val="243"/>
        </w:trPr>
        <w:tc>
          <w:tcPr>
            <w:tcW w:w="402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1,157</w:t>
            </w:r>
          </w:p>
        </w:tc>
      </w:tr>
      <w:tr>
        <w:trPr>
          <w:trHeight w:val="27"/>
        </w:trPr>
        <w:tc>
          <w:tcPr>
            <w:tcW w:w="4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13,608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6,539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20,844</w:t>
            </w:r>
          </w:p>
        </w:tc>
      </w:tr>
      <w:tr>
        <w:trPr>
          <w:trHeight w:val="263"/>
        </w:trPr>
        <w:tc>
          <w:tcPr>
            <w:tcW w:w="402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16,406</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6,539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23,862</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7240" w:firstLine="8"/>
        <w:spacing w:after="0" w:line="377" w:lineRule="auto"/>
        <w:tabs>
          <w:tab w:leader="none" w:pos="2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INCENTIVE COMPENSATION Restricted Stock Awards</w:t>
      </w:r>
    </w:p>
    <w:p>
      <w:pPr>
        <w:spacing w:after="0" w:line="2"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We have issued restricted shares to our employees and non-employee directors. The Sixth Amended and Restated Westwood Holdings Group, Inc. Stock Incentive Plan (the “Plan”) reserves shares of Westwood common stock for issuance to eligible employees, directors and consultants of Westwood or its subsidiaries in the form of restricted stock and stock options. In April 2019, stockholders approved an additional 200,000 shares to be authorized under the Plan, increasing the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total number of shares issuable under the Plan (including predecessor plans to the Plan) to 5,048,100 shares. In the event of a change in control of Westwood, the Plan contains provisions providing for the acceleration of the vesting of restricted stock. At March 31, 2020, approximately 286,376 shares remain available for issuance under the Plan.</w:t>
      </w:r>
    </w:p>
    <w:p>
      <w:pPr>
        <w:spacing w:after="0" w:line="76"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The following table presents the total stock-based compensation expense recorded for stock-based compensation arrangements for the periods indicated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2260" w:type="dxa"/>
            <w:vAlign w:val="bottom"/>
            <w:gridSpan w:val="5"/>
          </w:tcPr>
          <w:p>
            <w:pPr>
              <w:ind w:left="20"/>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89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8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292"/>
              <w:spacing w:after="0"/>
              <w:rPr>
                <w:sz w:val="20"/>
                <w:szCs w:val="20"/>
                <w:color w:val="auto"/>
              </w:rPr>
            </w:pPr>
            <w:r>
              <w:rPr>
                <w:rFonts w:ascii="Arial" w:cs="Arial" w:eastAsia="Arial" w:hAnsi="Arial"/>
                <w:sz w:val="16"/>
                <w:szCs w:val="16"/>
                <w:b w:val="1"/>
                <w:bCs w:val="1"/>
                <w:color w:val="auto"/>
              </w:rPr>
              <w:t>2019</w:t>
            </w:r>
          </w:p>
        </w:tc>
      </w:tr>
      <w:tr>
        <w:trPr>
          <w:trHeight w:val="33"/>
        </w:trPr>
        <w:tc>
          <w:tcPr>
            <w:tcW w:w="8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condition stock-based compensation expense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2,188</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Performance condition stock-based compensation expense</w:t>
            </w: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928</w:t>
            </w:r>
          </w:p>
        </w:tc>
      </w:tr>
      <w:tr>
        <w:trPr>
          <w:trHeight w:val="27"/>
        </w:trPr>
        <w:tc>
          <w:tcPr>
            <w:tcW w:w="8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 under the Plan</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3,116</w:t>
            </w:r>
          </w:p>
        </w:tc>
      </w:tr>
      <w:tr>
        <w:trPr>
          <w:trHeight w:val="243"/>
        </w:trPr>
        <w:tc>
          <w:tcPr>
            <w:tcW w:w="8980" w:type="dxa"/>
            <w:vAlign w:val="bottom"/>
          </w:tcPr>
          <w:p>
            <w:pPr>
              <w:ind w:left="20"/>
              <w:spacing w:after="0"/>
              <w:rPr>
                <w:sz w:val="20"/>
                <w:szCs w:val="20"/>
                <w:color w:val="auto"/>
              </w:rPr>
            </w:pPr>
            <w:r>
              <w:rPr>
                <w:rFonts w:ascii="Arial" w:cs="Arial" w:eastAsia="Arial" w:hAnsi="Arial"/>
                <w:sz w:val="18"/>
                <w:szCs w:val="18"/>
                <w:color w:val="auto"/>
              </w:rPr>
              <w:t>Canadian Plan stock-based compensation expense</w:t>
            </w: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136</w:t>
            </w:r>
          </w:p>
        </w:tc>
      </w:tr>
      <w:tr>
        <w:trPr>
          <w:trHeight w:val="27"/>
        </w:trPr>
        <w:tc>
          <w:tcPr>
            <w:tcW w:w="8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2,616</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3,252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Under the Plan, we have granted to employees and non-employee directors restricted stock subject to service conditions and to certain key employees restricted stock subject to both service and performance conditions.</w:t>
      </w:r>
    </w:p>
    <w:p>
      <w:pPr>
        <w:spacing w:after="0" w:line="62" w:lineRule="exact"/>
        <w:rPr>
          <w:sz w:val="20"/>
          <w:szCs w:val="20"/>
          <w:color w:val="auto"/>
        </w:rPr>
      </w:pPr>
    </w:p>
    <w:p>
      <w:pPr>
        <w:ind w:right="200" w:firstLine="486"/>
        <w:spacing w:after="0" w:line="342" w:lineRule="auto"/>
        <w:rPr>
          <w:sz w:val="20"/>
          <w:szCs w:val="20"/>
          <w:color w:val="auto"/>
        </w:rPr>
      </w:pPr>
      <w:r>
        <w:rPr>
          <w:rFonts w:ascii="Arial" w:cs="Arial" w:eastAsia="Arial" w:hAnsi="Arial"/>
          <w:sz w:val="16"/>
          <w:szCs w:val="16"/>
          <w:color w:val="auto"/>
        </w:rPr>
        <w:t>As of March 31, 2020, there was approximately $17.5 million of unrecognized compensation cost for restricted stock grants under the Plan, which we expect to recognize over a weighted-average period of 3.0 years. Our two types of restricted stock grants under the Plan are discussed below.</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Only to a Service Condition</w:t>
      </w:r>
    </w:p>
    <w:p>
      <w:pPr>
        <w:spacing w:after="0" w:line="117" w:lineRule="exact"/>
        <w:rPr>
          <w:sz w:val="20"/>
          <w:szCs w:val="20"/>
          <w:color w:val="auto"/>
        </w:rPr>
      </w:pPr>
    </w:p>
    <w:p>
      <w:pPr>
        <w:ind w:right="300" w:firstLine="486"/>
        <w:spacing w:after="0" w:line="263" w:lineRule="auto"/>
        <w:rPr>
          <w:sz w:val="20"/>
          <w:szCs w:val="20"/>
          <w:color w:val="auto"/>
        </w:rPr>
      </w:pPr>
      <w:r>
        <w:rPr>
          <w:rFonts w:ascii="Arial" w:cs="Arial" w:eastAsia="Arial" w:hAnsi="Arial"/>
          <w:sz w:val="18"/>
          <w:szCs w:val="18"/>
          <w:color w:val="auto"/>
        </w:rPr>
        <w:t>We calculate compensation cost for restricted stock grants by using the fair market value of our common stock at the date of grant, the number of shares issued and an adjustment for restrictions on dividends. This compensation cost is amortized on a straight-line basis over the applicable vesting period, with adjustments for forfeitures recorded as they occur.</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details the status and changes in our restricted stock grants subject only to a service condition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spacing w:after="0"/>
              <w:rPr>
                <w:sz w:val="15"/>
                <w:szCs w:val="15"/>
                <w:color w:val="auto"/>
              </w:rPr>
            </w:pPr>
          </w:p>
        </w:tc>
        <w:tc>
          <w:tcPr>
            <w:tcW w:w="1320" w:type="dxa"/>
            <w:vAlign w:val="bottom"/>
            <w:vMerge w:val="restart"/>
          </w:tcPr>
          <w:p>
            <w:pPr>
              <w:jc w:val="right"/>
              <w:ind w:right="355"/>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right"/>
              <w:ind w:right="157"/>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7"/>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396,598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48.31</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Granted</w:t>
            </w:r>
          </w:p>
        </w:tc>
        <w:tc>
          <w:tcPr>
            <w:tcW w:w="1320" w:type="dxa"/>
            <w:vAlign w:val="bottom"/>
          </w:tcPr>
          <w:p>
            <w:pPr>
              <w:jc w:val="right"/>
              <w:ind w:right="75"/>
              <w:spacing w:after="0"/>
              <w:rPr>
                <w:sz w:val="20"/>
                <w:szCs w:val="20"/>
                <w:color w:val="auto"/>
              </w:rPr>
            </w:pPr>
            <w:r>
              <w:rPr>
                <w:rFonts w:ascii="Arial" w:cs="Arial" w:eastAsia="Arial" w:hAnsi="Arial"/>
                <w:sz w:val="17"/>
                <w:szCs w:val="17"/>
                <w:color w:val="auto"/>
              </w:rPr>
              <w:t>243,344</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7"/>
              <w:spacing w:after="0"/>
              <w:rPr>
                <w:sz w:val="20"/>
                <w:szCs w:val="20"/>
                <w:color w:val="auto"/>
              </w:rPr>
            </w:pPr>
            <w:r>
              <w:rPr>
                <w:rFonts w:ascii="Arial" w:cs="Arial" w:eastAsia="Arial" w:hAnsi="Arial"/>
                <w:sz w:val="17"/>
                <w:szCs w:val="17"/>
                <w:color w:val="auto"/>
              </w:rPr>
              <w:t>27.54</w:t>
            </w:r>
          </w:p>
        </w:tc>
        <w:tc>
          <w:tcPr>
            <w:tcW w:w="0" w:type="dxa"/>
            <w:vAlign w:val="bottom"/>
          </w:tcPr>
          <w:p>
            <w:pPr>
              <w:spacing w:after="0"/>
              <w:rPr>
                <w:sz w:val="1"/>
                <w:szCs w:val="1"/>
                <w:color w:val="auto"/>
              </w:rPr>
            </w:pPr>
          </w:p>
        </w:tc>
      </w:tr>
      <w:tr>
        <w:trPr>
          <w:trHeight w:val="27"/>
        </w:trPr>
        <w:tc>
          <w:tcPr>
            <w:tcW w:w="8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(127,812)</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54.73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20" w:type="dxa"/>
            <w:vAlign w:val="bottom"/>
          </w:tcPr>
          <w:p>
            <w:pPr>
              <w:jc w:val="right"/>
              <w:ind w:right="15"/>
              <w:spacing w:after="0"/>
              <w:rPr>
                <w:sz w:val="20"/>
                <w:szCs w:val="20"/>
                <w:color w:val="auto"/>
              </w:rPr>
            </w:pPr>
            <w:r>
              <w:rPr>
                <w:rFonts w:ascii="Arial" w:cs="Arial" w:eastAsia="Arial" w:hAnsi="Arial"/>
                <w:sz w:val="17"/>
                <w:szCs w:val="17"/>
                <w:color w:val="auto"/>
              </w:rPr>
              <w:t>(1,811)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7"/>
              <w:spacing w:after="0"/>
              <w:rPr>
                <w:sz w:val="20"/>
                <w:szCs w:val="20"/>
                <w:color w:val="auto"/>
              </w:rPr>
            </w:pPr>
            <w:r>
              <w:rPr>
                <w:rFonts w:ascii="Arial" w:cs="Arial" w:eastAsia="Arial" w:hAnsi="Arial"/>
                <w:sz w:val="17"/>
                <w:szCs w:val="17"/>
                <w:color w:val="auto"/>
              </w:rPr>
              <w:t>57.38</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March 31, 2020</w:t>
            </w:r>
          </w:p>
        </w:tc>
        <w:tc>
          <w:tcPr>
            <w:tcW w:w="13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510,319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7"/>
                <w:szCs w:val="17"/>
                <w:color w:val="auto"/>
              </w:rPr>
              <w:t>36.77</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Subject to Service and Performance Conditions</w:t>
      </w:r>
    </w:p>
    <w:p>
      <w:pPr>
        <w:spacing w:after="0" w:line="117"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Under the Plan, certain key employees were provided agreements for grants of restricted shares that vest over multiple year periods subject to achieving annual performance goals established by the Compensation Committee of Westwood’s Board of Directors. Each year the Compensation Committee establishes specific goals for that year’s vesting of the restricted shares. The date that the Compensation Committee establishes annual goals is considered to be the grant date and the fair value measurement date to determine expense on the shares that are likely to vest. The vesting period ends when the Compensation Committee formally approves the performance-based restricted stock vesting based on the specific performance goals from the Company’s audited consolidated financial statements. If a portion of the performance-based restricted shares does not vest, no compensation expense is recognized for that portion and any previously recognized compensation expense related to shares that do not vest is reversed.</w:t>
      </w:r>
    </w:p>
    <w:p>
      <w:pPr>
        <w:spacing w:after="0" w:line="112"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following table details the status and changes in our restricted stock grants subject to service and performance conditions for the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140" w:type="dxa"/>
            <w:vAlign w:val="bottom"/>
          </w:tcPr>
          <w:p>
            <w:pPr>
              <w:spacing w:after="0"/>
              <w:rPr>
                <w:sz w:val="14"/>
                <w:szCs w:val="14"/>
                <w:color w:val="auto"/>
              </w:rPr>
            </w:pPr>
          </w:p>
        </w:tc>
        <w:tc>
          <w:tcPr>
            <w:tcW w:w="1320" w:type="dxa"/>
            <w:vAlign w:val="bottom"/>
            <w:vMerge w:val="restart"/>
          </w:tcPr>
          <w:p>
            <w:pPr>
              <w:ind w:left="42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58"/>
              <w:spacing w:after="0"/>
              <w:rPr>
                <w:sz w:val="20"/>
                <w:szCs w:val="20"/>
                <w:color w:val="auto"/>
              </w:rPr>
            </w:pPr>
            <w:r>
              <w:rPr>
                <w:rFonts w:ascii="Arial" w:cs="Arial" w:eastAsia="Arial" w:hAnsi="Arial"/>
                <w:sz w:val="15"/>
                <w:szCs w:val="15"/>
                <w:b w:val="1"/>
                <w:bCs w:val="1"/>
                <w:color w:val="auto"/>
              </w:rPr>
              <w:t>Weighted Average</w:t>
            </w:r>
          </w:p>
        </w:tc>
        <w:tc>
          <w:tcPr>
            <w:tcW w:w="0" w:type="dxa"/>
            <w:vAlign w:val="bottom"/>
          </w:tcPr>
          <w:p>
            <w:pPr>
              <w:spacing w:after="0"/>
              <w:rPr>
                <w:sz w:val="1"/>
                <w:szCs w:val="1"/>
                <w:color w:val="auto"/>
              </w:rPr>
            </w:pPr>
          </w:p>
        </w:tc>
      </w:tr>
      <w:tr>
        <w:trPr>
          <w:trHeight w:val="202"/>
        </w:trPr>
        <w:tc>
          <w:tcPr>
            <w:tcW w:w="8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18"/>
              <w:spacing w:after="0"/>
              <w:rPr>
                <w:sz w:val="20"/>
                <w:szCs w:val="20"/>
                <w:color w:val="auto"/>
              </w:rPr>
            </w:pPr>
            <w:r>
              <w:rPr>
                <w:rFonts w:ascii="Arial" w:cs="Arial" w:eastAsia="Arial" w:hAnsi="Arial"/>
                <w:sz w:val="15"/>
                <w:szCs w:val="15"/>
                <w:b w:val="1"/>
                <w:bCs w:val="1"/>
                <w:color w:val="auto"/>
                <w:w w:val="95"/>
              </w:rPr>
              <w:t>Grant Date Fair Value</w:t>
            </w:r>
          </w:p>
        </w:tc>
        <w:tc>
          <w:tcPr>
            <w:tcW w:w="0" w:type="dxa"/>
            <w:vAlign w:val="bottom"/>
          </w:tcPr>
          <w:p>
            <w:pPr>
              <w:spacing w:after="0"/>
              <w:rPr>
                <w:sz w:val="1"/>
                <w:szCs w:val="1"/>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January 1, 2020</w:t>
            </w:r>
          </w:p>
        </w:tc>
        <w:tc>
          <w:tcPr>
            <w:tcW w:w="1320" w:type="dxa"/>
            <w:vAlign w:val="bottom"/>
            <w:tcBorders>
              <w:bottom w:val="single" w:sz="8" w:color="CCEEFF"/>
            </w:tcBorders>
            <w:shd w:val="clear" w:color="auto" w:fill="CCEEFF"/>
          </w:tcPr>
          <w:p>
            <w:pPr>
              <w:jc w:val="center"/>
              <w:ind w:left="456"/>
              <w:spacing w:after="0"/>
              <w:rPr>
                <w:sz w:val="20"/>
                <w:szCs w:val="20"/>
                <w:color w:val="auto"/>
              </w:rPr>
            </w:pPr>
            <w:r>
              <w:rPr>
                <w:rFonts w:ascii="Arial" w:cs="Arial" w:eastAsia="Arial" w:hAnsi="Arial"/>
                <w:sz w:val="17"/>
                <w:szCs w:val="17"/>
                <w:color w:val="auto"/>
                <w:w w:val="88"/>
              </w:rPr>
              <w:t>80,975</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49.73</w:t>
            </w:r>
          </w:p>
        </w:tc>
        <w:tc>
          <w:tcPr>
            <w:tcW w:w="0" w:type="dxa"/>
            <w:vAlign w:val="bottom"/>
          </w:tcPr>
          <w:p>
            <w:pPr>
              <w:spacing w:after="0"/>
              <w:rPr>
                <w:sz w:val="1"/>
                <w:szCs w:val="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Vested</w:t>
            </w:r>
          </w:p>
        </w:tc>
        <w:tc>
          <w:tcPr>
            <w:tcW w:w="1320" w:type="dxa"/>
            <w:vAlign w:val="bottom"/>
          </w:tcPr>
          <w:p>
            <w:pPr>
              <w:jc w:val="center"/>
              <w:ind w:left="436"/>
              <w:spacing w:after="0"/>
              <w:rPr>
                <w:sz w:val="20"/>
                <w:szCs w:val="20"/>
                <w:color w:val="auto"/>
              </w:rPr>
            </w:pPr>
            <w:r>
              <w:rPr>
                <w:rFonts w:ascii="Arial" w:cs="Arial" w:eastAsia="Arial" w:hAnsi="Arial"/>
                <w:sz w:val="17"/>
                <w:szCs w:val="17"/>
                <w:color w:val="auto"/>
                <w:w w:val="94"/>
              </w:rPr>
              <w:t>(35,275)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80" w:type="dxa"/>
            <w:vAlign w:val="bottom"/>
          </w:tcPr>
          <w:p>
            <w:pPr>
              <w:jc w:val="right"/>
              <w:ind w:right="78"/>
              <w:spacing w:after="0"/>
              <w:rPr>
                <w:sz w:val="20"/>
                <w:szCs w:val="20"/>
                <w:color w:val="auto"/>
              </w:rPr>
            </w:pPr>
            <w:r>
              <w:rPr>
                <w:rFonts w:ascii="Arial" w:cs="Arial" w:eastAsia="Arial" w:hAnsi="Arial"/>
                <w:sz w:val="17"/>
                <w:szCs w:val="17"/>
                <w:color w:val="auto"/>
              </w:rPr>
              <w:t>55.11</w:t>
            </w:r>
          </w:p>
        </w:tc>
        <w:tc>
          <w:tcPr>
            <w:tcW w:w="0" w:type="dxa"/>
            <w:vAlign w:val="bottom"/>
          </w:tcPr>
          <w:p>
            <w:pPr>
              <w:spacing w:after="0"/>
              <w:rPr>
                <w:sz w:val="1"/>
                <w:szCs w:val="1"/>
                <w:color w:val="auto"/>
              </w:rPr>
            </w:pPr>
          </w:p>
        </w:tc>
      </w:tr>
      <w:tr>
        <w:trPr>
          <w:trHeight w:val="27"/>
        </w:trPr>
        <w:tc>
          <w:tcPr>
            <w:tcW w:w="81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March 31, 2020</w:t>
            </w:r>
          </w:p>
        </w:tc>
        <w:tc>
          <w:tcPr>
            <w:tcW w:w="1320" w:type="dxa"/>
            <w:vAlign w:val="bottom"/>
            <w:tcBorders>
              <w:bottom w:val="single" w:sz="8" w:color="auto"/>
            </w:tcBorders>
            <w:shd w:val="clear" w:color="auto" w:fill="CCEEFF"/>
          </w:tcPr>
          <w:p>
            <w:pPr>
              <w:jc w:val="center"/>
              <w:ind w:left="456"/>
              <w:spacing w:after="0"/>
              <w:rPr>
                <w:sz w:val="20"/>
                <w:szCs w:val="20"/>
                <w:color w:val="auto"/>
              </w:rPr>
            </w:pPr>
            <w:r>
              <w:rPr>
                <w:rFonts w:ascii="Arial" w:cs="Arial" w:eastAsia="Arial" w:hAnsi="Arial"/>
                <w:sz w:val="17"/>
                <w:szCs w:val="17"/>
                <w:color w:val="auto"/>
                <w:w w:val="88"/>
              </w:rPr>
              <w:t>45,700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7"/>
                <w:szCs w:val="17"/>
                <w:color w:val="auto"/>
              </w:rPr>
              <w:t>45.58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Canadian Plan</w:t>
      </w:r>
    </w:p>
    <w:p>
      <w:pPr>
        <w:spacing w:after="0" w:line="121"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 Share Award Plan of Westwood Holdings Group, Inc. for Service Provided in Canada to its Subsidiaries (the “Canadian Plan”) provides compensation in the form of common stock for services performed by employees of Westwood International Advisors. Under the Canadian Plan, no more than $10 million CDN ($7.1 million in U.S. Dollars using the exchange rate on March 31, 2020) may be funded to the plan trustee for purchases of common stock with respect to awards granted under the Canadian Plan. At March 31, 2020, approximately $1.4 million CDN ($1.0 million in U.S. Dollars using the exchange rate on March 31, 2020) remains available for issuance under the Canadian Plan, or approximately 53,000 shares based on the closing share price of our stock of $18.31 as of March 31, 2020. During the first three months of 2020, the trust formed pursuant to the Canadian Plan purchased 27,474 Westwood common shares in the open market for approximately $0.7 million. As of March 31, 2020, the trust holds 63,712 shares of Westwood common stock. As of March 31, 2020, unrecognized compensation cost related to restricted stock grants under the Canadian Plan totaled $0.7 million, which we expect to recognize over a weighted-average period of 1.7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Fund Share Incentive Awards</w:t>
      </w:r>
    </w:p>
    <w:p>
      <w:pPr>
        <w:spacing w:after="0" w:line="121"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 xml:space="preserve">We may grant mutual fund incentive awards, which are bonus awards based on our mutual funds achieving specific performance goals, annually to certain employees. Awards granted are notionally credited to a participant account maintained by us that contains a number of mutual fund shares equal to the award amount divided by the net closing value of a fund share on the date the amount is credited to the account. We maintain the award in a corporate investment account until vesting. </w:t>
      </w:r>
      <w:r>
        <w:rPr>
          <w:rFonts w:ascii="Arial" w:cs="Arial" w:eastAsia="Arial" w:hAnsi="Arial"/>
          <w:sz w:val="18"/>
          <w:szCs w:val="18"/>
          <w:color w:val="222222"/>
        </w:rPr>
        <w:t>The investment may increase or decrease based on changes in the value of the mutual fund shares awarded, including</w:t>
      </w:r>
      <w:r>
        <w:rPr>
          <w:rFonts w:ascii="Arial" w:cs="Arial" w:eastAsia="Arial" w:hAnsi="Arial"/>
          <w:sz w:val="18"/>
          <w:szCs w:val="18"/>
          <w:color w:val="auto"/>
        </w:rPr>
        <w:t xml:space="preserve"> </w:t>
      </w:r>
      <w:r>
        <w:rPr>
          <w:rFonts w:ascii="Arial" w:cs="Arial" w:eastAsia="Arial" w:hAnsi="Arial"/>
          <w:sz w:val="18"/>
          <w:szCs w:val="18"/>
          <w:color w:val="222222"/>
        </w:rPr>
        <w:t xml:space="preserve">reinvested income from the mutual funds during the vesting period. </w:t>
      </w:r>
      <w:r>
        <w:rPr>
          <w:rFonts w:ascii="Arial" w:cs="Arial" w:eastAsia="Arial" w:hAnsi="Arial"/>
          <w:sz w:val="18"/>
          <w:szCs w:val="18"/>
          <w:color w:val="000000"/>
        </w:rPr>
        <w:t>Unvested mutual fund awards are included under</w:t>
      </w:r>
      <w:r>
        <w:rPr>
          <w:rFonts w:ascii="Arial" w:cs="Arial" w:eastAsia="Arial" w:hAnsi="Arial"/>
          <w:sz w:val="18"/>
          <w:szCs w:val="18"/>
          <w:color w:val="222222"/>
        </w:rPr>
        <w:t xml:space="preserve"> “Investments, at fair value” on our Condensed Consolidated Balance Sheets.</w:t>
      </w:r>
    </w:p>
    <w:p>
      <w:pPr>
        <w:spacing w:after="0" w:line="84" w:lineRule="exact"/>
        <w:rPr>
          <w:sz w:val="20"/>
          <w:szCs w:val="20"/>
          <w:color w:val="auto"/>
        </w:rPr>
      </w:pPr>
    </w:p>
    <w:p>
      <w:pPr>
        <w:ind w:right="120" w:firstLine="486"/>
        <w:spacing w:after="0" w:line="288" w:lineRule="auto"/>
        <w:rPr>
          <w:sz w:val="20"/>
          <w:szCs w:val="20"/>
          <w:color w:val="auto"/>
        </w:rPr>
      </w:pPr>
      <w:r>
        <w:rPr>
          <w:rFonts w:ascii="Arial" w:cs="Arial" w:eastAsia="Arial" w:hAnsi="Arial"/>
          <w:sz w:val="16"/>
          <w:szCs w:val="16"/>
          <w:color w:val="auto"/>
        </w:rPr>
        <w:t>Awards vest over approximately two years of service following the year in which the participant earned the award. We begin accruing a liability for mutual fund incentive awards when we believe it is probable that the award will be earned and record expense for these awards over the service period of the award, which is three years. During the year in which the amount of the award is determined, we record expense based on the expected value of the award. After the award is earned, we record expense based on the value of the shares awarded and the percentage of the vesting period that has elapsed. Our liability under these awards may increase or decrease based on changes in the value of the mutual fund shares awarded, including reinvested income from the mutual funds during the vesting period. Upon vesting, participants receive the value of the mutual fund share awards adjusted for earnings or losses attributable to the underlying mutual funds. For the three months ended March 31, 2020 and 2019, we recorded expense of approximately $9,000 and $8,000, respectively, related to mutual fund share incentive awards. For the three months ended March 31, 2019, we recorded a net $134,000 credit to mutual fund expense, primarily related to the forfeiture of a mutual fund award during the first quarter. As of March 31, 2020 and December 31, 2019, we had an accrued liability of approximately $28,000 and $79,000, respectively, related to mutual fund share incentive awards.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11. INCOME TAXES</w:t>
      </w:r>
    </w:p>
    <w:p>
      <w:pPr>
        <w:spacing w:after="0" w:line="12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Our income tax rate differed from the 21% statutory rate for the first quarter of 2020 primarily due to a discrete benefit adjustment related to the remeasurement of certain deferred taxes following the enactment of the Coronavirus Aid, Relief, and Economic Security Act ("CARES Act"). Income taxes differed from the 21% statutory rate in the first quarter of 2019 primarily due to a $0.6 million discrete tax expense related to a permanent difference between book and tax restricted stock expense based on a decrease in our stock price between the grant and vesting dates.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12. RELATED PARTY TRANSACTIONS</w:t>
      </w:r>
    </w:p>
    <w:p>
      <w:pPr>
        <w:spacing w:after="0" w:line="12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Some of our directors, executive officers and their affiliates invest personal funds directly in trust accounts that we manage. For the three months ended March 31, 2020 and 2019, we recorded trust fees from these accounts of $95,000 and $78,000, respectively. There was approximately $95,000 and $100,000 due from these accounts as of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396"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222222"/>
        </w:rPr>
        <w:t xml:space="preserve">The Company engages in transactions with its affiliates in the ordinary course of business. Westwood International Advisors and </w:t>
      </w:r>
      <w:r>
        <w:rPr>
          <w:rFonts w:ascii="Arial" w:cs="Arial" w:eastAsia="Arial" w:hAnsi="Arial"/>
          <w:sz w:val="17"/>
          <w:szCs w:val="17"/>
          <w:color w:val="000000"/>
        </w:rPr>
        <w:t>Westwood</w:t>
      </w:r>
      <w:r>
        <w:rPr>
          <w:rFonts w:ascii="Arial" w:cs="Arial" w:eastAsia="Arial" w:hAnsi="Arial"/>
          <w:sz w:val="17"/>
          <w:szCs w:val="17"/>
          <w:color w:val="222222"/>
        </w:rPr>
        <w:t xml:space="preserve"> </w:t>
      </w:r>
      <w:r>
        <w:rPr>
          <w:rFonts w:ascii="Arial" w:cs="Arial" w:eastAsia="Arial" w:hAnsi="Arial"/>
          <w:sz w:val="17"/>
          <w:szCs w:val="17"/>
          <w:color w:val="000000"/>
        </w:rPr>
        <w:t xml:space="preserve">Management </w:t>
      </w:r>
      <w:r>
        <w:rPr>
          <w:rFonts w:ascii="Arial" w:cs="Arial" w:eastAsia="Arial" w:hAnsi="Arial"/>
          <w:sz w:val="17"/>
          <w:szCs w:val="17"/>
          <w:color w:val="222222"/>
        </w:rPr>
        <w:t>provide investment advisory services to the UCITS Fund and the Westwood Funds®. Certain members of our management serve on the board</w:t>
      </w:r>
      <w:r>
        <w:rPr>
          <w:rFonts w:ascii="Arial" w:cs="Arial" w:eastAsia="Arial" w:hAnsi="Arial"/>
          <w:sz w:val="17"/>
          <w:szCs w:val="17"/>
          <w:color w:val="000000"/>
        </w:rPr>
        <w:t xml:space="preserve"> </w:t>
      </w:r>
      <w:r>
        <w:rPr>
          <w:rFonts w:ascii="Arial" w:cs="Arial" w:eastAsia="Arial" w:hAnsi="Arial"/>
          <w:sz w:val="17"/>
          <w:szCs w:val="17"/>
          <w:color w:val="222222"/>
        </w:rPr>
        <w:t>of directors of the UCITS Fund, and we have capital invested in three of the Westwood Funds®. Under the terms of the investment advisory agreements, the Company earns quarterly fees paid by clients of the fund or by the funds directly. The fees are based on negotiated fee schedules applied to AUM. For the three months ended March 31, 2020 and 2019, the Company earned approximately $0.5 million and $0.8 million, respectively, in fees from the affiliated funds. As of March 31, 2020 and December 31, 2019, $0.2 million and $0.2 million, respectively, of these fees were outstanding and included in “Accounts receivable” on our Condensed Consolidated Balance Sheets.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13. LEASES</w:t>
      </w:r>
    </w:p>
    <w:p>
      <w:pPr>
        <w:spacing w:after="0" w:line="121" w:lineRule="exact"/>
        <w:rPr>
          <w:sz w:val="20"/>
          <w:szCs w:val="20"/>
          <w:color w:val="auto"/>
        </w:rPr>
      </w:pPr>
    </w:p>
    <w:p>
      <w:pPr>
        <w:ind w:right="180" w:firstLine="486"/>
        <w:spacing w:after="0" w:line="263" w:lineRule="auto"/>
        <w:rPr>
          <w:sz w:val="20"/>
          <w:szCs w:val="20"/>
          <w:color w:val="auto"/>
        </w:rPr>
      </w:pPr>
      <w:r>
        <w:rPr>
          <w:rFonts w:ascii="Arial" w:cs="Arial" w:eastAsia="Arial" w:hAnsi="Arial"/>
          <w:sz w:val="18"/>
          <w:szCs w:val="18"/>
          <w:color w:val="auto"/>
        </w:rPr>
        <w:t>As of March 31, 2020, there have been no material changes outside the ordinary course of business to our leases since December 31, 2019. For information regarding our leases, refer to Note 15 “Leases” in Part IV, Item 15. “Exhibits, Financial Statement Schedules” in our Annual Report on Form 10-K for the fiscal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REPORTING</w:t>
      </w:r>
    </w:p>
    <w:p>
      <w:pPr>
        <w:spacing w:after="0" w:line="17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operate two segments: Advisory and Trust. These segments are managed separately based on the types of products and services offered and their related client bases. The Company’s segment information is prepared on the same basis that management reviews the financial information for operational decision-making purposes. The Company’s chief operating decision maker, our Chief Executive Officer, evaluates the performance of our segments based primarily on fee revenues and Economic Earnings. Refer to the "Supplemental Financial Information" section in Item 2. "Management Discussion and Analysis of Financial Conditions and Results" for the Economic Earnings calculation. Westwood Holdings Group, Inc., the parent company of Advisory and Trust, does not have revenues and is the entity in which we record typical holding company expenses including employee compensation and benefits for holding company employees, directors’ fees and investor relations costs. All segment accounting policies are the same as those described in the summary of significant accounting policies. Intersegment balances that eliminate in consolidation have been applied to the appropriate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Our Advisory segment provides investment advisory services to (i) corporate pension and profit sharing plans, public employee retirement funds, Taft-Hartley plans, endowments, foundations and individuals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(ii) subadvisory relationships where Westwood provides investment management services to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funds offered by other financial institutions and funds offered by our Trust segment and (iii) pooled investment vehicles, including the UCITS Fund and collective investment trusts. Westwood Management and Westwood International Advisors, which provide investment advisory services to similar clients, are included in our Advisory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Trust provides trust and custodial services and participation in common trust funds that it sponsors to institutions and high net worth individuals.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Westwood Trust is included in our Trust segment.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jc w:val="center"/>
        <w:ind w:left="340" w:right="2060"/>
        <w:spacing w:after="0" w:line="266" w:lineRule="auto"/>
        <w:rPr>
          <w:sz w:val="20"/>
          <w:szCs w:val="20"/>
          <w:color w:val="auto"/>
        </w:rPr>
      </w:pPr>
      <w:r>
        <w:rPr>
          <w:rFonts w:ascii="Arial" w:cs="Arial" w:eastAsia="Arial" w:hAnsi="Arial"/>
          <w:sz w:val="18"/>
          <w:szCs w:val="18"/>
          <w:b w:val="1"/>
          <w:bCs w:val="1"/>
          <w:color w:val="auto"/>
        </w:rPr>
        <w:t>WESTWOOD HOLDINGS GROUP, INC. AND SUBSIDIARIES NOTES TO CONDENSED CONSOLIDATED FINANCIAL STATEMENTS — (Continued) (Unaudited)</w:t>
      </w:r>
    </w:p>
    <w:p>
      <w:pPr>
        <w:spacing w:after="0" w:line="200" w:lineRule="exact"/>
        <w:rPr>
          <w:sz w:val="20"/>
          <w:szCs w:val="20"/>
          <w:color w:val="auto"/>
        </w:rPr>
      </w:pPr>
    </w:p>
    <w:p>
      <w:pPr>
        <w:spacing w:after="0" w:line="358" w:lineRule="exact"/>
        <w:rPr>
          <w:sz w:val="20"/>
          <w:szCs w:val="20"/>
          <w:color w:val="auto"/>
        </w:rPr>
      </w:pPr>
    </w:p>
    <w:tbl>
      <w:tblPr>
        <w:tblLayout w:type="fixed"/>
        <w:tblInd w:w="240" w:type="dxa"/>
        <w:tblCellMar>
          <w:top w:w="0" w:type="dxa"/>
          <w:left w:w="0" w:type="dxa"/>
          <w:bottom w:w="0" w:type="dxa"/>
          <w:right w:w="0" w:type="dxa"/>
        </w:tblCellMar>
      </w:tblPr>
      <w:tr>
        <w:trPr>
          <w:trHeight w:val="203"/>
        </w:trPr>
        <w:tc>
          <w:tcPr>
            <w:tcW w:w="4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Westwood</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4600" w:type="dxa"/>
            <w:vAlign w:val="bottom"/>
          </w:tcPr>
          <w:p>
            <w:pPr>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Advisory</w:t>
            </w:r>
          </w:p>
        </w:tc>
        <w:tc>
          <w:tcPr>
            <w:tcW w:w="220" w:type="dxa"/>
            <w:vAlign w:val="bottom"/>
          </w:tcPr>
          <w:p>
            <w:pPr>
              <w:spacing w:after="0"/>
              <w:rPr>
                <w:sz w:val="18"/>
                <w:szCs w:val="18"/>
                <w:color w:val="auto"/>
              </w:rPr>
            </w:pPr>
          </w:p>
        </w:tc>
        <w:tc>
          <w:tcPr>
            <w:tcW w:w="940" w:type="dxa"/>
            <w:vAlign w:val="bottom"/>
            <w:gridSpan w:val="2"/>
          </w:tcPr>
          <w:p>
            <w:pPr>
              <w:ind w:left="120"/>
              <w:spacing w:after="0"/>
              <w:rPr>
                <w:sz w:val="20"/>
                <w:szCs w:val="20"/>
                <w:color w:val="auto"/>
              </w:rPr>
            </w:pPr>
            <w:r>
              <w:rPr>
                <w:rFonts w:ascii="Arial" w:cs="Arial" w:eastAsia="Arial" w:hAnsi="Arial"/>
                <w:sz w:val="16"/>
                <w:szCs w:val="16"/>
                <w:b w:val="1"/>
                <w:bCs w:val="1"/>
                <w:color w:val="auto"/>
              </w:rPr>
              <w:t>Trust</w:t>
            </w:r>
          </w:p>
        </w:tc>
        <w:tc>
          <w:tcPr>
            <w:tcW w:w="14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Holdings</w:t>
            </w: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4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Consolidated</w:t>
            </w:r>
          </w:p>
        </w:tc>
      </w:tr>
      <w:tr>
        <w:trPr>
          <w:trHeight w:val="33"/>
        </w:trPr>
        <w:tc>
          <w:tcPr>
            <w:tcW w:w="4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11,102</w:t>
            </w:r>
          </w:p>
        </w:tc>
        <w:tc>
          <w:tcPr>
            <w:tcW w:w="1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5,951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17,053</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intersegment revenues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4600" w:type="dxa"/>
            <w:vAlign w:val="bottom"/>
          </w:tcPr>
          <w:p>
            <w:pPr>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20</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(404)</w:t>
            </w:r>
          </w:p>
        </w:tc>
      </w:tr>
      <w:tr>
        <w:trPr>
          <w:trHeight w:val="220"/>
        </w:trPr>
        <w:tc>
          <w:tcPr>
            <w:tcW w:w="4600" w:type="dxa"/>
            <w:vAlign w:val="bottom"/>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11,342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16,669</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6"/>
        </w:trPr>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6"/>
                <w:szCs w:val="16"/>
                <w:color w:val="auto"/>
              </w:rPr>
              <w:t>Segment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236,817</w:t>
            </w:r>
          </w:p>
        </w:tc>
        <w:tc>
          <w:tcPr>
            <w:tcW w:w="1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49,606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21,962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(150,583)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157,802</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Segment goodwill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16,401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r>
      <w:tr>
        <w:trPr>
          <w:trHeight w:val="257"/>
        </w:trPr>
        <w:tc>
          <w:tcPr>
            <w:tcW w:w="4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3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Three Months Ended March 31, 2019</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Net fee revenues from external sources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16,586</w:t>
            </w:r>
          </w:p>
        </w:tc>
        <w:tc>
          <w:tcPr>
            <w:tcW w:w="1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6,539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23,125</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intersegment revenues</w:t>
            </w: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1,016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4"/>
        </w:trPr>
        <w:tc>
          <w:tcPr>
            <w:tcW w:w="4600" w:type="dxa"/>
            <w:vAlign w:val="bottom"/>
          </w:tcPr>
          <w:p>
            <w:pPr>
              <w:spacing w:after="0"/>
              <w:rPr>
                <w:sz w:val="20"/>
                <w:szCs w:val="20"/>
                <w:color w:val="auto"/>
              </w:rPr>
            </w:pPr>
            <w:r>
              <w:rPr>
                <w:rFonts w:ascii="Arial" w:cs="Arial" w:eastAsia="Arial" w:hAnsi="Arial"/>
                <w:sz w:val="16"/>
                <w:szCs w:val="16"/>
                <w:color w:val="auto"/>
              </w:rPr>
              <w:t>Net interest and dividend revenue</w:t>
            </w:r>
          </w:p>
        </w:tc>
        <w:tc>
          <w:tcPr>
            <w:tcW w:w="16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311</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net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426</w:t>
            </w:r>
          </w:p>
        </w:tc>
      </w:tr>
      <w:tr>
        <w:trPr>
          <w:trHeight w:val="220"/>
        </w:trPr>
        <w:tc>
          <w:tcPr>
            <w:tcW w:w="4600" w:type="dxa"/>
            <w:vAlign w:val="bottom"/>
          </w:tcPr>
          <w:p>
            <w:pPr>
              <w:spacing w:after="0"/>
              <w:rPr>
                <w:sz w:val="20"/>
                <w:szCs w:val="20"/>
                <w:color w:val="auto"/>
              </w:rPr>
            </w:pPr>
            <w:r>
              <w:rPr>
                <w:rFonts w:ascii="Arial" w:cs="Arial" w:eastAsia="Arial" w:hAnsi="Arial"/>
                <w:sz w:val="16"/>
                <w:szCs w:val="16"/>
                <w:color w:val="auto"/>
              </w:rPr>
              <w:t>Total revenues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18,259</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6,690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23,862</w:t>
            </w:r>
          </w:p>
        </w:tc>
      </w:tr>
      <w:tr>
        <w:trPr>
          <w:trHeight w:val="20"/>
        </w:trPr>
        <w:tc>
          <w:tcPr>
            <w:tcW w:w="46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7"/>
        </w:trPr>
        <w:tc>
          <w:tcPr>
            <w:tcW w:w="4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6"/>
                <w:szCs w:val="16"/>
                <w:color w:val="auto"/>
              </w:rPr>
              <w:t>Segment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59"/>
              <w:spacing w:after="0"/>
              <w:rPr>
                <w:sz w:val="20"/>
                <w:szCs w:val="20"/>
                <w:color w:val="auto"/>
              </w:rPr>
            </w:pPr>
            <w:r>
              <w:rPr>
                <w:rFonts w:ascii="Arial" w:cs="Arial" w:eastAsia="Arial" w:hAnsi="Arial"/>
                <w:sz w:val="16"/>
                <w:szCs w:val="16"/>
                <w:color w:val="auto"/>
              </w:rPr>
              <w:t>226,362</w:t>
            </w:r>
          </w:p>
        </w:tc>
        <w:tc>
          <w:tcPr>
            <w:tcW w:w="120" w:type="dxa"/>
            <w:vAlign w:val="bottom"/>
          </w:tcPr>
          <w:p>
            <w:pPr>
              <w:spacing w:after="0"/>
              <w:rPr>
                <w:sz w:val="19"/>
                <w:szCs w:val="19"/>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62,696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19,746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(127,655)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59"/>
              <w:spacing w:after="0"/>
              <w:rPr>
                <w:sz w:val="20"/>
                <w:szCs w:val="20"/>
                <w:color w:val="auto"/>
              </w:rPr>
            </w:pPr>
            <w:r>
              <w:rPr>
                <w:rFonts w:ascii="Arial" w:cs="Arial" w:eastAsia="Arial" w:hAnsi="Arial"/>
                <w:sz w:val="16"/>
                <w:szCs w:val="16"/>
                <w:color w:val="auto"/>
              </w:rPr>
              <w:t>181,149</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3"/>
        </w:trPr>
        <w:tc>
          <w:tcPr>
            <w:tcW w:w="4600" w:type="dxa"/>
            <w:vAlign w:val="bottom"/>
            <w:shd w:val="clear" w:color="auto" w:fill="CCEEFF"/>
          </w:tcPr>
          <w:p>
            <w:pPr>
              <w:spacing w:after="0"/>
              <w:rPr>
                <w:sz w:val="20"/>
                <w:szCs w:val="20"/>
                <w:color w:val="auto"/>
              </w:rPr>
            </w:pPr>
            <w:r>
              <w:rPr>
                <w:rFonts w:ascii="Arial" w:cs="Arial" w:eastAsia="Arial" w:hAnsi="Arial"/>
                <w:sz w:val="16"/>
                <w:szCs w:val="16"/>
                <w:color w:val="auto"/>
              </w:rPr>
              <w:t>Segment goodwill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3,403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16,401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19,804</w:t>
            </w:r>
          </w:p>
        </w:tc>
      </w:tr>
      <w:tr>
        <w:trPr>
          <w:trHeight w:val="33"/>
        </w:trPr>
        <w:tc>
          <w:tcPr>
            <w:tcW w:w="46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960" w:firstLine="8"/>
        <w:spacing w:after="0" w:line="532" w:lineRule="auto"/>
        <w:tabs>
          <w:tab w:leader="none" w:pos="27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 Share Repurchase Program</w:t>
      </w:r>
    </w:p>
    <w:p>
      <w:pPr>
        <w:spacing w:after="0" w:line="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 April 2020, we repurchased 407,697 shares of our common stock for an aggregate purchase price of approximately $8.1 million, which completed the amount previously authorized under our share repurchase program.</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On April 28, 2020, the Board of Directors authorized an additional $10.0 million of share repurchases under our share repurchase program.</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ind w:right="1020"/>
        <w:spacing w:after="0" w:line="377"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b w:val="1"/>
          <w:bCs w:val="1"/>
          <w:u w:val="single" w:color="auto"/>
          <w:color w:val="auto"/>
        </w:rPr>
        <w:t>Forward-Looking Statements</w:t>
      </w:r>
    </w:p>
    <w:p>
      <w:pPr>
        <w:spacing w:after="0" w:line="2"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Statements in this report and the Annual Report to Stockholders that are not purely historical facts, including, without limitation, statements about our expected future financial position, results of operations or cash flows, as well as other statements including, without limitation, words such as “anticipate,” “believe,” “plan,” “estimate,” “expect,” “intend,” “should,” “could,” “goal,” “potentially,” “may,” “designed”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 the risks described under “Risk Factors” in our Annual Report on Form 10-K for the year ended December 31, 2019, filed with the SEC, and those risks set forth below:</w:t>
      </w:r>
    </w:p>
    <w:p>
      <w:pPr>
        <w:spacing w:after="0" w:line="69" w:lineRule="exact"/>
        <w:rPr>
          <w:sz w:val="20"/>
          <w:szCs w:val="20"/>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composition and market value of our AUM;</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fee structure in light of competitive fee pressures;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the COVID-19 pandemic;</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significant concentration of our revenues in a small number of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avoid termination of client agreements and the related investment redemptions;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adversely affecting the financial services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competition in the investment management industry;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develop and market new investment strategies successfully;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AUM include investments in foreign companies;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and our relationships with current and potential customers;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cyber security;</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perform operational tasks;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identify and execute on our strategic initiatives;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effective information systems;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select and oversee third-party vendors;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litigation risks;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declare and pay dividends;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fund future capital requirements on favorable terms;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properly address conflicts of interest;</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adequate insurance coverage;</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an effective system of internal controls;</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stock is thinly traded and may be subject to volatility;</w:t>
      </w:r>
    </w:p>
    <w:p>
      <w:pPr>
        <w:spacing w:after="0" w:line="117" w:lineRule="exact"/>
        <w:rPr>
          <w:rFonts w:ascii="Arial" w:cs="Arial" w:eastAsia="Arial" w:hAnsi="Arial"/>
          <w:sz w:val="18"/>
          <w:szCs w:val="18"/>
          <w:color w:val="auto"/>
        </w:rPr>
      </w:pPr>
    </w:p>
    <w:p>
      <w:pPr>
        <w:ind w:left="500" w:right="240" w:hanging="6"/>
        <w:spacing w:after="0" w:line="277" w:lineRule="auto"/>
        <w:tabs>
          <w:tab w:leader="none" w:pos="608"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organizational documents contain provisions that may prevent or deter another group from paying a premium over the market price to our stockholders to acquire our stock;</w:t>
      </w:r>
    </w:p>
    <w:p>
      <w:pPr>
        <w:spacing w:after="0" w:line="62"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a holding company dependent on the operations and funds of our subsidiaries; and</w:t>
      </w:r>
    </w:p>
    <w:p>
      <w:pPr>
        <w:spacing w:after="0" w:line="117" w:lineRule="exact"/>
        <w:rPr>
          <w:rFonts w:ascii="Arial" w:cs="Arial" w:eastAsia="Arial" w:hAnsi="Arial"/>
          <w:sz w:val="18"/>
          <w:szCs w:val="18"/>
          <w:color w:val="auto"/>
        </w:rPr>
      </w:pPr>
    </w:p>
    <w:p>
      <w:pPr>
        <w:ind w:left="600" w:hanging="106"/>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relationships with investment consulting firms.</w:t>
      </w:r>
    </w:p>
    <w:p>
      <w:pPr>
        <w:spacing w:after="0" w:line="11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report. We are not obligated and do not undertake an obligation to publicly release any revisions to these forward-looking statements to</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093" w:right="5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reflect events or circumstances occurring after the date of this report or to reflect the occurrence of unanticipated events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21"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We manage investment assets and provide services for our clients through our subsidiaries, Westwood Management Corp. and Westwood Advisors, L.L.C. (each of which is an SEC-registered investment advisor and referred to hereinafter together as “Westwood Management”), Westwood International Advisors Inc. (“Westwood International Advisors”) and Westwood Trust. Westwood Management provides investment advisory services to institutional investors, a family of mutual funds called the Westwood Funds®, other mutual funds, an Irish investment company authorized pursuant to the European Communities (Undertakings for Collective Investment in Transferable Securities) Regulation 2011 (as amended) (the “UCITS Fund”), individuals and clients of Westwood Trust. Westwood International Advisors provides investment advisory services to institutional clients, the Westwood Funds®, other mutual funds, the UCITS Fund and clients of Westwood Trust. Westwood Trust provides trust and custodial services and participation in common trust funds to institutions and high net worth individuals. Our revenues are generally derived from fees based on a percentage of AUM.</w:t>
      </w:r>
    </w:p>
    <w:p>
      <w:pPr>
        <w:spacing w:after="0" w:line="57"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We are closely monitoring the impact of the COVID-19 pandemic on all aspects of our business, particularly the impact on global stock markets. In the first quarter of 2020, we took a number of precautionary measures designed to help minimize the risk of the spread of the virus to our employees, including suspending all non-essential travel for our employees and encouraging our employees to work remotely. The investments we have made in technology over the past several years, particularly our significant investments in cloud-based systems and business continuity planning, have allowed our entire team to serve our clients seamlessly from their homes.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derive our revenues from investment advisory fees, trust fees and other revenues. Our advisory fees are generated by Westwood Management and Westwood International Advisors, which manage client accounts under investment advisory and subadvisory agreements. Advisory fees are typically calculated based on a percentage of AUM and are paid in accordance with the terms of the agreements. Advisory fees are paid quarterly in advance based on AUM on the last day of the preceding quarter, quarterly in arrears based on AUM on the last day of the quarter just ended or are based on a daily or monthly analysis of AUM for the stated period. We recognize advisory fee revenues as services are rendered. Certain of our clients have a contractual performance-based fee component in their contracts, which generates additional revenues if we outperform a specified index over a specific period of time. We record revenue for performance-based fees at the end of the measurement period. Since our advance paying clients’ billing periods coincide with the calendar quarter to which such payments relate, revenue is recognized within the quarter, and our Condensed Consolidated Financial Statements contain no deferred advisory fee revenues.</w:t>
      </w:r>
    </w:p>
    <w:p>
      <w:pPr>
        <w:spacing w:after="0" w:line="73"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Our trust fees are generated by Westwood Trust pursuant to trust or custodial agreements. Trust fees are separately negotiated with each client and are generally based on a percentage of AUM. Westwood Trust also provides trust services to a small number of clients on a fixed fee basis. Trust fees are primarily calculated quarterly in arrears based on a daily average of AUM for the quarter. Since billing periods for most of Westwood Trust's clients coincide with the calendar quarter, revenue is fully recognized within the quarter, and our Condensed Consolidated Financial Statements contain no deferred advisory fee revenues.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other revenues primarily consist of investment income from our seed money investments into new investment strategies.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Compensation and Benefits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Employee compensation and benefits expenses generally consist of salaries, incentive compensation, equity-based compensation and benefits.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Sales and marketing expenses relate to our marketing efforts, including travel and entertainment, direct marketing and advertising costs.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Westwood Mutual Funds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Westwood Mutual Funds expenses relate to our marketing, distribution and administration of the Westwood Funds</w:t>
      </w:r>
      <w:r>
        <w:rPr>
          <w:rFonts w:ascii="Arial" w:cs="Arial" w:eastAsia="Arial" w:hAnsi="Arial"/>
          <w:sz w:val="18"/>
          <w:szCs w:val="18"/>
          <w:b w:val="1"/>
          <w:bCs w:val="1"/>
          <w:i w:val="1"/>
          <w:iCs w:val="1"/>
          <w:color w:val="auto"/>
        </w:rPr>
        <w:t>®</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Technology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5" w:right="379" w:bottom="1440" w:gutter="0" w:footer="0" w:header="0"/>
        </w:sectPr>
      </w:pPr>
    </w:p>
    <w:bookmarkStart w:id="19" w:name="page20"/>
    <w:bookmarkEnd w:id="19"/>
    <w:p>
      <w:pPr>
        <w:ind w:right="340" w:firstLine="486"/>
        <w:spacing w:after="0" w:line="277" w:lineRule="auto"/>
        <w:rPr>
          <w:sz w:val="20"/>
          <w:szCs w:val="20"/>
          <w:color w:val="auto"/>
        </w:rPr>
      </w:pPr>
      <w:r>
        <w:rPr>
          <w:rFonts w:ascii="Arial" w:cs="Arial" w:eastAsia="Arial" w:hAnsi="Arial"/>
          <w:sz w:val="18"/>
          <w:szCs w:val="18"/>
          <w:color w:val="auto"/>
        </w:rPr>
        <w:t>Information technology expenses are generally costs associated with proprietary investment research tools, maintenance and support, computing hardware, software licenses, telecommunications and other related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Professional services expenses generally consist of costs associated with subadvisory fees, audit, tax, legal and other professional services.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520" w:firstLine="486"/>
        <w:spacing w:after="0" w:line="308" w:lineRule="auto"/>
        <w:rPr>
          <w:sz w:val="20"/>
          <w:szCs w:val="20"/>
          <w:color w:val="auto"/>
        </w:rPr>
      </w:pPr>
      <w:r>
        <w:rPr>
          <w:rFonts w:ascii="Arial" w:cs="Arial" w:eastAsia="Arial" w:hAnsi="Arial"/>
          <w:sz w:val="17"/>
          <w:szCs w:val="17"/>
          <w:color w:val="auto"/>
        </w:rPr>
        <w:t>General and administrative expenses generally consist of costs associated with the lease of office space, amortization, depreciation, insurance, custody expense, Board of Directors fees, investor relations, licenses and fees, office supplies and other miscellaneous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Foreign Currency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Gain (loss) on foreign currency transactions consists of foreign currency transactions primarily related to Westwood International Advisors.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Gains (Losses) on Private Investments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Unrealized gains (losses) in private investments includes changes in the value of our private equity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Investment income primarily includes interest and dividend income on fixed income securities and money market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Other income consists of income from the sublease of a portion of our corporate headquarters office.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Assets Under Management</w:t>
      </w:r>
    </w:p>
    <w:p>
      <w:pPr>
        <w:spacing w:after="0" w:line="175"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AUM decreased $5.2 billion to $11.6 billion at March 31, 2020 compared with $16.8 billion at March 31, 2019. The average of beginning and ending AUM for the first quarter of 2020 was $13.4 billion compared to $16.7 billion for the first quarter of 2019. These decreases are due to net outflows primarily in our LargeCap Value and Income Opportunity strategies and market depreciation, partially offset by net inflows to our SmallCap Value strategies.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displays AUM as of March 31, 2020 and 2019 (in millions):</w:t>
      </w:r>
    </w:p>
    <w:p>
      <w:pPr>
        <w:spacing w:after="0" w:line="64"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4"/>
          </w:tcPr>
          <w:p>
            <w:pPr>
              <w:jc w:val="right"/>
              <w:ind w:right="632"/>
              <w:spacing w:after="0"/>
              <w:rPr>
                <w:sz w:val="20"/>
                <w:szCs w:val="20"/>
                <w:color w:val="auto"/>
              </w:rPr>
            </w:pPr>
            <w:r>
              <w:rPr>
                <w:rFonts w:ascii="Arial" w:cs="Arial" w:eastAsia="Arial" w:hAnsi="Arial"/>
                <w:sz w:val="16"/>
                <w:szCs w:val="16"/>
                <w:b w:val="1"/>
                <w:bCs w:val="1"/>
                <w:color w:val="auto"/>
              </w:rPr>
              <w:t>As of March 31,</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7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4"/>
        </w:trPr>
        <w:tc>
          <w:tcPr>
            <w:tcW w:w="70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Change</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Institutional</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6,335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9,235</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96"/>
              </w:rPr>
              <w:t>(31)%</w:t>
            </w:r>
          </w:p>
        </w:tc>
      </w:tr>
      <w:tr>
        <w:trPr>
          <w:trHeight w:val="270"/>
        </w:trPr>
        <w:tc>
          <w:tcPr>
            <w:tcW w:w="7020" w:type="dxa"/>
            <w:vAlign w:val="bottom"/>
          </w:tcPr>
          <w:p>
            <w:pPr>
              <w:ind w:left="20"/>
              <w:spacing w:after="0"/>
              <w:rPr>
                <w:sz w:val="20"/>
                <w:szCs w:val="20"/>
                <w:color w:val="auto"/>
              </w:rPr>
            </w:pPr>
            <w:r>
              <w:rPr>
                <w:rFonts w:ascii="Arial" w:cs="Arial" w:eastAsia="Arial" w:hAnsi="Arial"/>
                <w:sz w:val="18"/>
                <w:szCs w:val="18"/>
                <w:color w:val="auto"/>
              </w:rPr>
              <w:t>Wealth Management</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960" w:type="dxa"/>
            <w:vAlign w:val="bottom"/>
          </w:tcPr>
          <w:p>
            <w:pPr>
              <w:jc w:val="right"/>
              <w:ind w:right="73"/>
              <w:spacing w:after="0"/>
              <w:rPr>
                <w:sz w:val="20"/>
                <w:szCs w:val="20"/>
                <w:color w:val="auto"/>
              </w:rPr>
            </w:pPr>
            <w:r>
              <w:rPr>
                <w:rFonts w:ascii="Arial" w:cs="Arial" w:eastAsia="Arial" w:hAnsi="Arial"/>
                <w:sz w:val="18"/>
                <w:szCs w:val="18"/>
                <w:color w:val="auto"/>
              </w:rPr>
              <w:t>3,765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4,368</w:t>
            </w:r>
          </w:p>
        </w:tc>
        <w:tc>
          <w:tcPr>
            <w:tcW w:w="1240" w:type="dxa"/>
            <w:vAlign w:val="bottom"/>
            <w:gridSpan w:val="2"/>
          </w:tcPr>
          <w:p>
            <w:pPr>
              <w:ind w:left="780"/>
              <w:spacing w:after="0"/>
              <w:rPr>
                <w:sz w:val="20"/>
                <w:szCs w:val="20"/>
                <w:color w:val="auto"/>
              </w:rPr>
            </w:pPr>
            <w:r>
              <w:rPr>
                <w:rFonts w:ascii="Arial" w:cs="Arial" w:eastAsia="Arial" w:hAnsi="Arial"/>
                <w:sz w:val="17"/>
                <w:szCs w:val="17"/>
                <w:color w:val="auto"/>
              </w:rPr>
              <w:t>(14)</w:t>
            </w:r>
          </w:p>
        </w:tc>
      </w:tr>
      <w:tr>
        <w:trPr>
          <w:trHeight w:val="27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Funds</w:t>
            </w:r>
            <w:r>
              <w:rPr>
                <w:rFonts w:ascii="Arial" w:cs="Arial" w:eastAsia="Arial" w:hAnsi="Arial"/>
                <w:sz w:val="23"/>
                <w:szCs w:val="23"/>
                <w:color w:val="auto"/>
                <w:vertAlign w:val="superscript"/>
              </w:rPr>
              <w:t>(3)</w:t>
            </w: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3,168</w:t>
            </w:r>
          </w:p>
        </w:tc>
        <w:tc>
          <w:tcPr>
            <w:tcW w:w="12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(53)</w:t>
            </w:r>
          </w:p>
        </w:tc>
      </w:tr>
      <w:tr>
        <w:trPr>
          <w:trHeight w:val="263"/>
        </w:trPr>
        <w:tc>
          <w:tcPr>
            <w:tcW w:w="7020" w:type="dxa"/>
            <w:vAlign w:val="bottom"/>
          </w:tcPr>
          <w:p>
            <w:pPr>
              <w:ind w:left="20"/>
              <w:spacing w:after="0"/>
              <w:rPr>
                <w:sz w:val="20"/>
                <w:szCs w:val="20"/>
                <w:color w:val="auto"/>
              </w:rPr>
            </w:pPr>
            <w:r>
              <w:rPr>
                <w:rFonts w:ascii="Arial" w:cs="Arial" w:eastAsia="Arial" w:hAnsi="Arial"/>
                <w:sz w:val="18"/>
                <w:szCs w:val="18"/>
                <w:b w:val="1"/>
                <w:bCs w:val="1"/>
                <w:color w:val="auto"/>
              </w:rPr>
              <w:t>Total AUM</w:t>
            </w:r>
            <w:r>
              <w:rPr>
                <w:rFonts w:ascii="Arial" w:cs="Arial" w:eastAsia="Arial" w:hAnsi="Arial"/>
                <w:sz w:val="19"/>
                <w:szCs w:val="19"/>
                <w:b w:val="1"/>
                <w:bCs w:val="1"/>
                <w:color w:val="auto"/>
                <w:vertAlign w:val="superscript"/>
              </w:rPr>
              <w:t>(4)</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11,600</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16,771</w:t>
            </w:r>
          </w:p>
        </w:tc>
        <w:tc>
          <w:tcPr>
            <w:tcW w:w="1240" w:type="dxa"/>
            <w:vAlign w:val="bottom"/>
            <w:gridSpan w:val="2"/>
          </w:tcPr>
          <w:p>
            <w:pPr>
              <w:ind w:left="780"/>
              <w:spacing w:after="0"/>
              <w:rPr>
                <w:sz w:val="20"/>
                <w:szCs w:val="20"/>
                <w:color w:val="auto"/>
              </w:rPr>
            </w:pPr>
            <w:r>
              <w:rPr>
                <w:rFonts w:ascii="Arial" w:cs="Arial" w:eastAsia="Arial" w:hAnsi="Arial"/>
                <w:sz w:val="17"/>
                <w:szCs w:val="17"/>
                <w:color w:val="auto"/>
                <w:w w:val="96"/>
              </w:rPr>
              <w:t>(31)%</w:t>
            </w:r>
          </w:p>
        </w:tc>
      </w:tr>
      <w:tr>
        <w:trPr>
          <w:trHeight w:val="20"/>
        </w:trPr>
        <w:tc>
          <w:tcPr>
            <w:tcW w:w="7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left="340" w:hanging="332"/>
        <w:spacing w:after="0" w:line="24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Institutional includes (i) separate accounts of corporate pension and profit sharing plans, public employee retirement funds, Taft-Hartley plans, endowments, foundations and individuals; (ii) subadvisory relationships where Westwood provides investment management services for funds offered by other financial institutions; (iii) pooled investment vehicles, including the UCITS Fund and collective investment trusts; and (iv) managed account relationships with brokerage firms and other registered investment advisors that offer Westwood products to their customers.</w:t>
      </w:r>
    </w:p>
    <w:p>
      <w:pPr>
        <w:spacing w:after="0" w:line="2" w:lineRule="exact"/>
        <w:rPr>
          <w:rFonts w:ascii="Arial" w:cs="Arial" w:eastAsia="Arial" w:hAnsi="Arial"/>
          <w:sz w:val="14"/>
          <w:szCs w:val="14"/>
          <w:color w:val="auto"/>
        </w:rPr>
      </w:pPr>
    </w:p>
    <w:p>
      <w:pPr>
        <w:jc w:val="both"/>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Wealth Management includes assets for which Westwood Trust provides trust and custodial services and participation in common trust funds that it sponsors to institutions and high net worth individuals pursuant to trust or agency agreements and assets for which Westwood Advisors, L.L.C. provided advisory services to high net worth individuals. Investment subadvisory services are provided for the common trust funds by Westwood Management, Westwood International Advisors and external unaffiliated subadvisors. For certain assets in this category Westwood Trust currently provides limited custody services for a minimal or no fee, viewing these assets as potentially converting to fee-generating managed assets in the future. As an example, some assets in this category consist of low-basis stock currently held in custody for clients where we believe such assets may convert to fee-generating managed assets following an intergenerational transfer of wealth.</w:t>
      </w:r>
    </w:p>
    <w:p>
      <w:pPr>
        <w:spacing w:after="0" w:line="2" w:lineRule="exact"/>
        <w:rPr>
          <w:rFonts w:ascii="Arial" w:cs="Arial" w:eastAsia="Arial" w:hAnsi="Arial"/>
          <w:sz w:val="14"/>
          <w:szCs w:val="14"/>
          <w:color w:val="auto"/>
        </w:rPr>
      </w:pPr>
    </w:p>
    <w:p>
      <w:pPr>
        <w:ind w:left="340" w:hanging="332"/>
        <w:spacing w:after="0" w:line="241"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Mutual Funds include the Westwood Funds®, a family of mutual funds for which Westwood Management serves as advisor. These funds are available to individual investors, as well as offered as part of our investment strategies for institutional and wealth management accounts.</w:t>
      </w:r>
    </w:p>
    <w:p>
      <w:pPr>
        <w:ind w:left="340" w:hanging="332"/>
        <w:spacing w:after="0" w:line="25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AUM excludes $222 million and $264 million of assets under advisement (“AUA”) as of March 31, 2020 and 2019, respectively, related to our model portfolios for which we provided consulting advice but for which we did not have direct discretionary investment authority.</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Roll-Forward of Assets Under Management</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340" w:type="dxa"/>
            <w:vAlign w:val="bottom"/>
            <w:gridSpan w:val="5"/>
          </w:tcPr>
          <w:p>
            <w:pPr>
              <w:jc w:val="right"/>
              <w:spacing w:after="0"/>
              <w:rPr>
                <w:sz w:val="20"/>
                <w:szCs w:val="20"/>
                <w:color w:val="auto"/>
              </w:rPr>
            </w:pPr>
            <w:r>
              <w:rPr>
                <w:rFonts w:ascii="Arial" w:cs="Arial" w:eastAsia="Arial" w:hAnsi="Arial"/>
                <w:sz w:val="16"/>
                <w:szCs w:val="16"/>
                <w:b w:val="1"/>
                <w:bCs w:val="1"/>
                <w:color w:val="auto"/>
                <w:w w:val="95"/>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88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(in millions)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80" w:type="dxa"/>
            <w:vAlign w:val="bottom"/>
            <w:gridSpan w:val="5"/>
            <w:vMerge w:val="continue"/>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5"/>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w w:val="92"/>
              </w:rPr>
              <w:t>Institutional</w:t>
            </w:r>
          </w:p>
        </w:tc>
        <w:tc>
          <w:tcPr>
            <w:tcW w:w="7920" w:type="dxa"/>
            <w:vAlign w:val="bottom"/>
            <w:tcBorders>
              <w:bottom w:val="single" w:sz="8" w:color="CCEEFF"/>
            </w:tcBorders>
            <w:gridSpan w:val="3"/>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8,739</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9,327</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(1,202)</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(948)</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(1,986)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6,335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9,235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Wealth Management</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4,438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4,043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9"/>
                <w:szCs w:val="19"/>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shd w:val="clear" w:color="auto" w:fill="CCEEFF"/>
          </w:tcPr>
          <w:p>
            <w:pPr>
              <w:spacing w:after="0"/>
              <w:rPr>
                <w:sz w:val="22"/>
                <w:szCs w:val="22"/>
                <w:color w:val="auto"/>
              </w:rPr>
            </w:pPr>
          </w:p>
        </w:tc>
        <w:tc>
          <w:tcPr>
            <w:tcW w:w="8880" w:type="dxa"/>
            <w:vAlign w:val="bottom"/>
            <w:gridSpan w:val="5"/>
            <w:shd w:val="clear" w:color="auto" w:fill="CCEEFF"/>
          </w:tcPr>
          <w:p>
            <w:pPr>
              <w:ind w:left="34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(127)</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(673)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3,765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4,368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5"/>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Mutual Funds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28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2,058</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3,236</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174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(310)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15"/>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(361)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color w:val="auto"/>
              </w:rPr>
              <w:t>(422)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(558)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1,500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3,168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80" w:type="dxa"/>
            <w:vAlign w:val="bottom"/>
            <w:gridSpan w:val="5"/>
          </w:tcPr>
          <w:p>
            <w:pPr>
              <w:spacing w:after="0" w:line="202" w:lineRule="exact"/>
              <w:rPr>
                <w:sz w:val="20"/>
                <w:szCs w:val="20"/>
                <w:color w:val="auto"/>
              </w:rPr>
            </w:pPr>
            <w:r>
              <w:rPr>
                <w:rFonts w:ascii="Arial" w:cs="Arial" w:eastAsia="Arial" w:hAnsi="Arial"/>
                <w:sz w:val="18"/>
                <w:szCs w:val="18"/>
                <w:b w:val="1"/>
                <w:bCs w:val="1"/>
                <w:color w:val="auto"/>
              </w:rPr>
              <w:t>Total AUM</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Beginning of period assets</w:t>
            </w:r>
          </w:p>
        </w:tc>
        <w:tc>
          <w:tcPr>
            <w:tcW w:w="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15,235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16,606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Inflows</w:t>
            </w:r>
          </w:p>
        </w:tc>
        <w:tc>
          <w:tcPr>
            <w:tcW w:w="240" w:type="dxa"/>
            <w:vAlign w:val="bottom"/>
          </w:tcPr>
          <w:p>
            <w:pPr>
              <w:spacing w:after="0"/>
              <w:rPr>
                <w:sz w:val="19"/>
                <w:szCs w:val="19"/>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color w:val="auto"/>
              </w:rPr>
              <w:t>560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Outflows</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(1,168)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(1,845)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80" w:type="dxa"/>
            <w:vAlign w:val="bottom"/>
            <w:gridSpan w:val="5"/>
          </w:tcPr>
          <w:p>
            <w:pPr>
              <w:ind w:left="320"/>
              <w:spacing w:after="0"/>
              <w:rPr>
                <w:sz w:val="20"/>
                <w:szCs w:val="20"/>
                <w:color w:val="auto"/>
              </w:rPr>
            </w:pPr>
            <w:r>
              <w:rPr>
                <w:rFonts w:ascii="Arial" w:cs="Arial" w:eastAsia="Arial" w:hAnsi="Arial"/>
                <w:sz w:val="17"/>
                <w:szCs w:val="17"/>
                <w:color w:val="auto"/>
              </w:rPr>
              <w:t>Net client flows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(608)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880" w:type="dxa"/>
            <w:vAlign w:val="bottom"/>
            <w:tcBorders>
              <w:bottom w:val="single" w:sz="8" w:color="CCEEFF"/>
            </w:tcBorders>
            <w:gridSpan w:val="5"/>
            <w:shd w:val="clear" w:color="auto" w:fill="CCEEFF"/>
          </w:tcPr>
          <w:p>
            <w:pPr>
              <w:ind w:left="320"/>
              <w:spacing w:after="0"/>
              <w:rPr>
                <w:sz w:val="20"/>
                <w:szCs w:val="20"/>
                <w:color w:val="auto"/>
              </w:rPr>
            </w:pPr>
            <w:r>
              <w:rPr>
                <w:rFonts w:ascii="Arial" w:cs="Arial" w:eastAsia="Arial" w:hAnsi="Arial"/>
                <w:sz w:val="17"/>
                <w:szCs w:val="17"/>
                <w:color w:val="auto"/>
              </w:rPr>
              <w:t>Market appreciation (depreciation)</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(3,027)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1,490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880" w:type="dxa"/>
            <w:vAlign w:val="bottom"/>
            <w:gridSpan w:val="5"/>
          </w:tcPr>
          <w:p>
            <w:pPr>
              <w:spacing w:after="0"/>
              <w:rPr>
                <w:sz w:val="20"/>
                <w:szCs w:val="20"/>
                <w:color w:val="auto"/>
              </w:rPr>
            </w:pPr>
            <w:r>
              <w:rPr>
                <w:rFonts w:ascii="Arial" w:cs="Arial" w:eastAsia="Arial" w:hAnsi="Arial"/>
                <w:sz w:val="17"/>
                <w:szCs w:val="17"/>
                <w:color w:val="auto"/>
              </w:rPr>
              <w:t>Net change</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(3,635)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31"/>
        </w:trPr>
        <w:tc>
          <w:tcPr>
            <w:tcW w:w="2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20" w:type="dxa"/>
            <w:vAlign w:val="bottom"/>
            <w:tcBorders>
              <w:bottom w:val="single" w:sz="8" w:color="CCEEFF"/>
            </w:tcBorders>
            <w:shd w:val="clear" w:color="auto" w:fill="CCEEFF"/>
          </w:tcPr>
          <w:p>
            <w:pPr>
              <w:spacing w:after="0"/>
              <w:rPr>
                <w:sz w:val="23"/>
                <w:szCs w:val="23"/>
                <w:color w:val="auto"/>
              </w:rPr>
            </w:pPr>
          </w:p>
        </w:tc>
        <w:tc>
          <w:tcPr>
            <w:tcW w:w="8880" w:type="dxa"/>
            <w:vAlign w:val="bottom"/>
            <w:tcBorders>
              <w:bottom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End of period assets</w:t>
            </w:r>
          </w:p>
        </w:tc>
        <w:tc>
          <w:tcPr>
            <w:tcW w:w="2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11,600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16,771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and 2019</w:t>
      </w:r>
    </w:p>
    <w:p>
      <w:pPr>
        <w:spacing w:after="0" w:line="11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The $3.6 billion decrease in AUM for the three months ended March 31, 2020 was due to market depreciation of $3.0 billion and net outflows of $608 million. Market depreciation was primarily related to our LargeCap Value and SmallCap Value strategies. Net outflows were primarily related to our LargeCap Value and Income Opportunity strategies, partially offset by net inflows to our SmallCap Value strategies.</w:t>
      </w:r>
    </w:p>
    <w:p>
      <w:pPr>
        <w:spacing w:after="0" w:line="111" w:lineRule="exact"/>
        <w:rPr>
          <w:sz w:val="20"/>
          <w:szCs w:val="20"/>
          <w:color w:val="auto"/>
        </w:rPr>
      </w:pPr>
    </w:p>
    <w:p>
      <w:pPr>
        <w:jc w:val="both"/>
        <w:ind w:right="60" w:firstLine="486"/>
        <w:spacing w:after="0" w:line="263" w:lineRule="auto"/>
        <w:rPr>
          <w:sz w:val="20"/>
          <w:szCs w:val="20"/>
          <w:color w:val="auto"/>
        </w:rPr>
      </w:pPr>
      <w:r>
        <w:rPr>
          <w:rFonts w:ascii="Arial" w:cs="Arial" w:eastAsia="Arial" w:hAnsi="Arial"/>
          <w:sz w:val="18"/>
          <w:szCs w:val="18"/>
          <w:color w:val="auto"/>
        </w:rPr>
        <w:t>The $165 million increase in AUM for the three months ended March 31, 2019 was due to market appreciation of $1.5 billion, partially offset by net outflows of $1.3 billion. Net outflows were primarily related to our Emerging Markets and Income Opportunity strategies, partially offset by net inflows to our SmallCap Value strategy.</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75"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The following table (dollars in thousands) and discussion of our results of operations are based upon data derived from the Condensed Consolidated Statements of Comprehensive Income (Loss) contained in our Condensed Consolidated Financial Statements and should be read in conjunction with those statements included elsewhere in this report.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4"/>
          </w:tcPr>
          <w:p>
            <w:pPr>
              <w:jc w:val="right"/>
              <w:ind w:right="299"/>
              <w:spacing w:after="0"/>
              <w:rPr>
                <w:sz w:val="20"/>
                <w:szCs w:val="20"/>
                <w:color w:val="auto"/>
              </w:rPr>
            </w:pPr>
            <w:r>
              <w:rPr>
                <w:rFonts w:ascii="Arial" w:cs="Arial" w:eastAsia="Arial" w:hAnsi="Arial"/>
                <w:sz w:val="15"/>
                <w:szCs w:val="15"/>
                <w:b w:val="1"/>
                <w:bCs w:val="1"/>
                <w:color w:val="auto"/>
              </w:rPr>
              <w:t>Three Months Ended</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rPr>
              <w:t>March 31,</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8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80"/>
              <w:spacing w:after="0"/>
              <w:rPr>
                <w:sz w:val="20"/>
                <w:szCs w:val="20"/>
                <w:color w:val="auto"/>
              </w:rPr>
            </w:pPr>
            <w:r>
              <w:rPr>
                <w:rFonts w:ascii="Arial" w:cs="Arial" w:eastAsia="Arial" w:hAnsi="Arial"/>
                <w:sz w:val="15"/>
                <w:szCs w:val="15"/>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Arial" w:cs="Arial" w:eastAsia="Arial" w:hAnsi="Arial"/>
                <w:sz w:val="15"/>
                <w:szCs w:val="15"/>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Change</w:t>
            </w:r>
          </w:p>
        </w:tc>
        <w:tc>
          <w:tcPr>
            <w:tcW w:w="0" w:type="dxa"/>
            <w:vAlign w:val="bottom"/>
          </w:tcPr>
          <w:p>
            <w:pPr>
              <w:spacing w:after="0"/>
              <w:rPr>
                <w:sz w:val="1"/>
                <w:szCs w:val="1"/>
                <w:color w:val="auto"/>
              </w:rPr>
            </w:pP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220"/>
              <w:spacing w:after="0"/>
              <w:rPr>
                <w:sz w:val="20"/>
                <w:szCs w:val="20"/>
                <w:color w:val="auto"/>
              </w:rPr>
            </w:pPr>
            <w:r>
              <w:rPr>
                <w:rFonts w:ascii="Arial" w:cs="Arial" w:eastAsia="Arial" w:hAnsi="Arial"/>
                <w:sz w:val="16"/>
                <w:szCs w:val="16"/>
                <w:color w:val="auto"/>
              </w:rPr>
              <w:t>Advisory fees: asset-based</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11,102</w:t>
            </w:r>
          </w:p>
        </w:tc>
        <w:tc>
          <w:tcPr>
            <w:tcW w:w="120" w:type="dxa"/>
            <w:vAlign w:val="bottom"/>
          </w:tcPr>
          <w:p>
            <w:pPr>
              <w:spacing w:after="0"/>
              <w:rPr>
                <w:sz w:val="21"/>
                <w:szCs w:val="21"/>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16,406</w:t>
            </w:r>
          </w:p>
        </w:tc>
        <w:tc>
          <w:tcPr>
            <w:tcW w:w="1220" w:type="dxa"/>
            <w:vAlign w:val="bottom"/>
            <w:gridSpan w:val="2"/>
          </w:tcPr>
          <w:p>
            <w:pPr>
              <w:jc w:val="right"/>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Advisory fees: performance-based</w:t>
            </w:r>
          </w:p>
        </w:tc>
        <w:tc>
          <w:tcPr>
            <w:tcW w:w="2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180</w:t>
            </w:r>
          </w:p>
        </w:tc>
        <w:tc>
          <w:tcPr>
            <w:tcW w:w="1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53"/>
        </w:trPr>
        <w:tc>
          <w:tcPr>
            <w:tcW w:w="7860" w:type="dxa"/>
            <w:vAlign w:val="bottom"/>
          </w:tcPr>
          <w:p>
            <w:pPr>
              <w:ind w:left="220"/>
              <w:spacing w:after="0"/>
              <w:rPr>
                <w:sz w:val="20"/>
                <w:szCs w:val="20"/>
                <w:color w:val="auto"/>
              </w:rPr>
            </w:pPr>
            <w:r>
              <w:rPr>
                <w:rFonts w:ascii="Arial" w:cs="Arial" w:eastAsia="Arial" w:hAnsi="Arial"/>
                <w:sz w:val="16"/>
                <w:szCs w:val="16"/>
                <w:color w:val="auto"/>
              </w:rPr>
              <w:t>Trust fees</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6,539</w:t>
            </w:r>
          </w:p>
        </w:tc>
        <w:tc>
          <w:tcPr>
            <w:tcW w:w="1220" w:type="dxa"/>
            <w:vAlign w:val="bottom"/>
            <w:gridSpan w:val="2"/>
          </w:tcPr>
          <w:p>
            <w:pPr>
              <w:jc w:val="right"/>
              <w:ind w:right="84"/>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60"/>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737</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46"/>
        </w:trPr>
        <w:tc>
          <w:tcPr>
            <w:tcW w:w="7860" w:type="dxa"/>
            <w:vAlign w:val="bottom"/>
          </w:tcPr>
          <w:p>
            <w:pPr>
              <w:ind w:left="460"/>
              <w:spacing w:after="0"/>
              <w:rPr>
                <w:sz w:val="20"/>
                <w:szCs w:val="20"/>
                <w:color w:val="auto"/>
              </w:rPr>
            </w:pPr>
            <w:r>
              <w:rPr>
                <w:rFonts w:ascii="Arial" w:cs="Arial" w:eastAsia="Arial" w:hAnsi="Arial"/>
                <w:sz w:val="16"/>
                <w:szCs w:val="16"/>
                <w:color w:val="auto"/>
              </w:rPr>
              <w:t>Total revenues</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16,669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23,862</w:t>
            </w:r>
          </w:p>
        </w:tc>
        <w:tc>
          <w:tcPr>
            <w:tcW w:w="1220" w:type="dxa"/>
            <w:vAlign w:val="bottom"/>
            <w:gridSpan w:val="2"/>
          </w:tcPr>
          <w:p>
            <w:pPr>
              <w:jc w:val="right"/>
              <w:ind w:right="84"/>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24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Expenses:</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860" w:type="dxa"/>
            <w:vAlign w:val="bottom"/>
          </w:tcPr>
          <w:p>
            <w:pPr>
              <w:ind w:left="220"/>
              <w:spacing w:after="0"/>
              <w:rPr>
                <w:sz w:val="20"/>
                <w:szCs w:val="20"/>
                <w:color w:val="auto"/>
              </w:rPr>
            </w:pPr>
            <w:r>
              <w:rPr>
                <w:rFonts w:ascii="Arial" w:cs="Arial" w:eastAsia="Arial" w:hAnsi="Arial"/>
                <w:sz w:val="16"/>
                <w:szCs w:val="16"/>
                <w:color w:val="auto"/>
              </w:rPr>
              <w:t>Employee compensation and benefits</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12,668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14,610</w:t>
            </w:r>
          </w:p>
        </w:tc>
        <w:tc>
          <w:tcPr>
            <w:tcW w:w="1220" w:type="dxa"/>
            <w:vAlign w:val="bottom"/>
            <w:gridSpan w:val="2"/>
          </w:tcPr>
          <w:p>
            <w:pPr>
              <w:jc w:val="right"/>
              <w:ind w:right="84"/>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Sales and marketing</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478</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530</w:t>
            </w:r>
          </w:p>
        </w:tc>
        <w:tc>
          <w:tcPr>
            <w:tcW w:w="1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53"/>
        </w:trPr>
        <w:tc>
          <w:tcPr>
            <w:tcW w:w="7860" w:type="dxa"/>
            <w:vAlign w:val="bottom"/>
          </w:tcPr>
          <w:p>
            <w:pPr>
              <w:ind w:left="220"/>
              <w:spacing w:after="0"/>
              <w:rPr>
                <w:sz w:val="20"/>
                <w:szCs w:val="20"/>
                <w:color w:val="auto"/>
              </w:rPr>
            </w:pPr>
            <w:r>
              <w:rPr>
                <w:rFonts w:ascii="Arial" w:cs="Arial" w:eastAsia="Arial" w:hAnsi="Arial"/>
                <w:sz w:val="16"/>
                <w:szCs w:val="16"/>
                <w:color w:val="auto"/>
              </w:rPr>
              <w:t>Westwood mutual funds</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846</w:t>
            </w:r>
          </w:p>
        </w:tc>
        <w:tc>
          <w:tcPr>
            <w:tcW w:w="1220" w:type="dxa"/>
            <w:vAlign w:val="bottom"/>
            <w:gridSpan w:val="2"/>
          </w:tcPr>
          <w:p>
            <w:pPr>
              <w:jc w:val="right"/>
              <w:ind w:right="84"/>
              <w:spacing w:after="0"/>
              <w:rPr>
                <w:sz w:val="20"/>
                <w:szCs w:val="20"/>
                <w:color w:val="auto"/>
              </w:rPr>
            </w:pPr>
            <w:r>
              <w:rPr>
                <w:rFonts w:ascii="Arial" w:cs="Arial" w:eastAsia="Arial" w:hAnsi="Arial"/>
                <w:sz w:val="15"/>
                <w:szCs w:val="15"/>
                <w:color w:val="auto"/>
              </w:rPr>
              <w:t>(39)</w:t>
            </w:r>
          </w:p>
        </w:tc>
        <w:tc>
          <w:tcPr>
            <w:tcW w:w="0" w:type="dxa"/>
            <w:vAlign w:val="bottom"/>
          </w:tcPr>
          <w:p>
            <w:pPr>
              <w:spacing w:after="0"/>
              <w:rPr>
                <w:sz w:val="1"/>
                <w:szCs w:val="1"/>
                <w:color w:val="auto"/>
              </w:rPr>
            </w:pPr>
          </w:p>
        </w:tc>
      </w:tr>
      <w:tr>
        <w:trPr>
          <w:trHeight w:val="260"/>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Information technology</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2,031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1,977</w:t>
            </w:r>
          </w:p>
        </w:tc>
        <w:tc>
          <w:tcPr>
            <w:tcW w:w="1220" w:type="dxa"/>
            <w:vAlign w:val="bottom"/>
            <w:gridSpan w:val="2"/>
            <w:shd w:val="clear" w:color="auto" w:fill="CCEEFF"/>
          </w:tcPr>
          <w:p>
            <w:pPr>
              <w:jc w:val="right"/>
              <w:ind w:right="124"/>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53"/>
        </w:trPr>
        <w:tc>
          <w:tcPr>
            <w:tcW w:w="7860" w:type="dxa"/>
            <w:vAlign w:val="bottom"/>
          </w:tcPr>
          <w:p>
            <w:pPr>
              <w:ind w:left="220"/>
              <w:spacing w:after="0"/>
              <w:rPr>
                <w:sz w:val="20"/>
                <w:szCs w:val="20"/>
                <w:color w:val="auto"/>
              </w:rPr>
            </w:pPr>
            <w:r>
              <w:rPr>
                <w:rFonts w:ascii="Arial" w:cs="Arial" w:eastAsia="Arial" w:hAnsi="Arial"/>
                <w:sz w:val="16"/>
                <w:szCs w:val="16"/>
                <w:color w:val="auto"/>
              </w:rPr>
              <w:t>Professional services</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1,193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1,149</w:t>
            </w:r>
          </w:p>
        </w:tc>
        <w:tc>
          <w:tcPr>
            <w:tcW w:w="1220" w:type="dxa"/>
            <w:vAlign w:val="bottom"/>
            <w:gridSpan w:val="2"/>
          </w:tcPr>
          <w:p>
            <w:pPr>
              <w:jc w:val="right"/>
              <w:ind w:right="124"/>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2,306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2,434</w:t>
            </w:r>
          </w:p>
        </w:tc>
        <w:tc>
          <w:tcPr>
            <w:tcW w:w="1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53"/>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(Gain) loss on foreign currency transactions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(2,938)</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jc w:val="right"/>
              <w:ind w:right="1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54"/>
        </w:trPr>
        <w:tc>
          <w:tcPr>
            <w:tcW w:w="78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expenses</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16,253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22,366</w:t>
            </w:r>
          </w:p>
        </w:tc>
        <w:tc>
          <w:tcPr>
            <w:tcW w:w="1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24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Net operating income</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1,496</w:t>
            </w:r>
          </w:p>
        </w:tc>
        <w:tc>
          <w:tcPr>
            <w:tcW w:w="122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(72)</w:t>
            </w:r>
          </w:p>
        </w:tc>
        <w:tc>
          <w:tcPr>
            <w:tcW w:w="0" w:type="dxa"/>
            <w:vAlign w:val="bottom"/>
          </w:tcPr>
          <w:p>
            <w:pPr>
              <w:spacing w:after="0"/>
              <w:rPr>
                <w:sz w:val="1"/>
                <w:szCs w:val="1"/>
                <w:color w:val="auto"/>
              </w:rPr>
            </w:pPr>
          </w:p>
        </w:tc>
      </w:tr>
      <w:tr>
        <w:trPr>
          <w:trHeight w:val="254"/>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gains (losses) on private investments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52"/>
        </w:trPr>
        <w:tc>
          <w:tcPr>
            <w:tcW w:w="7860" w:type="dxa"/>
            <w:vAlign w:val="bottom"/>
          </w:tcPr>
          <w:p>
            <w:pPr>
              <w:ind w:left="220"/>
              <w:spacing w:after="0"/>
              <w:rPr>
                <w:sz w:val="20"/>
                <w:szCs w:val="20"/>
                <w:color w:val="auto"/>
              </w:rPr>
            </w:pPr>
            <w:r>
              <w:rPr>
                <w:rFonts w:ascii="Arial" w:cs="Arial" w:eastAsia="Arial" w:hAnsi="Arial"/>
                <w:sz w:val="16"/>
                <w:szCs w:val="16"/>
                <w:color w:val="auto"/>
              </w:rPr>
              <w:t>Investment income</w:t>
            </w:r>
          </w:p>
        </w:tc>
        <w:tc>
          <w:tcPr>
            <w:tcW w:w="220" w:type="dxa"/>
            <w:vAlign w:val="bottom"/>
          </w:tcPr>
          <w:p>
            <w:pPr>
              <w:spacing w:after="0"/>
              <w:rPr>
                <w:sz w:val="21"/>
                <w:szCs w:val="21"/>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544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100" w:type="dxa"/>
            <w:vAlign w:val="bottom"/>
          </w:tcPr>
          <w:p>
            <w:pPr>
              <w:jc w:val="right"/>
              <w:ind w:right="1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61"/>
        </w:trPr>
        <w:tc>
          <w:tcPr>
            <w:tcW w:w="7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income</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34</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rPr>
              <w:t>NM</w:t>
            </w:r>
          </w:p>
        </w:tc>
        <w:tc>
          <w:tcPr>
            <w:tcW w:w="0" w:type="dxa"/>
            <w:vAlign w:val="bottom"/>
          </w:tcPr>
          <w:p>
            <w:pPr>
              <w:spacing w:after="0"/>
              <w:rPr>
                <w:sz w:val="1"/>
                <w:szCs w:val="1"/>
                <w:color w:val="auto"/>
              </w:rPr>
            </w:pPr>
          </w:p>
        </w:tc>
      </w:tr>
      <w:tr>
        <w:trPr>
          <w:trHeight w:val="246"/>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Income (loss) before income taxes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1,496</w:t>
            </w:r>
          </w:p>
        </w:tc>
        <w:tc>
          <w:tcPr>
            <w:tcW w:w="1220" w:type="dxa"/>
            <w:vAlign w:val="bottom"/>
            <w:tcBorders>
              <w:bottom w:val="single" w:sz="8" w:color="CCEEFF"/>
            </w:tcBorders>
            <w:gridSpan w:val="2"/>
          </w:tcPr>
          <w:p>
            <w:pPr>
              <w:jc w:val="right"/>
              <w:ind w:right="84"/>
              <w:spacing w:after="0"/>
              <w:rPr>
                <w:sz w:val="20"/>
                <w:szCs w:val="20"/>
                <w:color w:val="auto"/>
              </w:rPr>
            </w:pPr>
            <w:r>
              <w:rPr>
                <w:rFonts w:ascii="Arial" w:cs="Arial" w:eastAsia="Arial" w:hAnsi="Arial"/>
                <w:sz w:val="15"/>
                <w:szCs w:val="15"/>
                <w:color w:val="auto"/>
              </w:rPr>
              <w:t>(100)</w:t>
            </w:r>
          </w:p>
        </w:tc>
        <w:tc>
          <w:tcPr>
            <w:tcW w:w="0" w:type="dxa"/>
            <w:vAlign w:val="bottom"/>
          </w:tcPr>
          <w:p>
            <w:pPr>
              <w:spacing w:after="0"/>
              <w:rPr>
                <w:sz w:val="1"/>
                <w:szCs w:val="1"/>
                <w:color w:val="auto"/>
              </w:rPr>
            </w:pPr>
          </w:p>
        </w:tc>
      </w:tr>
      <w:tr>
        <w:trPr>
          <w:trHeight w:val="254"/>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(1,103)</w:t>
            </w:r>
          </w:p>
        </w:tc>
        <w:tc>
          <w:tcPr>
            <w:tcW w:w="12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1,104</w:t>
            </w:r>
          </w:p>
        </w:tc>
        <w:tc>
          <w:tcPr>
            <w:tcW w:w="122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(200)</w:t>
            </w:r>
          </w:p>
        </w:tc>
        <w:tc>
          <w:tcPr>
            <w:tcW w:w="0" w:type="dxa"/>
            <w:vAlign w:val="bottom"/>
          </w:tcPr>
          <w:p>
            <w:pPr>
              <w:spacing w:after="0"/>
              <w:rPr>
                <w:sz w:val="1"/>
                <w:szCs w:val="1"/>
                <w:color w:val="auto"/>
              </w:rPr>
            </w:pPr>
          </w:p>
        </w:tc>
      </w:tr>
      <w:tr>
        <w:trPr>
          <w:trHeight w:val="217"/>
        </w:trPr>
        <w:tc>
          <w:tcPr>
            <w:tcW w:w="786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392</w:t>
            </w:r>
          </w:p>
        </w:tc>
        <w:tc>
          <w:tcPr>
            <w:tcW w:w="1220" w:type="dxa"/>
            <w:vAlign w:val="bottom"/>
            <w:gridSpan w:val="2"/>
            <w:vMerge w:val="restart"/>
          </w:tcPr>
          <w:p>
            <w:pPr>
              <w:jc w:val="right"/>
              <w:spacing w:after="0"/>
              <w:rPr>
                <w:sz w:val="20"/>
                <w:szCs w:val="20"/>
                <w:color w:val="auto"/>
              </w:rPr>
            </w:pPr>
            <w:r>
              <w:rPr>
                <w:rFonts w:ascii="Arial" w:cs="Arial" w:eastAsia="Arial" w:hAnsi="Arial"/>
                <w:sz w:val="15"/>
                <w:szCs w:val="15"/>
                <w:color w:val="auto"/>
              </w:rPr>
              <w:t>181 %</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w:t>
      </w:r>
    </w:p>
    <w:p>
      <w:pPr>
        <w:spacing w:after="0" w:line="1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Not meaningful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117" w:lineRule="exact"/>
        <w:rPr>
          <w:sz w:val="20"/>
          <w:szCs w:val="20"/>
          <w:color w:val="auto"/>
        </w:rPr>
      </w:pPr>
    </w:p>
    <w:p>
      <w:pPr>
        <w:jc w:val="both"/>
        <w:ind w:right="240" w:firstLine="486"/>
        <w:spacing w:after="0" w:line="263" w:lineRule="auto"/>
        <w:rPr>
          <w:sz w:val="20"/>
          <w:szCs w:val="20"/>
          <w:color w:val="auto"/>
        </w:rPr>
      </w:pPr>
      <w:r>
        <w:rPr>
          <w:rFonts w:ascii="Arial" w:cs="Arial" w:eastAsia="Arial" w:hAnsi="Arial"/>
          <w:sz w:val="18"/>
          <w:szCs w:val="18"/>
          <w:i w:val="1"/>
          <w:iCs w:val="1"/>
          <w:color w:val="auto"/>
        </w:rPr>
        <w:t>Total Revenues</w:t>
      </w:r>
      <w:r>
        <w:rPr>
          <w:rFonts w:ascii="Arial" w:cs="Arial" w:eastAsia="Arial" w:hAnsi="Arial"/>
          <w:sz w:val="18"/>
          <w:szCs w:val="18"/>
          <w:color w:val="auto"/>
        </w:rPr>
        <w:t>. Total revenues decreased $7.2 million, or 30%, to $16.7 million for the three months ended March 31, 2020 compared with $23.9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March 31, 2019. Asset-based advisory fees decreased $5.3 million, or 32%, and Trust fees decreased $0.5 million, or 9%, both primarily due to lower average AUM.</w:t>
      </w:r>
    </w:p>
    <w:p>
      <w:pPr>
        <w:spacing w:after="0" w:line="13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i w:val="1"/>
          <w:iCs w:val="1"/>
          <w:color w:val="auto"/>
        </w:rPr>
        <w:t xml:space="preserve">Employee Compensation and Benefits. </w:t>
      </w:r>
      <w:r>
        <w:rPr>
          <w:rFonts w:ascii="Arial" w:cs="Arial" w:eastAsia="Arial" w:hAnsi="Arial"/>
          <w:sz w:val="18"/>
          <w:szCs w:val="18"/>
          <w:color w:val="auto"/>
        </w:rPr>
        <w:t>Employee compensation and benefits decreased $1.9 million, or 13%, to $12.7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2020 compared with $14.6 million for the three months ended March 31, 2019. The decrease was primarily due to reductions in compensation relating to short- and long-term incentive compensation as a result of lower asset-based revenues as compared to the prior year and lower headcount.</w:t>
      </w:r>
    </w:p>
    <w:p>
      <w:pPr>
        <w:spacing w:after="0" w:line="133" w:lineRule="exact"/>
        <w:rPr>
          <w:sz w:val="20"/>
          <w:szCs w:val="20"/>
          <w:color w:val="auto"/>
        </w:rPr>
      </w:pPr>
    </w:p>
    <w:p>
      <w:pPr>
        <w:jc w:val="both"/>
        <w:ind w:right="200" w:firstLine="486"/>
        <w:spacing w:after="0" w:line="263" w:lineRule="auto"/>
        <w:rPr>
          <w:sz w:val="20"/>
          <w:szCs w:val="20"/>
          <w:color w:val="auto"/>
        </w:rPr>
      </w:pPr>
      <w:r>
        <w:rPr>
          <w:rFonts w:ascii="Arial" w:cs="Arial" w:eastAsia="Arial" w:hAnsi="Arial"/>
          <w:sz w:val="18"/>
          <w:szCs w:val="18"/>
          <w:i w:val="1"/>
          <w:iCs w:val="1"/>
          <w:color w:val="auto"/>
        </w:rPr>
        <w:t xml:space="preserve">Westwood Mutual Funds. </w:t>
      </w:r>
      <w:r>
        <w:rPr>
          <w:rFonts w:ascii="Arial" w:cs="Arial" w:eastAsia="Arial" w:hAnsi="Arial"/>
          <w:sz w:val="18"/>
          <w:szCs w:val="18"/>
          <w:color w:val="auto"/>
        </w:rPr>
        <w:t>Westwood mutual funds expenses decreased $0.3 million, or 39%, to $0.5 million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with $0.8 million for the three months ended March 31, 2019. The decrease was primarily due to lower service fees following declines in market values for the Westwood funds.</w:t>
      </w:r>
    </w:p>
    <w:p>
      <w:pPr>
        <w:spacing w:after="0" w:line="130" w:lineRule="exact"/>
        <w:rPr>
          <w:sz w:val="20"/>
          <w:szCs w:val="20"/>
          <w:color w:val="auto"/>
        </w:rPr>
      </w:pPr>
    </w:p>
    <w:p>
      <w:pPr>
        <w:jc w:val="both"/>
        <w:ind w:right="180" w:firstLine="486"/>
        <w:spacing w:after="0" w:line="277" w:lineRule="auto"/>
        <w:rPr>
          <w:sz w:val="20"/>
          <w:szCs w:val="20"/>
          <w:color w:val="auto"/>
        </w:rPr>
      </w:pPr>
      <w:r>
        <w:rPr>
          <w:rFonts w:ascii="Arial" w:cs="Arial" w:eastAsia="Arial" w:hAnsi="Arial"/>
          <w:sz w:val="18"/>
          <w:szCs w:val="18"/>
          <w:i w:val="1"/>
          <w:iCs w:val="1"/>
          <w:color w:val="auto"/>
        </w:rPr>
        <w:t xml:space="preserve">(Gain) loss on foreign currency transactions. </w:t>
      </w:r>
      <w:r>
        <w:rPr>
          <w:rFonts w:ascii="Arial" w:cs="Arial" w:eastAsia="Arial" w:hAnsi="Arial"/>
          <w:sz w:val="18"/>
          <w:szCs w:val="18"/>
          <w:color w:val="auto"/>
        </w:rPr>
        <w:t>We recorded $2.9 million in foreign currency gains in the current quarter as a result of fluctuations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Canadian dollar exchange rate.</w:t>
      </w:r>
    </w:p>
    <w:p>
      <w:pPr>
        <w:spacing w:after="0" w:line="116" w:lineRule="exact"/>
        <w:rPr>
          <w:sz w:val="20"/>
          <w:szCs w:val="20"/>
          <w:color w:val="auto"/>
        </w:rPr>
      </w:pPr>
    </w:p>
    <w:p>
      <w:pPr>
        <w:jc w:val="both"/>
        <w:ind w:right="580" w:firstLine="486"/>
        <w:spacing w:after="0" w:line="342" w:lineRule="auto"/>
        <w:rPr>
          <w:sz w:val="20"/>
          <w:szCs w:val="20"/>
          <w:color w:val="auto"/>
        </w:rPr>
      </w:pPr>
      <w:r>
        <w:rPr>
          <w:rFonts w:ascii="Arial" w:cs="Arial" w:eastAsia="Arial" w:hAnsi="Arial"/>
          <w:sz w:val="16"/>
          <w:szCs w:val="16"/>
          <w:i w:val="1"/>
          <w:iCs w:val="1"/>
          <w:color w:val="auto"/>
        </w:rPr>
        <w:t xml:space="preserve">Unrealized gains (losses) on private investments. </w:t>
      </w:r>
      <w:r>
        <w:rPr>
          <w:rFonts w:ascii="Arial" w:cs="Arial" w:eastAsia="Arial" w:hAnsi="Arial"/>
          <w:sz w:val="16"/>
          <w:szCs w:val="16"/>
          <w:color w:val="auto"/>
        </w:rPr>
        <w:t>We recorded a loss of $1.0 million in the current quarter on a private investment to reflect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the valuation multiple because of a downturn in the banking industry due to global macroeconomic effects of the COVID-19 pandemic..</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2" w:name="page23"/>
    <w:bookmarkEnd w:id="22"/>
    <w:p>
      <w:pPr>
        <w:ind w:right="260" w:firstLine="486"/>
        <w:spacing w:after="0" w:line="263"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Our income tax rate differed from the 21% statutory rate for the first quarter of 2020 primarily due to a discrete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adjustment related to the remeasurement of certain beginning deferred taxes with the enactment of the CARES Act. Our effective tax rate will be impacted throughout fiscal year 2020 by the remeasurement of current deferred taxes on a nondiscrete basis.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Financial Information</w:t>
      </w:r>
    </w:p>
    <w:p>
      <w:pPr>
        <w:spacing w:after="0" w:line="121"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As supplemental information, we are providing non-GAAP performance measures that we refer to as Economic Earnings and Economic EPS. We provide these measures in addition to, not as a substitute for, net income and earnings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or earnings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56"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define Economic Earnings as net income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p>
      <w:pPr>
        <w:spacing w:after="0" w:line="8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The following tables provide a reconciliation of Net income to Economic Earnings and Economic Earnings by segment (in thousands, except share and per share amounts):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4"/>
          </w:tcPr>
          <w:p>
            <w:pPr>
              <w:jc w:val="right"/>
              <w:ind w:right="311"/>
              <w:spacing w:after="0"/>
              <w:rPr>
                <w:sz w:val="20"/>
                <w:szCs w:val="20"/>
                <w:color w:val="auto"/>
              </w:rPr>
            </w:pPr>
            <w:r>
              <w:rPr>
                <w:rFonts w:ascii="Arial" w:cs="Arial" w:eastAsia="Arial" w:hAnsi="Arial"/>
                <w:sz w:val="16"/>
                <w:szCs w:val="16"/>
                <w:b w:val="1"/>
                <w:bCs w:val="1"/>
                <w:color w:val="auto"/>
                <w:w w:val="99"/>
              </w:rPr>
              <w:t>Three Months Ended March 31,</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17"/>
        </w:trPr>
        <w:tc>
          <w:tcPr>
            <w:tcW w:w="7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000" w:type="dxa"/>
            <w:vAlign w:val="bottom"/>
          </w:tcPr>
          <w:p>
            <w:pPr>
              <w:jc w:val="right"/>
              <w:ind w:right="157"/>
              <w:spacing w:after="0"/>
              <w:rPr>
                <w:sz w:val="20"/>
                <w:szCs w:val="20"/>
                <w:color w:val="auto"/>
              </w:rPr>
            </w:pPr>
            <w:r>
              <w:rPr>
                <w:rFonts w:ascii="Arial" w:cs="Arial" w:eastAsia="Arial" w:hAnsi="Arial"/>
                <w:sz w:val="16"/>
                <w:szCs w:val="16"/>
                <w:b w:val="1"/>
                <w:bCs w:val="1"/>
                <w:color w:val="auto"/>
              </w:rPr>
              <w:t>Change</w:t>
            </w:r>
          </w:p>
        </w:tc>
      </w:tr>
      <w:tr>
        <w:trPr>
          <w:trHeight w:val="33"/>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392</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181 %</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2,616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3,252</w:t>
            </w:r>
          </w:p>
        </w:tc>
        <w:tc>
          <w:tcPr>
            <w:tcW w:w="1100" w:type="dxa"/>
            <w:vAlign w:val="bottom"/>
            <w:gridSpan w:val="2"/>
          </w:tcPr>
          <w:p>
            <w:pPr>
              <w:ind w:left="640"/>
              <w:spacing w:after="0"/>
              <w:rPr>
                <w:sz w:val="20"/>
                <w:szCs w:val="20"/>
                <w:color w:val="auto"/>
              </w:rPr>
            </w:pPr>
            <w:r>
              <w:rPr>
                <w:rFonts w:ascii="Arial" w:cs="Arial" w:eastAsia="Arial" w:hAnsi="Arial"/>
                <w:sz w:val="17"/>
                <w:szCs w:val="17"/>
                <w:color w:val="auto"/>
              </w:rPr>
              <w:t>(20)</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413</w:t>
            </w:r>
          </w:p>
        </w:tc>
        <w:tc>
          <w:tcPr>
            <w:tcW w:w="110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2</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000" w:type="dxa"/>
            <w:vAlign w:val="bottom"/>
          </w:tcPr>
          <w:p>
            <w:pPr>
              <w:jc w:val="right"/>
              <w:ind w:right="137"/>
              <w:spacing w:after="0"/>
              <w:rPr>
                <w:sz w:val="20"/>
                <w:szCs w:val="20"/>
                <w:color w:val="auto"/>
              </w:rPr>
            </w:pPr>
            <w:r>
              <w:rPr>
                <w:rFonts w:ascii="Arial" w:cs="Arial" w:eastAsia="Arial" w:hAnsi="Arial"/>
                <w:sz w:val="17"/>
                <w:szCs w:val="17"/>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8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4,200</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4,116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63"/>
        </w:trPr>
        <w:tc>
          <w:tcPr>
            <w:tcW w:w="7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8,458,473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8,455,386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Economic Earnings 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0.50</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Economic Earnings by Segment</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Advisory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4,293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4,880</w:t>
            </w:r>
          </w:p>
        </w:tc>
        <w:tc>
          <w:tcPr>
            <w:tcW w:w="110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7"/>
                <w:szCs w:val="17"/>
                <w:color w:val="auto"/>
                <w:w w:val="96"/>
              </w:rPr>
              <w:t>(12)%</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Trust</w:t>
            </w:r>
          </w:p>
        </w:tc>
        <w:tc>
          <w:tcPr>
            <w:tcW w:w="260" w:type="dxa"/>
            <w:vAlign w:val="bottom"/>
          </w:tcPr>
          <w:p>
            <w:pPr>
              <w:spacing w:after="0"/>
              <w:rPr>
                <w:sz w:val="21"/>
                <w:szCs w:val="21"/>
                <w:color w:val="auto"/>
              </w:rPr>
            </w:pP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1,253</w:t>
            </w:r>
          </w:p>
        </w:tc>
        <w:tc>
          <w:tcPr>
            <w:tcW w:w="1100" w:type="dxa"/>
            <w:vAlign w:val="bottom"/>
            <w:gridSpan w:val="2"/>
          </w:tcPr>
          <w:p>
            <w:pPr>
              <w:ind w:left="640"/>
              <w:spacing w:after="0"/>
              <w:rPr>
                <w:sz w:val="20"/>
                <w:szCs w:val="20"/>
                <w:color w:val="auto"/>
              </w:rPr>
            </w:pPr>
            <w:r>
              <w:rPr>
                <w:rFonts w:ascii="Arial" w:cs="Arial" w:eastAsia="Arial" w:hAnsi="Arial"/>
                <w:sz w:val="17"/>
                <w:szCs w:val="17"/>
                <w:color w:val="auto"/>
              </w:rPr>
              <w:t>(21)</w:t>
            </w:r>
          </w:p>
        </w:tc>
      </w:tr>
      <w:tr>
        <w:trPr>
          <w:trHeight w:val="27"/>
        </w:trPr>
        <w:tc>
          <w:tcPr>
            <w:tcW w:w="7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Westwood Holdings</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(2,017)</w:t>
            </w:r>
          </w:p>
        </w:tc>
        <w:tc>
          <w:tcPr>
            <w:tcW w:w="1100" w:type="dxa"/>
            <w:vAlign w:val="bottom"/>
            <w:tcBorders>
              <w:bottom w:val="single" w:sz="8" w:color="CCEEFF"/>
            </w:tcBorders>
            <w:gridSpan w:val="2"/>
            <w:shd w:val="clear" w:color="auto" w:fill="CCEEFF"/>
          </w:tcPr>
          <w:p>
            <w:pPr>
              <w:jc w:val="right"/>
              <w:ind w:right="137"/>
              <w:spacing w:after="0"/>
              <w:rPr>
                <w:sz w:val="20"/>
                <w:szCs w:val="20"/>
                <w:color w:val="auto"/>
              </w:rPr>
            </w:pPr>
            <w:r>
              <w:rPr>
                <w:rFonts w:ascii="Arial" w:cs="Arial" w:eastAsia="Arial" w:hAnsi="Arial"/>
                <w:sz w:val="17"/>
                <w:szCs w:val="17"/>
                <w:color w:val="auto"/>
              </w:rPr>
              <w:t>46</w:t>
            </w:r>
          </w:p>
        </w:tc>
      </w:tr>
      <w:tr>
        <w:trPr>
          <w:trHeight w:val="264"/>
        </w:trPr>
        <w:tc>
          <w:tcPr>
            <w:tcW w:w="7100" w:type="dxa"/>
            <w:vAlign w:val="bottom"/>
          </w:tcPr>
          <w:p>
            <w:pPr>
              <w:ind w:left="20"/>
              <w:spacing w:after="0"/>
              <w:rPr>
                <w:sz w:val="20"/>
                <w:szCs w:val="20"/>
                <w:color w:val="auto"/>
              </w:rPr>
            </w:pPr>
            <w:r>
              <w:rPr>
                <w:rFonts w:ascii="Arial" w:cs="Arial" w:eastAsia="Arial" w:hAnsi="Arial"/>
                <w:sz w:val="18"/>
                <w:szCs w:val="18"/>
                <w:b w:val="1"/>
                <w:bCs w:val="1"/>
                <w:color w:val="auto"/>
              </w:rPr>
              <w:t>Consolidated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4,116</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2 %</w:t>
            </w:r>
          </w:p>
        </w:tc>
      </w:tr>
      <w:tr>
        <w:trPr>
          <w:trHeight w:val="20"/>
        </w:trPr>
        <w:tc>
          <w:tcPr>
            <w:tcW w:w="7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fund our operations and cash requirements with cash generated from operating activities. We may also use cash from operations to pay dividends to our stockholders. As of March 31, 2020 and December 31, 2019, we had no debt. The changes in net cash provided by operating activities generally reflect the changes in earnings plus the effects of non-cash items and changes in working capital, including liquidation of investments used to cover current liabilities. Changes in working capital, especially accounts receivable and accounts payable, are generally the result of timing differences between collection of fees billed and payment of operating expenses.</w:t>
      </w:r>
    </w:p>
    <w:p>
      <w:pPr>
        <w:spacing w:after="0" w:line="80"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During the three months ended March 31, 2020, cash flow provided by operating activities was $11.5 million, which included liquidation of $12.9 million of current investments, partially offset by a $7.4 million reduction in compensation and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ind w:right="20"/>
        <w:spacing w:after="0" w:line="255" w:lineRule="auto"/>
        <w:rPr>
          <w:sz w:val="20"/>
          <w:szCs w:val="20"/>
          <w:color w:val="auto"/>
        </w:rPr>
      </w:pPr>
      <w:r>
        <w:rPr>
          <w:rFonts w:ascii="Arial" w:cs="Arial" w:eastAsia="Arial" w:hAnsi="Arial"/>
          <w:sz w:val="18"/>
          <w:szCs w:val="18"/>
          <w:color w:val="auto"/>
        </w:rPr>
        <w:t>benefits payable. Cash flow used in investing activities during the three months ended March 31, 2020 was primarily related to purchases of property and equipment, while the prior year quarter was primarily related to our investment in a private investment fund. Cash flows used in financing activities of $13.1 million for the three months ended March 31, 2020 reflected the payment of dividends, purchases of treasury shares under our share repurchase plan and for our Canadian share award plan and restricted stock returned for the payment of taxes. Cash flow used in financing activities of $11.1 million for the three months ended March 31, 2019 reflected the payment of dividends, purchases of restricted stock returned for payment of taxes and purchases of treasury shares for our Canadian share award plan.</w:t>
      </w:r>
    </w:p>
    <w:p>
      <w:pPr>
        <w:spacing w:after="0" w:line="84" w:lineRule="exact"/>
        <w:rPr>
          <w:sz w:val="20"/>
          <w:szCs w:val="20"/>
          <w:color w:val="auto"/>
        </w:rPr>
      </w:pPr>
    </w:p>
    <w:p>
      <w:pPr>
        <w:ind w:right="660" w:firstLine="486"/>
        <w:spacing w:after="0" w:line="291" w:lineRule="auto"/>
        <w:rPr>
          <w:sz w:val="20"/>
          <w:szCs w:val="20"/>
          <w:color w:val="auto"/>
        </w:rPr>
      </w:pPr>
      <w:r>
        <w:rPr>
          <w:rFonts w:ascii="Arial" w:cs="Arial" w:eastAsia="Arial" w:hAnsi="Arial"/>
          <w:sz w:val="16"/>
          <w:szCs w:val="16"/>
          <w:color w:val="auto"/>
        </w:rPr>
        <w:t>We had cash and short-term investments of $82.4 million as of March 31, 2020 and $100.1 million as of December 31, 2019. Cash and cash equivalents included approximately $32 million and $31 million of undistributed income from Westwood International Advisors as of March 31,</w:t>
      </w:r>
    </w:p>
    <w:p>
      <w:pPr>
        <w:ind w:right="60"/>
        <w:spacing w:after="0" w:line="273" w:lineRule="auto"/>
        <w:rPr>
          <w:sz w:val="20"/>
          <w:szCs w:val="20"/>
          <w:color w:val="auto"/>
        </w:rPr>
      </w:pPr>
      <w:r>
        <w:rPr>
          <w:rFonts w:ascii="Arial" w:cs="Arial" w:eastAsia="Arial" w:hAnsi="Arial"/>
          <w:sz w:val="17"/>
          <w:szCs w:val="17"/>
          <w:color w:val="auto"/>
        </w:rPr>
        <w:t>2020 and December 31, 2019, respectively. If these funds were needed for our U.S. operations, we would be required to accrue and subsequently pay a 5% incremental Canadian withholding tax to repatriate all or a portion of these funds. Our current intention is to permanently reinvest the funds subject to withholding taxes outside of the U.S., and our current forecasts do not demonstrate a need to repatriate them to fund our U.S. operations. At March 31, 2020 and December 31, 2019, working capital aggregated $84.7 million and $95.6 million, respectively.</w:t>
      </w:r>
    </w:p>
    <w:p>
      <w:pPr>
        <w:spacing w:after="0" w:line="68" w:lineRule="exact"/>
        <w:rPr>
          <w:sz w:val="20"/>
          <w:szCs w:val="20"/>
          <w:color w:val="auto"/>
        </w:rPr>
      </w:pPr>
    </w:p>
    <w:p>
      <w:pPr>
        <w:jc w:val="both"/>
        <w:ind w:right="100" w:firstLine="486"/>
        <w:spacing w:after="0" w:line="263" w:lineRule="auto"/>
        <w:rPr>
          <w:sz w:val="20"/>
          <w:szCs w:val="20"/>
          <w:color w:val="auto"/>
        </w:rPr>
      </w:pPr>
      <w:r>
        <w:rPr>
          <w:rFonts w:ascii="Arial" w:cs="Arial" w:eastAsia="Arial" w:hAnsi="Arial"/>
          <w:sz w:val="18"/>
          <w:szCs w:val="18"/>
          <w:color w:val="auto"/>
        </w:rPr>
        <w:t>Westwood Trust must maintain cash and investments in an amount equal to the minimum restricted capital of $4.0 million, as required by the Texas Finance Code. Restricted capital is included in Investments in the accompanying Condensed Consolidated Balance Sheets. At March 31, 2020, Westwood Trust had approximately $6.8 million in excess of its minimum capital requirement.</w:t>
      </w:r>
    </w:p>
    <w:p>
      <w:pPr>
        <w:spacing w:after="0" w:line="76"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future liquidity and capital requirements will depend upon numerous factors, including our results of operations, the timing and magnitude of capital expenditures or strategic initiatives, our dividend policy and other business and risk factors described under “Risk Factors” in our Annual Report on Form 10-K for the year ended December 31, 2019, filed with the SEC. We believe that current cash and short-term investment balances plus cash generated from operations will be sufficient to meet both the operating and capital requirements of our ordinary business operations through at least the next twelve months. However, there can be no assurance that we will not require additional financing within this time frame. The failure to raise needed capital on attractive terms, if at all, could have a material adverse effect on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175"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As of March 31, 2020, there have been no material changes outside of the ordinary course of business to our contractual obligations since December 31, 2019. For information regarding our contractual obligations, refer to “Contractual Obligations” in Part II, Item 7. “Management's Discussion and Analysis of Financial Condition and Results of Operations” in our Annual Report on Form 10-K for the fiscal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Critical and Significant Accounting Policies and Estimates</w:t>
      </w:r>
    </w:p>
    <w:p>
      <w:pPr>
        <w:spacing w:after="0" w:line="121"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There have been no significant changes in our critical or significant accounting policies and estimates since December 31, 2019. Information with respect to our critical accounting policies and estimates that we believe could have the most significant effect on our reported consolidated results and require difficult, subjective or complex judgment by management is described under “Critical Accounting Policies and Estimates” in Part II, Item 7. “Management’s Discussion and Analysis of Financial Condition and Results of Operations” in our Annual Report on Form 10-K for the fiscal year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Accounting Developments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Refer to Note 2 “Summary of Significant Accounting Policies” in our Condensed Consolidated Financial Statements included in Part I, Item 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“Financial Statements” of this Quarterly Report on Form 10-Q for a description of recently issued accounting guidance.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There have been no significant changes in our Quantitative and Qualitative Disclosures about Market Risk from those previously reported in our Annual Report on Form 10-K for the year ended December 31, 2019.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486"/>
        <w:spacing w:after="0" w:line="269" w:lineRule="auto"/>
        <w:rPr>
          <w:sz w:val="20"/>
          <w:szCs w:val="20"/>
          <w:color w:val="auto"/>
        </w:rPr>
      </w:pPr>
      <w:r>
        <w:rPr>
          <w:rFonts w:ascii="Arial" w:cs="Arial" w:eastAsia="Arial" w:hAnsi="Arial"/>
          <w:sz w:val="17"/>
          <w:szCs w:val="17"/>
          <w:color w:val="auto"/>
        </w:rPr>
        <w:t>Our disclosure controls and procedures are designed to ensure that information required to be disclosed in the reports we file or submit under the Securities Exchange Act of 1934, as amended (the “Exchange Act”), (1) is recorded, processed, summarized and reported within the time periods specified in the SEC’s rules and forms and (2) is accumulated and communicated to our management, including our Chief Executive Officer and our Chief Financial Officer, to allow timely decisions regarding required disclosure. An evaluation was performed under the supervision and with the participation of our management, including our Chief Executive Officer and Chief Financial Officer, of the effectiveness of the design and operation of our disclosure controls and procedures (as defined in Rule 13a-15(e) under the Exchange Act) as of the end of the period covered by this report. Based on this evaluation, our management, including our Chief Executive Officer and our Chief Financial Officer, concluded that, as of the end of the period covered by this report, our disclosure controls and procedures were effective to ensure that information required to be disclosed in the reports we file or submit under the Exchange Act is recorded, processed, summarized and reported within the time periods specified in the SEC’s rules and forms and is accumulated and communicated to management, including our Chief Executive Officer and our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21"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During the quarter ended March 31, 2020, there were no changes in our internal controls over financial reporting (as defined in Rule 13a-15(f) under the Exchange Act) that materially affected, or are reasonably likely to materially affect, our internal control over financial reporting. Due to our significant investments in cloud-based systems, the impact of our workforce working remotely did not hinder the execution of our internal control processes and procedures.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Our business and future results may be affected by a number of risks and uncertainties that should be considered carefully. In addition, this report also contains forward-looking statements that involve risks and uncertainties. Our actual results could differ materially from those anticipated in such forward-looking statements as a result of certain factors, including the risks described in Part I, Item 1A of the Company’s Annual Report on Form 10-K for the year ended December 31, 2019 and the risks set forth below.</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believes that there has been no material change in its risk factors as previously disclosed in the Form 10-K other than as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Investment Industry</w:t>
      </w:r>
    </w:p>
    <w:p>
      <w:pPr>
        <w:spacing w:after="0" w:line="117" w:lineRule="exact"/>
        <w:rPr>
          <w:sz w:val="20"/>
          <w:szCs w:val="20"/>
          <w:color w:val="auto"/>
        </w:rPr>
      </w:pPr>
    </w:p>
    <w:p>
      <w:pPr>
        <w:ind w:right="200" w:firstLine="486"/>
        <w:spacing w:after="0" w:line="282" w:lineRule="auto"/>
        <w:rPr>
          <w:sz w:val="20"/>
          <w:szCs w:val="20"/>
          <w:color w:val="auto"/>
        </w:rPr>
      </w:pPr>
      <w:r>
        <w:rPr>
          <w:rFonts w:ascii="Arial" w:cs="Arial" w:eastAsia="Arial" w:hAnsi="Arial"/>
          <w:sz w:val="18"/>
          <w:szCs w:val="18"/>
          <w:b w:val="1"/>
          <w:bCs w:val="1"/>
          <w:color w:val="auto"/>
        </w:rPr>
        <w:t>The recent COVID-19 pandemic, and other potential outbreaks, could negatively impact our businesses, financial condition and results of operations.</w:t>
      </w:r>
    </w:p>
    <w:p>
      <w:pPr>
        <w:spacing w:after="0" w:line="58"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We may face risks related to the recent outbreak of COVID-19, which has been declared a pandemic by the World Health Organization. The full impact of COVID-19 is unknown and rapidly evolving. The outbreak and any preventative or protective actions that governments, we or our clients may take in respect of this virus may result in a period of disruption, including with respect to our financial reporting capabilities and our operations generally, and could potentially impact our clients and third party vendors. Any resulting financial impact cannot be reasonably estimated at this time, but the COVID-19 pandemic could have a material adverse effect on the Company’s business, prospects, results of operations, reputation, financial condition, cash flows or ability to continue current operations without any direct or indirect impairment or disruption.</w:t>
      </w:r>
    </w:p>
    <w:p>
      <w:pPr>
        <w:spacing w:after="0" w:line="7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The extent to which COVID-19 impacts our results will depend on future developments, which are highly uncertain and cannot be predicted,</w:t>
      </w:r>
    </w:p>
    <w:p>
      <w:pPr>
        <w:spacing w:after="0" w:line="23"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including new information which may emerge concerning the severity of COVID-19 and the actions to contain the virus or treat its impact, among others.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displays information with respect to the treasury shares we purchased during the three months ended March 31, 2020:</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5"/>
              </w:rPr>
              <w:t>Maximum number (or</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Total</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shares purchased as</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92"/>
              </w:rPr>
              <w:t>approximate dollar value)</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number of</w:t>
            </w: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80" w:type="dxa"/>
            <w:vAlign w:val="bottom"/>
          </w:tcPr>
          <w:p>
            <w:pPr>
              <w:spacing w:after="0"/>
              <w:rPr>
                <w:sz w:val="17"/>
                <w:szCs w:val="17"/>
                <w:color w:val="auto"/>
              </w:rPr>
            </w:pPr>
          </w:p>
        </w:tc>
        <w:tc>
          <w:tcPr>
            <w:tcW w:w="2160" w:type="dxa"/>
            <w:vAlign w:val="bottom"/>
          </w:tcPr>
          <w:p>
            <w:pPr>
              <w:jc w:val="center"/>
              <w:ind w:right="116"/>
              <w:spacing w:after="0"/>
              <w:rPr>
                <w:sz w:val="20"/>
                <w:szCs w:val="20"/>
                <w:color w:val="auto"/>
              </w:rPr>
            </w:pPr>
            <w:r>
              <w:rPr>
                <w:rFonts w:ascii="Arial" w:cs="Arial" w:eastAsia="Arial" w:hAnsi="Arial"/>
                <w:sz w:val="16"/>
                <w:szCs w:val="16"/>
                <w:b w:val="1"/>
                <w:bCs w:val="1"/>
                <w:color w:val="auto"/>
                <w:w w:val="89"/>
              </w:rPr>
              <w:t>of shares that may yet be</w:t>
            </w:r>
          </w:p>
        </w:tc>
      </w:tr>
      <w:tr>
        <w:trPr>
          <w:trHeight w:val="203"/>
        </w:trPr>
        <w:tc>
          <w:tcPr>
            <w:tcW w:w="46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5"/>
              </w:rPr>
              <w:t>shares</w:t>
            </w: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price paid</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announced plans or</w:t>
            </w:r>
          </w:p>
        </w:tc>
        <w:tc>
          <w:tcPr>
            <w:tcW w:w="180" w:type="dxa"/>
            <w:vAlign w:val="bottom"/>
          </w:tcPr>
          <w:p>
            <w:pPr>
              <w:spacing w:after="0"/>
              <w:rPr>
                <w:sz w:val="17"/>
                <w:szCs w:val="17"/>
                <w:color w:val="auto"/>
              </w:rPr>
            </w:pPr>
          </w:p>
        </w:tc>
        <w:tc>
          <w:tcPr>
            <w:tcW w:w="2160" w:type="dxa"/>
            <w:vAlign w:val="bottom"/>
          </w:tcPr>
          <w:p>
            <w:pPr>
              <w:jc w:val="center"/>
              <w:ind w:right="96"/>
              <w:spacing w:after="0"/>
              <w:rPr>
                <w:sz w:val="20"/>
                <w:szCs w:val="20"/>
                <w:color w:val="auto"/>
              </w:rPr>
            </w:pPr>
            <w:r>
              <w:rPr>
                <w:rFonts w:ascii="Arial" w:cs="Arial" w:eastAsia="Arial" w:hAnsi="Arial"/>
                <w:sz w:val="16"/>
                <w:szCs w:val="16"/>
                <w:b w:val="1"/>
                <w:bCs w:val="1"/>
                <w:color w:val="auto"/>
                <w:w w:val="89"/>
              </w:rPr>
              <w:t>purchased under the</w:t>
            </w:r>
          </w:p>
        </w:tc>
      </w:tr>
      <w:tr>
        <w:trPr>
          <w:trHeight w:val="210"/>
        </w:trPr>
        <w:tc>
          <w:tcPr>
            <w:tcW w:w="468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purchased</w:t>
            </w:r>
          </w:p>
        </w:tc>
        <w:tc>
          <w:tcPr>
            <w:tcW w:w="16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per share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programs</w:t>
            </w:r>
          </w:p>
        </w:tc>
        <w:tc>
          <w:tcPr>
            <w:tcW w:w="180" w:type="dxa"/>
            <w:vAlign w:val="bottom"/>
          </w:tcPr>
          <w:p>
            <w:pPr>
              <w:spacing w:after="0"/>
              <w:rPr>
                <w:sz w:val="18"/>
                <w:szCs w:val="18"/>
                <w:color w:val="auto"/>
              </w:rPr>
            </w:pPr>
          </w:p>
        </w:tc>
        <w:tc>
          <w:tcPr>
            <w:tcW w:w="2160" w:type="dxa"/>
            <w:vAlign w:val="bottom"/>
          </w:tcPr>
          <w:p>
            <w:pPr>
              <w:jc w:val="center"/>
              <w:ind w:right="96"/>
              <w:spacing w:after="0"/>
              <w:rPr>
                <w:sz w:val="20"/>
                <w:szCs w:val="20"/>
                <w:color w:val="auto"/>
              </w:rPr>
            </w:pPr>
            <w:r>
              <w:rPr>
                <w:rFonts w:ascii="Arial" w:cs="Arial" w:eastAsia="Arial" w:hAnsi="Arial"/>
                <w:sz w:val="16"/>
                <w:szCs w:val="16"/>
                <w:b w:val="1"/>
                <w:bCs w:val="1"/>
                <w:color w:val="auto"/>
                <w:w w:val="91"/>
              </w:rPr>
              <w:t>plans or programs (1)</w:t>
            </w:r>
          </w:p>
        </w:tc>
      </w:tr>
      <w:tr>
        <w:trPr>
          <w:trHeight w:val="33"/>
        </w:trPr>
        <w:tc>
          <w:tcPr>
            <w:tcW w:w="46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64"/>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Repurchase program </w:t>
            </w:r>
            <w:r>
              <w:rPr>
                <w:rFonts w:ascii="Arial" w:cs="Arial" w:eastAsia="Arial" w:hAnsi="Arial"/>
                <w:sz w:val="23"/>
                <w:szCs w:val="23"/>
                <w:color w:val="auto"/>
                <w:vertAlign w:val="superscript"/>
              </w:rPr>
              <w:t>(1)</w:t>
            </w: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8,085,000</w:t>
            </w: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March 2020</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272,059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Canadian Plan </w:t>
            </w:r>
            <w:r>
              <w:rPr>
                <w:rFonts w:ascii="Arial" w:cs="Arial" w:eastAsia="Arial" w:hAnsi="Arial"/>
                <w:sz w:val="23"/>
                <w:szCs w:val="23"/>
                <w:color w:val="auto"/>
                <w:vertAlign w:val="superscript"/>
              </w:rPr>
              <w:t>(2)</w:t>
            </w:r>
          </w:p>
        </w:tc>
        <w:tc>
          <w:tcPr>
            <w:tcW w:w="11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27,474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25.39</w:t>
            </w:r>
          </w:p>
        </w:tc>
        <w:tc>
          <w:tcPr>
            <w:tcW w:w="120" w:type="dxa"/>
            <w:vAlign w:val="bottom"/>
            <w:shd w:val="clear" w:color="auto" w:fill="CCEEFF"/>
          </w:tcPr>
          <w:p>
            <w:pPr>
              <w:spacing w:after="0"/>
              <w:rPr>
                <w:sz w:val="23"/>
                <w:szCs w:val="23"/>
                <w:color w:val="auto"/>
              </w:rPr>
            </w:pPr>
          </w:p>
        </w:tc>
        <w:tc>
          <w:tcPr>
            <w:tcW w:w="17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6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964,410</w:t>
            </w:r>
          </w:p>
        </w:tc>
      </w:tr>
      <w:tr>
        <w:trPr>
          <w:trHeight w:val="230"/>
        </w:trPr>
        <w:tc>
          <w:tcPr>
            <w:tcW w:w="468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Employee transactions </w:t>
            </w:r>
            <w:r>
              <w:rPr>
                <w:rFonts w:ascii="Arial" w:cs="Arial" w:eastAsia="Arial" w:hAnsi="Arial"/>
                <w:sz w:val="25"/>
                <w:szCs w:val="25"/>
                <w:color w:val="auto"/>
                <w:vertAlign w:val="superscript"/>
              </w:rPr>
              <w:t>(3)</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50"/>
        </w:trPr>
        <w:tc>
          <w:tcPr>
            <w:tcW w:w="4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February 2020</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34,453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27.49</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340"/>
              <w:spacing w:after="0"/>
              <w:rPr>
                <w:sz w:val="20"/>
                <w:szCs w:val="20"/>
                <w:color w:val="auto"/>
              </w:rPr>
            </w:pPr>
            <w:r>
              <w:rPr>
                <w:rFonts w:ascii="Arial" w:cs="Arial" w:eastAsia="Arial" w:hAnsi="Arial"/>
                <w:sz w:val="18"/>
                <w:szCs w:val="18"/>
                <w:color w:val="auto"/>
              </w:rPr>
              <w:t>March 2020</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8,592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4"/>
              <w:spacing w:after="0"/>
              <w:rPr>
                <w:sz w:val="20"/>
                <w:szCs w:val="20"/>
                <w:color w:val="auto"/>
              </w:rPr>
            </w:pPr>
            <w:r>
              <w:rPr>
                <w:rFonts w:ascii="Arial" w:cs="Arial" w:eastAsia="Arial" w:hAnsi="Arial"/>
                <w:sz w:val="18"/>
                <w:szCs w:val="18"/>
                <w:color w:val="auto"/>
              </w:rPr>
              <w:t>20.09</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60" w:type="dxa"/>
            <w:vAlign w:val="bottom"/>
          </w:tcPr>
          <w:p>
            <w:pPr>
              <w:spacing w:after="0"/>
              <w:rPr>
                <w:sz w:val="21"/>
                <w:szCs w:val="21"/>
                <w:color w:val="auto"/>
              </w:rPr>
            </w:pPr>
          </w:p>
        </w:tc>
      </w:tr>
    </w:tbl>
    <w:p>
      <w:pPr>
        <w:spacing w:after="0" w:line="364" w:lineRule="exact"/>
        <w:rPr>
          <w:sz w:val="20"/>
          <w:szCs w:val="20"/>
          <w:color w:val="auto"/>
        </w:rPr>
      </w:pPr>
    </w:p>
    <w:p>
      <w:pPr>
        <w:ind w:left="900" w:right="200" w:hanging="892"/>
        <w:spacing w:after="0" w:line="224" w:lineRule="auto"/>
        <w:tabs>
          <w:tab w:leader="none" w:pos="912" w:val="left"/>
        </w:tabs>
        <w:numPr>
          <w:ilvl w:val="0"/>
          <w:numId w:val="12"/>
        </w:numPr>
        <w:rPr>
          <w:rFonts w:ascii="Arial" w:cs="Arial" w:eastAsia="Arial" w:hAnsi="Arial"/>
          <w:sz w:val="20"/>
          <w:szCs w:val="20"/>
          <w:color w:val="auto"/>
        </w:rPr>
      </w:pPr>
      <w:r>
        <w:rPr>
          <w:rFonts w:ascii="Arial" w:cs="Arial" w:eastAsia="Arial" w:hAnsi="Arial"/>
          <w:sz w:val="18"/>
          <w:szCs w:val="18"/>
          <w:color w:val="auto"/>
        </w:rPr>
        <w:t>On July 20, 2012, our Board of Directors authorized management to repurchase up to $10.0 million of our outstanding common stock on the open market or in privately negotiated transactions. In July 2016, Westwood's Board of Directors authorized an additional $5.0 million of repurchases under the share repurchase program, and in February 2020 an additional $10.0 million. The share repurchase program has no expiration date and may be discontinued at any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6" w:name="page27"/>
    <w:bookmarkEnd w:id="26"/>
    <w:p>
      <w:pPr>
        <w:ind w:left="892" w:hanging="892"/>
        <w:spacing w:after="0" w:line="259" w:lineRule="auto"/>
        <w:tabs>
          <w:tab w:leader="none" w:pos="892" w:val="left"/>
        </w:tabs>
        <w:numPr>
          <w:ilvl w:val="0"/>
          <w:numId w:val="13"/>
        </w:numPr>
        <w:rPr>
          <w:rFonts w:ascii="Arial" w:cs="Arial" w:eastAsia="Arial" w:hAnsi="Arial"/>
          <w:sz w:val="16"/>
          <w:szCs w:val="16"/>
          <w:color w:val="auto"/>
        </w:rPr>
      </w:pPr>
      <w:r>
        <w:rPr>
          <w:rFonts w:ascii="Arial" w:cs="Arial" w:eastAsia="Arial" w:hAnsi="Arial"/>
          <w:sz w:val="18"/>
          <w:szCs w:val="18"/>
          <w:color w:val="auto"/>
        </w:rPr>
        <w:t>On April 18, 2013, our stockholders approved the Share Award Plan of Westwood Holdings Group, Inc. for Service Provided in Canada to its Subsidiaries (the “Canadian Plan”), which contemplates a trustee purchasing up to $10.0 million CDN of our outstanding common stock on the open market for the purpose of making share awards to our Canadian employees. The Canadian Plan has no expiration date and may be discontinued at any time by the Board of Directors.</w:t>
      </w:r>
    </w:p>
    <w:p>
      <w:pPr>
        <w:spacing w:after="0" w:line="24" w:lineRule="exact"/>
        <w:rPr>
          <w:rFonts w:ascii="Arial" w:cs="Arial" w:eastAsia="Arial" w:hAnsi="Arial"/>
          <w:sz w:val="16"/>
          <w:szCs w:val="16"/>
          <w:color w:val="auto"/>
        </w:rPr>
      </w:pPr>
    </w:p>
    <w:p>
      <w:pPr>
        <w:jc w:val="both"/>
        <w:ind w:left="892" w:right="40" w:hanging="892"/>
        <w:spacing w:after="0" w:line="263" w:lineRule="auto"/>
        <w:tabs>
          <w:tab w:leader="none" w:pos="892" w:val="left"/>
        </w:tabs>
        <w:numPr>
          <w:ilvl w:val="0"/>
          <w:numId w:val="13"/>
        </w:numPr>
        <w:rPr>
          <w:rFonts w:ascii="Arial" w:cs="Arial" w:eastAsia="Arial" w:hAnsi="Arial"/>
          <w:sz w:val="16"/>
          <w:szCs w:val="16"/>
          <w:color w:val="auto"/>
        </w:rPr>
      </w:pPr>
      <w:r>
        <w:rPr>
          <w:rFonts w:ascii="Arial" w:cs="Arial" w:eastAsia="Arial" w:hAnsi="Arial"/>
          <w:sz w:val="18"/>
          <w:szCs w:val="18"/>
          <w:color w:val="auto"/>
        </w:rPr>
        <w:t>Consists of shares of common stock tendered by an employee at the market close price on the date of vesting in order to satisfy the employee’s minimum tax withholding obligations from vested restricted shares. We anticipate having additional shares tendered in subsequent periods for the same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12"/>
          </w:cols>
          <w:pgMar w:left="328" w:top="1151"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0980"/>
          </w:cols>
          <w:pgMar w:left="320" w:top="1093" w:right="599" w:bottom="1440" w:gutter="0" w:footer="0" w:header="0"/>
        </w:sectPr>
      </w:pPr>
    </w:p>
    <w:p>
      <w:pPr>
        <w:spacing w:after="0" w:line="28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31.1*</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31.2*</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Certification of Chief Executive Officer Pursuant to Securities Exchange Act Rule 13a-14(a)</w:t>
        </w:r>
      </w:hyperlink>
    </w:p>
    <w:p>
      <w:pPr>
        <w:spacing w:after="0" w:line="279" w:lineRule="exact"/>
        <w:rPr>
          <w:sz w:val="20"/>
          <w:szCs w:val="20"/>
          <w:color w:val="auto"/>
        </w:rPr>
      </w:pPr>
    </w:p>
    <w:p>
      <w:pPr>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Certification of Chief Financial Officer Pursuant to Securities Exchange Act Rule 13a-14(a)</w:t>
        </w:r>
      </w:hyperlink>
    </w:p>
    <w:p>
      <w:pPr>
        <w:spacing w:after="0" w:line="279" w:lineRule="exact"/>
        <w:rPr>
          <w:sz w:val="20"/>
          <w:szCs w:val="20"/>
          <w:color w:val="auto"/>
        </w:rPr>
      </w:pPr>
    </w:p>
    <w:p>
      <w:pPr>
        <w:spacing w:after="0" w:line="235"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Chief Executive Officer Pursuant to 18 U.S.C. Section 1350, as Adopted Pursuant to Section 906 of the Sarbanes-</w:t>
        </w:r>
      </w:hyperlink>
      <w:hyperlink w:anchor="page32">
        <w:r>
          <w:rPr>
            <w:rFonts w:ascii="Arial" w:cs="Arial" w:eastAsia="Arial" w:hAnsi="Arial"/>
            <w:sz w:val="18"/>
            <w:szCs w:val="18"/>
            <w:u w:val="single" w:color="auto"/>
            <w:color w:val="0000FF"/>
          </w:rPr>
          <w:t>Oxley Act of 2002</w:t>
        </w:r>
      </w:hyperlink>
    </w:p>
    <w:p>
      <w:pPr>
        <w:spacing w:after="0" w:line="216" w:lineRule="exact"/>
        <w:rPr>
          <w:sz w:val="20"/>
          <w:szCs w:val="20"/>
          <w:color w:val="auto"/>
        </w:rPr>
      </w:pPr>
    </w:p>
    <w:p>
      <w:pPr>
        <w:ind w:right="40"/>
        <w:spacing w:after="0" w:line="235"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Chief Financial Officer Pursuant to 18 U.S.C. Section 1350, as Adopted Pursuant to Section 906 of the Sarbanes-</w:t>
        </w:r>
      </w:hyperlink>
      <w:hyperlink w:anchor="page33">
        <w:r>
          <w:rPr>
            <w:rFonts w:ascii="Arial" w:cs="Arial" w:eastAsia="Arial" w:hAnsi="Arial"/>
            <w:sz w:val="18"/>
            <w:szCs w:val="18"/>
            <w:u w:val="single" w:color="auto"/>
            <w:color w:val="0000FF"/>
          </w:rPr>
          <w:t>Oxley Act of 2002</w:t>
        </w:r>
      </w:hyperlink>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financial information from Westwood Holdings Group, Inc.'s Quarterly Report on Form 10-Q for the period ended March 31, 2020, formatted in Inline eXtensible Business Reporting Language (iXBRL): (i) Condensed Consolidated Balance Sheets as of March 31, 2020 and December 31, 2019; (ii) Condensed Consolidated Statements of Comprehensive Income (Loss) for the three months ended March 31, 2020 and 2019; (iii) Condensed Consolidated Statements of Stockholders' Equity; (iv) Condensed Consolidated Statements of Cash Flows for the three months ended March 31, 2020 and 2019; and (v) Notes to the Condensed Consolidated Financial Statements.</w:t>
      </w:r>
    </w:p>
    <w:p>
      <w:pPr>
        <w:spacing w:after="0" w:line="200" w:lineRule="exact"/>
        <w:rPr>
          <w:sz w:val="20"/>
          <w:szCs w:val="20"/>
          <w:color w:val="auto"/>
        </w:rPr>
      </w:pPr>
    </w:p>
    <w:p>
      <w:pPr>
        <w:sectPr>
          <w:pgSz w:w="11900" w:h="16838" w:orient="portrait"/>
          <w:cols w:equalWidth="0" w:num="2">
            <w:col w:w="920" w:space="720"/>
            <w:col w:w="9340"/>
          </w:cols>
          <w:pgMar w:left="320" w:top="1093" w:right="599" w:bottom="1440" w:gutter="0" w:footer="0" w:header="0"/>
          <w:type w:val="continuous"/>
        </w:sectPr>
      </w:pPr>
    </w:p>
    <w:p>
      <w:pPr>
        <w:spacing w:after="0" w:line="46" w:lineRule="exact"/>
        <w:rPr>
          <w:sz w:val="20"/>
          <w:szCs w:val="20"/>
          <w:color w:val="auto"/>
        </w:rPr>
      </w:pPr>
    </w:p>
    <w:p>
      <w:pPr>
        <w:ind w:left="220"/>
        <w:spacing w:after="0"/>
        <w:tabs>
          <w:tab w:leader="none" w:pos="162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Cover Page Interactive Data File (formatted as iXBRL and contained in Exhibit 101)</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1093" w:right="599" w:bottom="1440" w:gutter="0" w:footer="0" w:header="0"/>
          <w:type w:val="continuous"/>
        </w:sectPr>
      </w:pPr>
    </w:p>
    <w:bookmarkStart w:id="28" w:name="page29"/>
    <w:bookmarkEnd w:id="28"/>
    <w:p>
      <w:pPr>
        <w:jc w:val="center"/>
        <w:ind w:right="-47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Dated:   April 29, 2020</w:t>
            </w:r>
          </w:p>
        </w:tc>
        <w:tc>
          <w:tcPr>
            <w:tcW w:w="6020" w:type="dxa"/>
            <w:vAlign w:val="bottom"/>
            <w:gridSpan w:val="2"/>
          </w:tcPr>
          <w:p>
            <w:pPr>
              <w:ind w:left="1620"/>
              <w:spacing w:after="0"/>
              <w:rPr>
                <w:sz w:val="20"/>
                <w:szCs w:val="20"/>
                <w:color w:val="auto"/>
              </w:rPr>
            </w:pPr>
            <w:r>
              <w:rPr>
                <w:rFonts w:ascii="Arial" w:cs="Arial" w:eastAsia="Arial" w:hAnsi="Arial"/>
                <w:sz w:val="18"/>
                <w:szCs w:val="18"/>
                <w:color w:val="auto"/>
              </w:rPr>
              <w:t>WESTWOOD HOLDINGS GROUP, INC.</w:t>
            </w:r>
          </w:p>
        </w:tc>
      </w:tr>
      <w:tr>
        <w:trPr>
          <w:trHeight w:val="527"/>
        </w:trPr>
        <w:tc>
          <w:tcPr>
            <w:tcW w:w="340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800" w:type="dxa"/>
            <w:vAlign w:val="bottom"/>
          </w:tcPr>
          <w:p>
            <w:pPr>
              <w:ind w:left="20"/>
              <w:spacing w:after="0"/>
              <w:rPr>
                <w:sz w:val="20"/>
                <w:szCs w:val="20"/>
                <w:color w:val="auto"/>
              </w:rPr>
            </w:pPr>
            <w:r>
              <w:rPr>
                <w:rFonts w:ascii="Arial" w:cs="Arial" w:eastAsia="Arial" w:hAnsi="Arial"/>
                <w:sz w:val="18"/>
                <w:szCs w:val="18"/>
                <w:color w:val="auto"/>
              </w:rPr>
              <w:t>/s/ Brian O. Casey</w:t>
            </w:r>
          </w:p>
        </w:tc>
      </w:tr>
      <w:tr>
        <w:trPr>
          <w:trHeight w:val="27"/>
        </w:trPr>
        <w:tc>
          <w:tcPr>
            <w:tcW w:w="3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Brian O. Casey</w:t>
            </w:r>
          </w:p>
        </w:tc>
      </w:tr>
      <w:tr>
        <w:trPr>
          <w:trHeight w:val="270"/>
        </w:trPr>
        <w:tc>
          <w:tcPr>
            <w:tcW w:w="34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340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Arial" w:cs="Arial" w:eastAsia="Arial" w:hAnsi="Arial"/>
                <w:sz w:val="18"/>
                <w:szCs w:val="18"/>
                <w:color w:val="auto"/>
              </w:rPr>
              <w:t>By:</w:t>
            </w:r>
          </w:p>
        </w:tc>
        <w:tc>
          <w:tcPr>
            <w:tcW w:w="3800" w:type="dxa"/>
            <w:vAlign w:val="bottom"/>
          </w:tcPr>
          <w:p>
            <w:pPr>
              <w:ind w:left="20"/>
              <w:spacing w:after="0"/>
              <w:rPr>
                <w:sz w:val="20"/>
                <w:szCs w:val="20"/>
                <w:color w:val="auto"/>
              </w:rPr>
            </w:pPr>
            <w:r>
              <w:rPr>
                <w:rFonts w:ascii="Arial" w:cs="Arial" w:eastAsia="Arial" w:hAnsi="Arial"/>
                <w:sz w:val="18"/>
                <w:szCs w:val="18"/>
                <w:color w:val="auto"/>
              </w:rPr>
              <w:t>/s/ Murray Forbes III</w:t>
            </w:r>
          </w:p>
        </w:tc>
      </w:tr>
      <w:tr>
        <w:trPr>
          <w:trHeight w:val="27"/>
        </w:trPr>
        <w:tc>
          <w:tcPr>
            <w:tcW w:w="34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r>
      <w:tr>
        <w:trPr>
          <w:trHeight w:val="237"/>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Murray Forbes III</w:t>
            </w:r>
          </w:p>
        </w:tc>
      </w:tr>
      <w:tr>
        <w:trPr>
          <w:trHeight w:val="270"/>
        </w:trPr>
        <w:tc>
          <w:tcPr>
            <w:tcW w:w="34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760"/>
          </w:cols>
          <w:pgMar w:left="320" w:top="1097" w:right="81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 13a-14(a)</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I, Brian O. Casey, certify that:</w:t>
      </w:r>
    </w:p>
    <w:p>
      <w:pPr>
        <w:spacing w:after="0" w:line="82" w:lineRule="exact"/>
        <w:rPr>
          <w:sz w:val="20"/>
          <w:szCs w:val="20"/>
          <w:color w:val="auto"/>
        </w:rPr>
      </w:pPr>
    </w:p>
    <w:p>
      <w:pPr>
        <w:ind w:left="1200" w:hanging="1174"/>
        <w:spacing w:after="0"/>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jc w:val="both"/>
        <w:ind w:left="1200" w:right="62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6"/>
          <w:szCs w:val="16"/>
          <w:color w:val="auto"/>
        </w:rPr>
      </w:pPr>
    </w:p>
    <w:p>
      <w:pPr>
        <w:spacing w:after="0" w:line="213"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2" w:lineRule="exact"/>
        <w:rPr>
          <w:rFonts w:ascii="Arial" w:cs="Arial" w:eastAsia="Arial" w:hAnsi="Arial"/>
          <w:sz w:val="15"/>
          <w:szCs w:val="15"/>
          <w:color w:val="auto"/>
        </w:rPr>
      </w:pPr>
    </w:p>
    <w:p>
      <w:pPr>
        <w:jc w:val="both"/>
        <w:ind w:left="1200" w:right="600" w:hanging="1174"/>
        <w:spacing w:after="0" w:line="278" w:lineRule="auto"/>
        <w:tabs>
          <w:tab w:leader="none" w:pos="12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6"/>
          <w:szCs w:val="16"/>
          <w:color w:val="auto"/>
        </w:rPr>
      </w:pPr>
    </w:p>
    <w:p>
      <w:pPr>
        <w:ind w:left="1700" w:hanging="234"/>
        <w:spacing w:after="0"/>
        <w:tabs>
          <w:tab w:leader="none" w:pos="170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5"/>
          <w:szCs w:val="15"/>
          <w:color w:val="auto"/>
        </w:rPr>
      </w:pPr>
    </w:p>
    <w:p>
      <w:pPr>
        <w:ind w:left="980" w:right="820" w:firstLine="486"/>
        <w:spacing w:after="0" w:line="349" w:lineRule="auto"/>
        <w:tabs>
          <w:tab w:leader="none" w:pos="1686" w:val="left"/>
        </w:tabs>
        <w:numPr>
          <w:ilvl w:val="1"/>
          <w:numId w:val="1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 w:lineRule="exact"/>
        <w:rPr>
          <w:rFonts w:ascii="Arial" w:cs="Arial" w:eastAsia="Arial" w:hAnsi="Arial"/>
          <w:sz w:val="14"/>
          <w:szCs w:val="14"/>
          <w:color w:val="auto"/>
        </w:rPr>
      </w:pPr>
    </w:p>
    <w:p>
      <w:pPr>
        <w:ind w:left="980" w:right="120" w:firstLine="486"/>
        <w:spacing w:after="0" w:line="261"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4" w:lineRule="exact"/>
        <w:rPr>
          <w:rFonts w:ascii="Arial" w:cs="Arial" w:eastAsia="Arial" w:hAnsi="Arial"/>
          <w:sz w:val="16"/>
          <w:szCs w:val="16"/>
          <w:color w:val="auto"/>
        </w:rPr>
      </w:pPr>
    </w:p>
    <w:p>
      <w:pPr>
        <w:ind w:left="1200" w:right="580" w:hanging="1174"/>
        <w:spacing w:after="0" w:line="328"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4"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Dated: April 29, 2020</w:t>
      </w:r>
    </w:p>
    <w:p>
      <w:pPr>
        <w:spacing w:after="0" w:line="200" w:lineRule="exact"/>
        <w:rPr>
          <w:sz w:val="20"/>
          <w:szCs w:val="20"/>
          <w:color w:val="auto"/>
        </w:rPr>
      </w:pPr>
    </w:p>
    <w:p>
      <w:pPr>
        <w:spacing w:after="0" w:line="318"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34925</wp:posOffset>
            </wp:positionV>
            <wp:extent cx="2108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66"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7940"/>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SECURITIES EXCHANGE ACT RULES 13a-14(a)</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I, Murray Forbes III, certify that:</w:t>
      </w:r>
    </w:p>
    <w:p>
      <w:pPr>
        <w:spacing w:after="0" w:line="59" w:lineRule="exact"/>
        <w:rPr>
          <w:sz w:val="20"/>
          <w:szCs w:val="20"/>
          <w:color w:val="auto"/>
        </w:rPr>
      </w:pPr>
    </w:p>
    <w:p>
      <w:pPr>
        <w:ind w:left="1260" w:hanging="1234"/>
        <w:spacing w:after="0"/>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 have reviewed this report on Form 10-Q of Westwood Holdings Group, Inc.;</w:t>
      </w:r>
    </w:p>
    <w:p>
      <w:pPr>
        <w:spacing w:after="0" w:line="200" w:lineRule="exact"/>
        <w:rPr>
          <w:rFonts w:ascii="Arial" w:cs="Arial" w:eastAsia="Arial" w:hAnsi="Arial"/>
          <w:sz w:val="16"/>
          <w:szCs w:val="16"/>
          <w:color w:val="auto"/>
        </w:rPr>
      </w:pPr>
    </w:p>
    <w:p>
      <w:pPr>
        <w:spacing w:after="0" w:line="250" w:lineRule="exact"/>
        <w:rPr>
          <w:rFonts w:ascii="Arial" w:cs="Arial" w:eastAsia="Arial" w:hAnsi="Arial"/>
          <w:sz w:val="16"/>
          <w:szCs w:val="16"/>
          <w:color w:val="auto"/>
        </w:rPr>
      </w:pPr>
    </w:p>
    <w:p>
      <w:pPr>
        <w:ind w:left="1260" w:right="100" w:hanging="1234"/>
        <w:spacing w:after="0" w:line="369" w:lineRule="auto"/>
        <w:tabs>
          <w:tab w:leader="none" w:pos="1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41" w:lineRule="exact"/>
        <w:rPr>
          <w:rFonts w:ascii="Arial" w:cs="Arial" w:eastAsia="Arial" w:hAnsi="Arial"/>
          <w:sz w:val="14"/>
          <w:szCs w:val="14"/>
          <w:color w:val="auto"/>
        </w:rPr>
      </w:pPr>
    </w:p>
    <w:p>
      <w:pPr>
        <w:ind w:left="1260" w:right="520" w:hanging="1234"/>
        <w:spacing w:after="0" w:line="32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65" w:lineRule="exact"/>
        <w:rPr>
          <w:rFonts w:ascii="Arial" w:cs="Arial" w:eastAsia="Arial" w:hAnsi="Arial"/>
          <w:sz w:val="15"/>
          <w:szCs w:val="15"/>
          <w:color w:val="auto"/>
        </w:rPr>
      </w:pPr>
    </w:p>
    <w:p>
      <w:pPr>
        <w:ind w:left="1260" w:right="180" w:hanging="1234"/>
        <w:spacing w:after="0" w:line="278" w:lineRule="auto"/>
        <w:tabs>
          <w:tab w:leader="none" w:pos="12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rFonts w:ascii="Arial" w:cs="Arial" w:eastAsia="Arial" w:hAnsi="Arial"/>
          <w:sz w:val="16"/>
          <w:szCs w:val="16"/>
          <w:color w:val="auto"/>
        </w:rPr>
      </w:pPr>
    </w:p>
    <w:p>
      <w:pPr>
        <w:ind w:left="980" w:right="360" w:firstLine="486"/>
        <w:spacing w:after="0" w:line="261"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 w:lineRule="exact"/>
        <w:rPr>
          <w:rFonts w:ascii="Arial" w:cs="Arial" w:eastAsia="Arial" w:hAnsi="Arial"/>
          <w:sz w:val="16"/>
          <w:szCs w:val="16"/>
          <w:color w:val="auto"/>
        </w:rPr>
      </w:pPr>
    </w:p>
    <w:p>
      <w:pPr>
        <w:ind w:left="1700" w:hanging="234"/>
        <w:spacing w:after="0"/>
        <w:tabs>
          <w:tab w:leader="none" w:pos="170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w:t>
      </w:r>
    </w:p>
    <w:p>
      <w:pPr>
        <w:spacing w:after="0" w:line="30" w:lineRule="exact"/>
        <w:rPr>
          <w:rFonts w:ascii="Arial" w:cs="Arial" w:eastAsia="Arial" w:hAnsi="Arial"/>
          <w:sz w:val="15"/>
          <w:szCs w:val="15"/>
          <w:color w:val="auto"/>
        </w:rPr>
      </w:pPr>
    </w:p>
    <w:p>
      <w:pPr>
        <w:ind w:left="980"/>
        <w:spacing w:after="0" w:line="257" w:lineRule="auto"/>
        <w:rPr>
          <w:rFonts w:ascii="Arial" w:cs="Arial" w:eastAsia="Arial" w:hAnsi="Arial"/>
          <w:sz w:val="15"/>
          <w:szCs w:val="15"/>
          <w:color w:val="auto"/>
        </w:rPr>
      </w:pPr>
      <w:r>
        <w:rPr>
          <w:rFonts w:ascii="Arial" w:cs="Arial" w:eastAsia="Arial" w:hAnsi="Arial"/>
          <w:sz w:val="16"/>
          <w:szCs w:val="16"/>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3" w:lineRule="exact"/>
        <w:rPr>
          <w:rFonts w:ascii="Arial" w:cs="Arial" w:eastAsia="Arial" w:hAnsi="Arial"/>
          <w:sz w:val="15"/>
          <w:szCs w:val="15"/>
          <w:color w:val="auto"/>
        </w:rPr>
      </w:pPr>
    </w:p>
    <w:p>
      <w:pPr>
        <w:ind w:left="980" w:right="820" w:firstLine="486"/>
        <w:spacing w:after="0" w:line="322" w:lineRule="auto"/>
        <w:tabs>
          <w:tab w:leader="none" w:pos="1686" w:val="left"/>
        </w:tabs>
        <w:numPr>
          <w:ilvl w:val="1"/>
          <w:numId w:val="15"/>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80" w:right="120" w:firstLine="486"/>
        <w:spacing w:after="0" w:line="261"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rFonts w:ascii="Arial" w:cs="Arial" w:eastAsia="Arial" w:hAnsi="Arial"/>
          <w:sz w:val="16"/>
          <w:szCs w:val="16"/>
          <w:color w:val="auto"/>
        </w:rPr>
      </w:pPr>
    </w:p>
    <w:p>
      <w:pPr>
        <w:ind w:left="1260" w:right="280" w:hanging="1234"/>
        <w:spacing w:after="0" w:line="328" w:lineRule="auto"/>
        <w:tabs>
          <w:tab w:leader="none" w:pos="12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Arial" w:cs="Arial" w:eastAsia="Arial" w:hAnsi="Arial"/>
          <w:sz w:val="15"/>
          <w:szCs w:val="15"/>
          <w:color w:val="auto"/>
        </w:rPr>
      </w:pPr>
    </w:p>
    <w:p>
      <w:pPr>
        <w:ind w:left="980" w:right="280" w:firstLine="486"/>
        <w:spacing w:after="0" w:line="275" w:lineRule="auto"/>
        <w:tabs>
          <w:tab w:leader="none" w:pos="16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 w:lineRule="exact"/>
        <w:rPr>
          <w:rFonts w:ascii="Arial" w:cs="Arial" w:eastAsia="Arial" w:hAnsi="Arial"/>
          <w:sz w:val="16"/>
          <w:szCs w:val="16"/>
          <w:color w:val="auto"/>
        </w:rPr>
      </w:pPr>
    </w:p>
    <w:p>
      <w:pPr>
        <w:ind w:left="980" w:right="220" w:firstLine="486"/>
        <w:spacing w:after="0" w:line="275" w:lineRule="auto"/>
        <w:tabs>
          <w:tab w:leader="none" w:pos="1695"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Dated: April 29, 2020</w:t>
      </w:r>
    </w:p>
    <w:p>
      <w:pPr>
        <w:spacing w:after="0" w:line="248"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34925</wp:posOffset>
            </wp:positionV>
            <wp:extent cx="25203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66"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7280"/>
        <w:spacing w:after="0"/>
        <w:rPr>
          <w:sz w:val="20"/>
          <w:szCs w:val="20"/>
          <w:color w:val="auto"/>
        </w:rPr>
      </w:pPr>
      <w:r>
        <w:rPr>
          <w:rFonts w:ascii="Arial" w:cs="Arial" w:eastAsia="Arial" w:hAnsi="Arial"/>
          <w:sz w:val="16"/>
          <w:szCs w:val="16"/>
          <w:color w:val="auto"/>
        </w:rPr>
        <w:t>Chief Financial Officer and Treasurer</w:t>
      </w:r>
    </w:p>
    <w:p>
      <w:pPr>
        <w:sectPr>
          <w:pgSz w:w="11900" w:h="16838" w:orient="portrait"/>
          <w:cols w:equalWidth="0" w:num="1">
            <w:col w:w="11240"/>
          </w:cols>
          <w:pgMar w:left="320" w:top="1422"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2020 as filed with the Securities and Exchange Commission on the date hereof (the “Report”), I, Brian O. Casey, President &amp; Chief Executive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29, 2020</w:t>
      </w:r>
    </w:p>
    <w:p>
      <w:pPr>
        <w:spacing w:after="0" w:line="248"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/s/ Brian O.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34925</wp:posOffset>
            </wp:positionV>
            <wp:extent cx="24517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66"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Brian O. Casey</w:t>
      </w:r>
    </w:p>
    <w:p>
      <w:pPr>
        <w:spacing w:after="0" w:line="73" w:lineRule="exact"/>
        <w:rPr>
          <w:sz w:val="20"/>
          <w:szCs w:val="20"/>
          <w:color w:val="auto"/>
        </w:rPr>
      </w:pPr>
    </w:p>
    <w:p>
      <w:pPr>
        <w:ind w:left="7400"/>
        <w:spacing w:after="0"/>
        <w:rPr>
          <w:sz w:val="20"/>
          <w:szCs w:val="20"/>
          <w:color w:val="auto"/>
        </w:rPr>
      </w:pPr>
      <w:r>
        <w:rPr>
          <w:rFonts w:ascii="Arial" w:cs="Arial" w:eastAsia="Arial" w:hAnsi="Arial"/>
          <w:sz w:val="16"/>
          <w:szCs w:val="16"/>
          <w:color w:val="auto"/>
        </w:rPr>
        <w:t>President &amp; Chief Executive Officer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p>
      <w:pPr>
        <w:sectPr>
          <w:pgSz w:w="11900" w:h="16838" w:orient="portrait"/>
          <w:cols w:equalWidth="0" w:num="1">
            <w:col w:w="11240"/>
          </w:cols>
          <w:pgMar w:left="320" w:top="1422" w:right="339" w:bottom="1440" w:gutter="0" w:footer="0" w:header="0"/>
        </w:sectPr>
      </w:pPr>
    </w:p>
    <w:bookmarkStart w:id="32" w:name="page33"/>
    <w:bookmarkEnd w:id="32"/>
    <w:p>
      <w:pPr>
        <w:ind w:left="10400"/>
        <w:spacing w:after="0"/>
        <w:rPr>
          <w:sz w:val="20"/>
          <w:szCs w:val="20"/>
          <w:color w:val="auto"/>
        </w:rPr>
      </w:pPr>
      <w:r>
        <w:rPr>
          <w:rFonts w:ascii="Arial" w:cs="Arial" w:eastAsia="Arial" w:hAnsi="Arial"/>
          <w:sz w:val="15"/>
          <w:szCs w:val="15"/>
          <w:b w:val="1"/>
          <w:bCs w:val="1"/>
          <w:color w:val="auto"/>
        </w:rPr>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of Westwood Holdings Group, Inc. (the “Company”) on Form 10-Q for the period ended March 31, 2020 as filed with the Securities and Exchange Commission on the date hereof (the “Report”), I, Murray Forbes III, Chief Financial Officer of the Company, certify, pursuant to 18 U.S.C. § 1350, as adopted pursuant to § 906 of the Sarbanes-Oxley Act of 2002, that, to the best of my knowledge:</w:t>
      </w:r>
    </w:p>
    <w:p>
      <w:pPr>
        <w:spacing w:after="0" w:line="75" w:lineRule="exact"/>
        <w:rPr>
          <w:sz w:val="20"/>
          <w:szCs w:val="20"/>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113" w:lineRule="exact"/>
        <w:rPr>
          <w:rFonts w:ascii="Arial" w:cs="Arial" w:eastAsia="Arial" w:hAnsi="Arial"/>
          <w:sz w:val="16"/>
          <w:szCs w:val="16"/>
          <w:color w:val="auto"/>
        </w:rPr>
      </w:pPr>
    </w:p>
    <w:p>
      <w:pPr>
        <w:ind w:left="720" w:hanging="226"/>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April 29, 2020</w:t>
      </w: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/s/ Murray Forbes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34925</wp:posOffset>
            </wp:positionV>
            <wp:extent cx="29743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66"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Murray Forbes III</w:t>
      </w:r>
    </w:p>
    <w:p>
      <w:pPr>
        <w:spacing w:after="0" w:line="73" w:lineRule="exact"/>
        <w:rPr>
          <w:sz w:val="20"/>
          <w:szCs w:val="20"/>
          <w:color w:val="auto"/>
        </w:rPr>
      </w:pPr>
    </w:p>
    <w:p>
      <w:pPr>
        <w:ind w:left="6580"/>
        <w:spacing w:after="0"/>
        <w:rPr>
          <w:sz w:val="20"/>
          <w:szCs w:val="20"/>
          <w:color w:val="auto"/>
        </w:rPr>
      </w:pPr>
      <w:r>
        <w:rPr>
          <w:rFonts w:ascii="Arial" w:cs="Arial" w:eastAsia="Arial" w:hAnsi="Arial"/>
          <w:sz w:val="16"/>
          <w:szCs w:val="16"/>
          <w:color w:val="auto"/>
        </w:rPr>
        <w:t>Chief Financial Officer and Treasurer</w:t>
      </w:r>
    </w:p>
    <w:p>
      <w:pPr>
        <w:spacing w:after="0" w:line="262" w:lineRule="exact"/>
        <w:rPr>
          <w:sz w:val="20"/>
          <w:szCs w:val="20"/>
          <w:color w:val="auto"/>
        </w:rPr>
      </w:pPr>
    </w:p>
    <w:p>
      <w:pPr>
        <w:ind w:right="20" w:firstLine="486"/>
        <w:spacing w:after="0" w:line="261" w:lineRule="auto"/>
        <w:rPr>
          <w:sz w:val="20"/>
          <w:szCs w:val="20"/>
          <w:color w:val="auto"/>
        </w:rPr>
      </w:pPr>
      <w:r>
        <w:rPr>
          <w:rFonts w:ascii="Arial" w:cs="Arial" w:eastAsia="Arial" w:hAnsi="Arial"/>
          <w:sz w:val="16"/>
          <w:szCs w:val="16"/>
          <w:color w:val="auto"/>
        </w:rPr>
        <w:t>A signed original of this written statement required by Section 906 has been provided to Westwood Holdings Group, Inc. and will be retained by Westwood Holdings Group, Inc. and furnished to the Securities and Exchange Commission or its staff upon request. The foregoing certification is being furnished solely pursuant to 18 U.S.C. Section 1350 and is not being filed as part of the Report or as a separate disclosure document.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2"/>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7"/>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0"/>
    </w:lvl>
  </w:abstractNum>
  <w:abstractNum w:abstractNumId="8">
    <w:nsid w:val="3352255A"/>
    <w:multiLevelType w:val="hybridMultilevel"/>
    <w:lvl w:ilvl="0">
      <w:lvlJc w:val="left"/>
      <w:lvlText w:val="%1."/>
      <w:numFmt w:val="decimal"/>
      <w:start w:val="15"/>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2020-04-30T17:44:24Z</dcterms:created>
  <dcterms:modified xsi:type="dcterms:W3CDTF">2020-04-30T17:44:24Z</dcterms:modified>
</cp:coreProperties>
</file>