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87"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CURRENT REPORT</w:t>
      </w:r>
    </w:p>
    <w:p>
      <w:pPr>
        <w:spacing w:after="0" w:line="24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Pursuant to Section 13 or 15(d) of</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4"/>
          <w:szCs w:val="24"/>
          <w:color w:val="auto"/>
        </w:rPr>
      </w:pPr>
    </w:p>
    <w:p>
      <w:pPr>
        <w:spacing w:after="0" w:line="234"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Date of Report (Date of earliest event reported): April 29, 2020</w:t>
      </w:r>
    </w:p>
    <w:p>
      <w:pPr>
        <w:spacing w:after="0" w:line="200" w:lineRule="exact"/>
        <w:rPr>
          <w:sz w:val="24"/>
          <w:szCs w:val="24"/>
          <w:color w:val="auto"/>
        </w:rPr>
      </w:pPr>
    </w:p>
    <w:p>
      <w:pPr>
        <w:spacing w:after="0" w:line="293" w:lineRule="exact"/>
        <w:rPr>
          <w:sz w:val="24"/>
          <w:szCs w:val="24"/>
          <w:color w:val="auto"/>
        </w:rPr>
      </w:pPr>
    </w:p>
    <w:p>
      <w:pPr>
        <w:jc w:val="center"/>
        <w:ind w:right="-619"/>
        <w:spacing w:after="0"/>
        <w:rPr>
          <w:sz w:val="20"/>
          <w:szCs w:val="20"/>
          <w:color w:val="auto"/>
        </w:rPr>
      </w:pPr>
      <w:r>
        <w:rPr>
          <w:rFonts w:ascii="Arial" w:cs="Arial" w:eastAsia="Arial" w:hAnsi="Arial"/>
          <w:sz w:val="40"/>
          <w:szCs w:val="40"/>
          <w:b w:val="1"/>
          <w:bCs w:val="1"/>
          <w:color w:val="auto"/>
        </w:rPr>
        <w:t>WESTWOOD HOLDINGS GROUP, INC.</w:t>
      </w:r>
    </w:p>
    <w:p>
      <w:pPr>
        <w:spacing w:after="0" w:line="14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120" w:type="dxa"/>
            <w:vAlign w:val="bottom"/>
          </w:tcPr>
          <w:p>
            <w:pPr>
              <w:jc w:val="center"/>
              <w:ind w:right="276"/>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001-31234</w:t>
            </w:r>
          </w:p>
        </w:tc>
        <w:tc>
          <w:tcPr>
            <w:tcW w:w="1940" w:type="dxa"/>
            <w:vAlign w:val="bottom"/>
          </w:tcPr>
          <w:p>
            <w:pPr>
              <w:jc w:val="center"/>
              <w:ind w:left="356"/>
              <w:spacing w:after="0"/>
              <w:rPr>
                <w:sz w:val="20"/>
                <w:szCs w:val="20"/>
                <w:color w:val="auto"/>
              </w:rPr>
            </w:pPr>
            <w:r>
              <w:rPr>
                <w:rFonts w:ascii="Arial" w:cs="Arial" w:eastAsia="Arial" w:hAnsi="Arial"/>
                <w:sz w:val="18"/>
                <w:szCs w:val="18"/>
                <w:b w:val="1"/>
                <w:bCs w:val="1"/>
                <w:color w:val="auto"/>
                <w:w w:val="89"/>
              </w:rPr>
              <w:t>75-2969997</w:t>
            </w:r>
          </w:p>
        </w:tc>
      </w:tr>
      <w:tr>
        <w:trPr>
          <w:trHeight w:val="247"/>
        </w:trPr>
        <w:tc>
          <w:tcPr>
            <w:tcW w:w="2120" w:type="dxa"/>
            <w:vAlign w:val="bottom"/>
          </w:tcPr>
          <w:p>
            <w:pPr>
              <w:jc w:val="center"/>
              <w:ind w:right="276"/>
              <w:spacing w:after="0"/>
              <w:rPr>
                <w:sz w:val="20"/>
                <w:szCs w:val="20"/>
                <w:color w:val="auto"/>
              </w:rPr>
            </w:pPr>
            <w:r>
              <w:rPr>
                <w:rFonts w:ascii="Arial" w:cs="Arial" w:eastAsia="Arial" w:hAnsi="Arial"/>
                <w:sz w:val="16"/>
                <w:szCs w:val="16"/>
                <w:color w:val="auto"/>
                <w:w w:val="92"/>
              </w:rPr>
              <w:t>(State or Other Jurisdiction</w:t>
            </w:r>
          </w:p>
        </w:tc>
        <w:tc>
          <w:tcPr>
            <w:tcW w:w="4800" w:type="dxa"/>
            <w:vAlign w:val="bottom"/>
          </w:tcPr>
          <w:p>
            <w:pPr>
              <w:jc w:val="center"/>
              <w:spacing w:after="0"/>
              <w:rPr>
                <w:sz w:val="20"/>
                <w:szCs w:val="20"/>
                <w:color w:val="auto"/>
              </w:rPr>
            </w:pPr>
            <w:r>
              <w:rPr>
                <w:rFonts w:ascii="Arial" w:cs="Arial" w:eastAsia="Arial" w:hAnsi="Arial"/>
                <w:sz w:val="16"/>
                <w:szCs w:val="16"/>
                <w:color w:val="auto"/>
                <w:w w:val="94"/>
              </w:rPr>
              <w:t>(Commission</w:t>
            </w:r>
          </w:p>
        </w:tc>
        <w:tc>
          <w:tcPr>
            <w:tcW w:w="1940" w:type="dxa"/>
            <w:vAlign w:val="bottom"/>
          </w:tcPr>
          <w:p>
            <w:pPr>
              <w:jc w:val="center"/>
              <w:ind w:left="356"/>
              <w:spacing w:after="0"/>
              <w:rPr>
                <w:sz w:val="20"/>
                <w:szCs w:val="20"/>
                <w:color w:val="auto"/>
              </w:rPr>
            </w:pPr>
            <w:r>
              <w:rPr>
                <w:rFonts w:ascii="Arial" w:cs="Arial" w:eastAsia="Arial" w:hAnsi="Arial"/>
                <w:sz w:val="16"/>
                <w:szCs w:val="16"/>
                <w:color w:val="auto"/>
                <w:w w:val="93"/>
              </w:rPr>
              <w:t>(I.R.S. Employer</w:t>
            </w:r>
          </w:p>
        </w:tc>
      </w:tr>
      <w:tr>
        <w:trPr>
          <w:trHeight w:val="206"/>
        </w:trPr>
        <w:tc>
          <w:tcPr>
            <w:tcW w:w="2120" w:type="dxa"/>
            <w:vAlign w:val="bottom"/>
          </w:tcPr>
          <w:p>
            <w:pPr>
              <w:jc w:val="center"/>
              <w:ind w:right="276"/>
              <w:spacing w:after="0"/>
              <w:rPr>
                <w:sz w:val="20"/>
                <w:szCs w:val="20"/>
                <w:color w:val="auto"/>
              </w:rPr>
            </w:pPr>
            <w:r>
              <w:rPr>
                <w:rFonts w:ascii="Arial" w:cs="Arial" w:eastAsia="Arial" w:hAnsi="Arial"/>
                <w:sz w:val="16"/>
                <w:szCs w:val="16"/>
                <w:color w:val="auto"/>
                <w:w w:val="96"/>
              </w:rPr>
              <w:t>of Incorporation)</w:t>
            </w:r>
          </w:p>
        </w:tc>
        <w:tc>
          <w:tcPr>
            <w:tcW w:w="4800" w:type="dxa"/>
            <w:vAlign w:val="bottom"/>
          </w:tcPr>
          <w:p>
            <w:pPr>
              <w:jc w:val="center"/>
              <w:spacing w:after="0"/>
              <w:rPr>
                <w:sz w:val="20"/>
                <w:szCs w:val="20"/>
                <w:color w:val="auto"/>
              </w:rPr>
            </w:pPr>
            <w:r>
              <w:rPr>
                <w:rFonts w:ascii="Arial" w:cs="Arial" w:eastAsia="Arial" w:hAnsi="Arial"/>
                <w:sz w:val="16"/>
                <w:szCs w:val="16"/>
                <w:color w:val="auto"/>
                <w:w w:val="95"/>
              </w:rPr>
              <w:t>File Number)</w:t>
            </w:r>
          </w:p>
        </w:tc>
        <w:tc>
          <w:tcPr>
            <w:tcW w:w="1940" w:type="dxa"/>
            <w:vAlign w:val="bottom"/>
          </w:tcPr>
          <w:p>
            <w:pPr>
              <w:jc w:val="center"/>
              <w:ind w:left="356"/>
              <w:spacing w:after="0"/>
              <w:rPr>
                <w:sz w:val="20"/>
                <w:szCs w:val="20"/>
                <w:color w:val="auto"/>
              </w:rPr>
            </w:pPr>
            <w:r>
              <w:rPr>
                <w:rFonts w:ascii="Arial" w:cs="Arial" w:eastAsia="Arial" w:hAnsi="Arial"/>
                <w:sz w:val="16"/>
                <w:szCs w:val="16"/>
                <w:color w:val="auto"/>
                <w:w w:val="95"/>
              </w:rPr>
              <w:t>Identification Number)</w:t>
            </w:r>
          </w:p>
        </w:tc>
      </w:tr>
      <w:tr>
        <w:trPr>
          <w:trHeight w:val="379"/>
        </w:trPr>
        <w:tc>
          <w:tcPr>
            <w:tcW w:w="2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200 Crescent Court, Suite 1200</w:t>
            </w:r>
          </w:p>
        </w:tc>
        <w:tc>
          <w:tcPr>
            <w:tcW w:w="1940" w:type="dxa"/>
            <w:vAlign w:val="bottom"/>
          </w:tcPr>
          <w:p>
            <w:pPr>
              <w:spacing w:after="0"/>
              <w:rPr>
                <w:sz w:val="24"/>
                <w:szCs w:val="24"/>
                <w:color w:val="auto"/>
              </w:rPr>
            </w:pPr>
          </w:p>
        </w:tc>
      </w:tr>
      <w:tr>
        <w:trPr>
          <w:trHeight w:val="224"/>
        </w:trPr>
        <w:tc>
          <w:tcPr>
            <w:tcW w:w="2120" w:type="dxa"/>
            <w:vAlign w:val="bottom"/>
          </w:tcPr>
          <w:p>
            <w:pPr>
              <w:spacing w:after="0"/>
              <w:rPr>
                <w:sz w:val="19"/>
                <w:szCs w:val="19"/>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88"/>
              </w:rPr>
              <w:t>Dallas, Texas 75201</w:t>
            </w:r>
          </w:p>
        </w:tc>
        <w:tc>
          <w:tcPr>
            <w:tcW w:w="1940" w:type="dxa"/>
            <w:vAlign w:val="bottom"/>
          </w:tcPr>
          <w:p>
            <w:pPr>
              <w:spacing w:after="0"/>
              <w:rPr>
                <w:sz w:val="19"/>
                <w:szCs w:val="19"/>
                <w:color w:val="auto"/>
              </w:rPr>
            </w:pPr>
          </w:p>
        </w:tc>
      </w:tr>
      <w:tr>
        <w:trPr>
          <w:trHeight w:val="206"/>
        </w:trPr>
        <w:tc>
          <w:tcPr>
            <w:tcW w:w="212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1940" w:type="dxa"/>
            <w:vAlign w:val="bottom"/>
          </w:tcPr>
          <w:p>
            <w:pPr>
              <w:spacing w:after="0"/>
              <w:rPr>
                <w:sz w:val="17"/>
                <w:szCs w:val="17"/>
                <w:color w:val="auto"/>
              </w:rPr>
            </w:pPr>
          </w:p>
        </w:tc>
      </w:tr>
      <w:tr>
        <w:trPr>
          <w:trHeight w:val="415"/>
        </w:trPr>
        <w:tc>
          <w:tcPr>
            <w:tcW w:w="2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(214) 756-6900</w:t>
            </w:r>
          </w:p>
        </w:tc>
        <w:tc>
          <w:tcPr>
            <w:tcW w:w="1940" w:type="dxa"/>
            <w:vAlign w:val="bottom"/>
          </w:tcPr>
          <w:p>
            <w:pPr>
              <w:spacing w:after="0"/>
              <w:rPr>
                <w:sz w:val="24"/>
                <w:szCs w:val="24"/>
                <w:color w:val="auto"/>
              </w:rPr>
            </w:pPr>
          </w:p>
        </w:tc>
      </w:tr>
      <w:tr>
        <w:trPr>
          <w:trHeight w:val="206"/>
        </w:trPr>
        <w:tc>
          <w:tcPr>
            <w:tcW w:w="212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1940" w:type="dxa"/>
            <w:vAlign w:val="bottom"/>
          </w:tcPr>
          <w:p>
            <w:pPr>
              <w:spacing w:after="0"/>
              <w:rPr>
                <w:sz w:val="17"/>
                <w:szCs w:val="17"/>
                <w:color w:val="auto"/>
              </w:rPr>
            </w:pPr>
          </w:p>
        </w:tc>
      </w:tr>
      <w:tr>
        <w:trPr>
          <w:trHeight w:val="415"/>
        </w:trPr>
        <w:tc>
          <w:tcPr>
            <w:tcW w:w="2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1940" w:type="dxa"/>
            <w:vAlign w:val="bottom"/>
          </w:tcPr>
          <w:p>
            <w:pPr>
              <w:spacing w:after="0"/>
              <w:rPr>
                <w:sz w:val="24"/>
                <w:szCs w:val="24"/>
                <w:color w:val="auto"/>
              </w:rPr>
            </w:pPr>
          </w:p>
        </w:tc>
      </w:tr>
      <w:tr>
        <w:trPr>
          <w:trHeight w:val="206"/>
        </w:trPr>
        <w:tc>
          <w:tcPr>
            <w:tcW w:w="212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9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30" w:lineRule="exact"/>
        <w:rPr>
          <w:sz w:val="24"/>
          <w:szCs w:val="24"/>
          <w:color w:val="auto"/>
        </w:rPr>
      </w:pPr>
    </w:p>
    <w:p>
      <w:pPr>
        <w:ind w:left="700" w:hanging="674"/>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00" w:hanging="674"/>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00" w:hanging="674"/>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00" w:hanging="674"/>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620"/>
          </w:cols>
          <w:pgMar w:left="320" w:top="1057" w:right="959" w:bottom="1440" w:gutter="0" w:footer="0" w:header="0"/>
        </w:sectPr>
      </w:pPr>
    </w:p>
    <w:bookmarkStart w:id="1" w:name="page2"/>
    <w:bookmarkEnd w:id="1"/>
    <w:p>
      <w:pPr>
        <w:ind w:left="1300" w:right="160" w:hanging="1295"/>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previously announced and as further described under Item 5.07, on April 29, 2020, Westwood Holdings Group, Inc. (the “Company”) held its annual meeting of stockholders in Dallas, Texas (the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Company’s stockholders approved the Seventh Amended and Restated Westwood Holdings Group, Inc. Stock Incentive Plan (the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material revisions of the Incentive Plan included:</w:t>
      </w:r>
    </w:p>
    <w:p>
      <w:pPr>
        <w:spacing w:after="0" w:line="4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Incentive Plan by 350,000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Incentive Plan was included as Appendix A to the Definitive Proxy Statement filed with the SEC on March 6,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At the Annual Meeting, the following Proposals 1, 2, 3, and 4 were approved by the Company’s stockholders. No other business was brought before the Annual Meeting. The Proposals are described in detail in the Company’s definitive proxy statement filed with the SEC on March 6, 2020. The voting results for the Annual Meeting are set forth below.</w:t>
      </w:r>
    </w:p>
    <w:p>
      <w:pPr>
        <w:spacing w:after="0" w:line="143" w:lineRule="exact"/>
        <w:rPr>
          <w:sz w:val="20"/>
          <w:szCs w:val="20"/>
          <w:color w:val="auto"/>
        </w:rPr>
      </w:pPr>
    </w:p>
    <w:p>
      <w:pPr>
        <w:ind w:left="580" w:right="240" w:hanging="329"/>
        <w:spacing w:after="0" w:line="276" w:lineRule="auto"/>
        <w:tabs>
          <w:tab w:leader="none" w:pos="57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Nominee</w:t>
            </w:r>
          </w:p>
        </w:tc>
        <w:tc>
          <w:tcPr>
            <w:tcW w:w="1740" w:type="dxa"/>
            <w:vAlign w:val="bottom"/>
            <w:gridSpan w:val="2"/>
          </w:tcPr>
          <w:p>
            <w:pPr>
              <w:ind w:left="700"/>
              <w:spacing w:after="0"/>
              <w:rPr>
                <w:sz w:val="20"/>
                <w:szCs w:val="20"/>
                <w:color w:val="auto"/>
              </w:rPr>
            </w:pPr>
            <w:r>
              <w:rPr>
                <w:rFonts w:ascii="Arial" w:cs="Arial" w:eastAsia="Arial" w:hAnsi="Arial"/>
                <w:sz w:val="14"/>
                <w:szCs w:val="14"/>
                <w:b w:val="1"/>
                <w:bCs w:val="1"/>
                <w:color w:val="auto"/>
              </w:rPr>
              <w:t>For</w:t>
            </w:r>
          </w:p>
        </w:tc>
        <w:tc>
          <w:tcPr>
            <w:tcW w:w="1740" w:type="dxa"/>
            <w:vAlign w:val="bottom"/>
            <w:gridSpan w:val="2"/>
          </w:tcPr>
          <w:p>
            <w:pPr>
              <w:ind w:left="520"/>
              <w:spacing w:after="0"/>
              <w:rPr>
                <w:sz w:val="20"/>
                <w:szCs w:val="20"/>
                <w:color w:val="auto"/>
              </w:rPr>
            </w:pPr>
            <w:r>
              <w:rPr>
                <w:rFonts w:ascii="Arial" w:cs="Arial" w:eastAsia="Arial" w:hAnsi="Arial"/>
                <w:sz w:val="14"/>
                <w:szCs w:val="14"/>
                <w:b w:val="1"/>
                <w:bCs w:val="1"/>
                <w:color w:val="auto"/>
              </w:rPr>
              <w:t>Withheld</w:t>
            </w:r>
          </w:p>
        </w:tc>
        <w:tc>
          <w:tcPr>
            <w:tcW w:w="1660" w:type="dxa"/>
            <w:vAlign w:val="bottom"/>
          </w:tcPr>
          <w:p>
            <w:pPr>
              <w:jc w:val="right"/>
              <w:ind w:right="213"/>
              <w:spacing w:after="0"/>
              <w:rPr>
                <w:sz w:val="20"/>
                <w:szCs w:val="20"/>
                <w:color w:val="auto"/>
              </w:rPr>
            </w:pPr>
            <w:r>
              <w:rPr>
                <w:rFonts w:ascii="Arial" w:cs="Arial" w:eastAsia="Arial" w:hAnsi="Arial"/>
                <w:sz w:val="14"/>
                <w:szCs w:val="14"/>
                <w:b w:val="1"/>
                <w:bCs w:val="1"/>
                <w:color w:val="auto"/>
              </w:rPr>
              <w:t>Broker Non-Vote</w:t>
            </w:r>
          </w:p>
        </w:tc>
      </w:tr>
      <w:tr>
        <w:trPr>
          <w:trHeight w:val="250"/>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6,700,014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121,195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1,035,356</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Richard M. Frank</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4,289,787</w:t>
            </w:r>
          </w:p>
        </w:tc>
        <w:tc>
          <w:tcPr>
            <w:tcW w:w="120" w:type="dxa"/>
            <w:vAlign w:val="bottom"/>
          </w:tcPr>
          <w:p>
            <w:pPr>
              <w:spacing w:after="0"/>
              <w:rPr>
                <w:sz w:val="21"/>
                <w:szCs w:val="21"/>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2,531,422</w:t>
            </w:r>
          </w:p>
        </w:tc>
        <w:tc>
          <w:tcPr>
            <w:tcW w:w="100" w:type="dxa"/>
            <w:vAlign w:val="bottom"/>
          </w:tcPr>
          <w:p>
            <w:pPr>
              <w:spacing w:after="0"/>
              <w:rPr>
                <w:sz w:val="21"/>
                <w:szCs w:val="21"/>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1,035,356</w:t>
            </w:r>
          </w:p>
        </w:tc>
      </w:tr>
      <w:tr>
        <w:trPr>
          <w:trHeight w:val="27"/>
        </w:trPr>
        <w:tc>
          <w:tcPr>
            <w:tcW w:w="2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6,601,722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219,487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1,035,356</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Ellen H. Masterson</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4,310,054</w:t>
            </w:r>
          </w:p>
        </w:tc>
        <w:tc>
          <w:tcPr>
            <w:tcW w:w="120" w:type="dxa"/>
            <w:vAlign w:val="bottom"/>
          </w:tcPr>
          <w:p>
            <w:pPr>
              <w:spacing w:after="0"/>
              <w:rPr>
                <w:sz w:val="21"/>
                <w:szCs w:val="21"/>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2,511,155</w:t>
            </w:r>
          </w:p>
        </w:tc>
        <w:tc>
          <w:tcPr>
            <w:tcW w:w="100" w:type="dxa"/>
            <w:vAlign w:val="bottom"/>
          </w:tcPr>
          <w:p>
            <w:pPr>
              <w:spacing w:after="0"/>
              <w:rPr>
                <w:sz w:val="21"/>
                <w:szCs w:val="21"/>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1,035,356</w:t>
            </w:r>
          </w:p>
        </w:tc>
      </w:tr>
      <w:tr>
        <w:trPr>
          <w:trHeight w:val="27"/>
        </w:trPr>
        <w:tc>
          <w:tcPr>
            <w:tcW w:w="2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Geoffrey R. Norman</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4,292,492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2,528,717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1,035,356</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Raymond E. Wooldridge</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4,040,698</w:t>
            </w:r>
          </w:p>
        </w:tc>
        <w:tc>
          <w:tcPr>
            <w:tcW w:w="120" w:type="dxa"/>
            <w:vAlign w:val="bottom"/>
          </w:tcPr>
          <w:p>
            <w:pPr>
              <w:spacing w:after="0"/>
              <w:rPr>
                <w:sz w:val="21"/>
                <w:szCs w:val="21"/>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2,780,511</w:t>
            </w:r>
          </w:p>
        </w:tc>
        <w:tc>
          <w:tcPr>
            <w:tcW w:w="100" w:type="dxa"/>
            <w:vAlign w:val="bottom"/>
          </w:tcPr>
          <w:p>
            <w:pPr>
              <w:spacing w:after="0"/>
              <w:rPr>
                <w:sz w:val="21"/>
                <w:szCs w:val="21"/>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1,035,356</w:t>
            </w:r>
          </w:p>
        </w:tc>
      </w:tr>
    </w:tbl>
    <w:p>
      <w:pPr>
        <w:spacing w:after="0" w:line="200" w:lineRule="exact"/>
        <w:rPr>
          <w:sz w:val="20"/>
          <w:szCs w:val="20"/>
          <w:color w:val="auto"/>
        </w:rPr>
      </w:pPr>
    </w:p>
    <w:p>
      <w:pPr>
        <w:spacing w:after="0" w:line="258" w:lineRule="exact"/>
        <w:rPr>
          <w:sz w:val="20"/>
          <w:szCs w:val="20"/>
          <w:color w:val="auto"/>
        </w:rPr>
      </w:pPr>
    </w:p>
    <w:p>
      <w:pPr>
        <w:ind w:left="580" w:right="20" w:hanging="329"/>
        <w:spacing w:after="0" w:line="276"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stockholders ratified Deloitte &amp; Touche LLP as the Company’s independent auditors for the year ending December 31, 2020. The voting results for this Proposal 2 were as follows:</w:t>
      </w:r>
    </w:p>
    <w:p>
      <w:pPr>
        <w:spacing w:after="0" w:line="2" w:lineRule="exact"/>
        <w:rPr>
          <w:sz w:val="20"/>
          <w:szCs w:val="20"/>
          <w:color w:val="auto"/>
        </w:rPr>
      </w:pPr>
    </w:p>
    <w:tbl>
      <w:tblPr>
        <w:tblLayout w:type="fixed"/>
        <w:tblInd w:w="2620" w:type="dxa"/>
        <w:tblCellMar>
          <w:top w:w="0" w:type="dxa"/>
          <w:left w:w="0" w:type="dxa"/>
          <w:bottom w:w="0" w:type="dxa"/>
          <w:right w:w="0" w:type="dxa"/>
        </w:tblCellMar>
      </w:tblPr>
      <w:tr>
        <w:trPr>
          <w:trHeight w:val="192"/>
        </w:trPr>
        <w:tc>
          <w:tcPr>
            <w:tcW w:w="2040" w:type="dxa"/>
            <w:vAlign w:val="bottom"/>
            <w:gridSpan w:val="2"/>
          </w:tcPr>
          <w:p>
            <w:pPr>
              <w:ind w:left="840"/>
              <w:spacing w:after="0"/>
              <w:rPr>
                <w:sz w:val="20"/>
                <w:szCs w:val="20"/>
                <w:color w:val="auto"/>
              </w:rPr>
            </w:pPr>
            <w:r>
              <w:rPr>
                <w:rFonts w:ascii="Arial" w:cs="Arial" w:eastAsia="Arial" w:hAnsi="Arial"/>
                <w:sz w:val="14"/>
                <w:szCs w:val="14"/>
                <w:b w:val="1"/>
                <w:bCs w:val="1"/>
                <w:color w:val="auto"/>
              </w:rPr>
              <w:t>For</w:t>
            </w:r>
          </w:p>
        </w:tc>
        <w:tc>
          <w:tcPr>
            <w:tcW w:w="2040" w:type="dxa"/>
            <w:vAlign w:val="bottom"/>
            <w:gridSpan w:val="2"/>
          </w:tcPr>
          <w:p>
            <w:pPr>
              <w:ind w:left="720"/>
              <w:spacing w:after="0"/>
              <w:rPr>
                <w:sz w:val="20"/>
                <w:szCs w:val="20"/>
                <w:color w:val="auto"/>
              </w:rPr>
            </w:pPr>
            <w:r>
              <w:rPr>
                <w:rFonts w:ascii="Arial" w:cs="Arial" w:eastAsia="Arial" w:hAnsi="Arial"/>
                <w:sz w:val="14"/>
                <w:szCs w:val="14"/>
                <w:b w:val="1"/>
                <w:bCs w:val="1"/>
                <w:color w:val="auto"/>
              </w:rPr>
              <w:t>Against</w:t>
            </w:r>
          </w:p>
        </w:tc>
        <w:tc>
          <w:tcPr>
            <w:tcW w:w="1940" w:type="dxa"/>
            <w:vAlign w:val="bottom"/>
          </w:tcPr>
          <w:p>
            <w:pPr>
              <w:jc w:val="right"/>
              <w:ind w:right="659"/>
              <w:spacing w:after="0"/>
              <w:rPr>
                <w:sz w:val="20"/>
                <w:szCs w:val="20"/>
                <w:color w:val="auto"/>
              </w:rPr>
            </w:pPr>
            <w:r>
              <w:rPr>
                <w:rFonts w:ascii="Arial" w:cs="Arial" w:eastAsia="Arial" w:hAnsi="Arial"/>
                <w:sz w:val="14"/>
                <w:szCs w:val="14"/>
                <w:b w:val="1"/>
                <w:bCs w:val="1"/>
                <w:color w:val="auto"/>
              </w:rPr>
              <w:t>Abstain</w:t>
            </w:r>
          </w:p>
        </w:tc>
      </w:tr>
      <w:tr>
        <w:trPr>
          <w:trHeight w:val="243"/>
        </w:trPr>
        <w:tc>
          <w:tcPr>
            <w:tcW w:w="19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7,637,287</w:t>
            </w:r>
          </w:p>
        </w:tc>
        <w:tc>
          <w:tcPr>
            <w:tcW w:w="120" w:type="dxa"/>
            <w:vAlign w:val="bottom"/>
            <w:tcBorders>
              <w:top w:val="single" w:sz="8" w:color="CCEEFF"/>
            </w:tcBorders>
            <w:shd w:val="clear" w:color="auto" w:fill="CCEEFF"/>
          </w:tcPr>
          <w:p>
            <w:pPr>
              <w:spacing w:after="0"/>
              <w:rPr>
                <w:sz w:val="21"/>
                <w:szCs w:val="21"/>
                <w:color w:val="auto"/>
              </w:rPr>
            </w:pPr>
          </w:p>
        </w:tc>
        <w:tc>
          <w:tcPr>
            <w:tcW w:w="1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174,662</w:t>
            </w:r>
          </w:p>
        </w:tc>
        <w:tc>
          <w:tcPr>
            <w:tcW w:w="12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44,616</w:t>
            </w:r>
          </w:p>
        </w:tc>
      </w:tr>
      <w:tr>
        <w:trPr>
          <w:trHeight w:val="27"/>
        </w:trPr>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580" w:right="340" w:hanging="286"/>
        <w:spacing w:after="0" w:line="276"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stockholders approved the Seventh Amended and Restated Westwood Holdings Group, Inc. Stock Incentive Plan. The voting results for this Proposal 3 were as follows:</w:t>
      </w:r>
    </w:p>
    <w:p>
      <w:pPr>
        <w:spacing w:after="0" w:line="2" w:lineRule="exact"/>
        <w:rPr>
          <w:sz w:val="20"/>
          <w:szCs w:val="20"/>
          <w:color w:val="auto"/>
        </w:rPr>
      </w:pPr>
    </w:p>
    <w:tbl>
      <w:tblPr>
        <w:tblLayout w:type="fixed"/>
        <w:tblInd w:w="2080" w:type="dxa"/>
        <w:tblCellMar>
          <w:top w:w="0" w:type="dxa"/>
          <w:left w:w="0" w:type="dxa"/>
          <w:bottom w:w="0" w:type="dxa"/>
          <w:right w:w="0" w:type="dxa"/>
        </w:tblCellMar>
      </w:tblPr>
      <w:tr>
        <w:trPr>
          <w:trHeight w:val="192"/>
        </w:trPr>
        <w:tc>
          <w:tcPr>
            <w:tcW w:w="2020" w:type="dxa"/>
            <w:vAlign w:val="bottom"/>
            <w:gridSpan w:val="2"/>
          </w:tcPr>
          <w:p>
            <w:pPr>
              <w:ind w:left="820"/>
              <w:spacing w:after="0"/>
              <w:rPr>
                <w:sz w:val="20"/>
                <w:szCs w:val="20"/>
                <w:color w:val="auto"/>
              </w:rPr>
            </w:pPr>
            <w:r>
              <w:rPr>
                <w:rFonts w:ascii="Arial" w:cs="Arial" w:eastAsia="Arial" w:hAnsi="Arial"/>
                <w:sz w:val="14"/>
                <w:szCs w:val="14"/>
                <w:b w:val="1"/>
                <w:bCs w:val="1"/>
                <w:color w:val="auto"/>
              </w:rPr>
              <w:t>For</w:t>
            </w:r>
          </w:p>
        </w:tc>
        <w:tc>
          <w:tcPr>
            <w:tcW w:w="1720" w:type="dxa"/>
            <w:vAlign w:val="bottom"/>
            <w:gridSpan w:val="2"/>
          </w:tcPr>
          <w:p>
            <w:pPr>
              <w:ind w:left="560"/>
              <w:spacing w:after="0"/>
              <w:rPr>
                <w:sz w:val="20"/>
                <w:szCs w:val="20"/>
                <w:color w:val="auto"/>
              </w:rPr>
            </w:pPr>
            <w:r>
              <w:rPr>
                <w:rFonts w:ascii="Arial" w:cs="Arial" w:eastAsia="Arial" w:hAnsi="Arial"/>
                <w:sz w:val="14"/>
                <w:szCs w:val="14"/>
                <w:b w:val="1"/>
                <w:bCs w:val="1"/>
                <w:color w:val="auto"/>
              </w:rPr>
              <w:t>Against</w:t>
            </w:r>
          </w:p>
        </w:tc>
        <w:tc>
          <w:tcPr>
            <w:tcW w:w="174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20" w:type="dxa"/>
            <w:vAlign w:val="bottom"/>
          </w:tcPr>
          <w:p>
            <w:pPr>
              <w:jc w:val="right"/>
              <w:ind w:right="19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19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6,075,411</w:t>
            </w:r>
          </w:p>
        </w:tc>
        <w:tc>
          <w:tcPr>
            <w:tcW w:w="12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738,141</w:t>
            </w:r>
          </w:p>
        </w:tc>
        <w:tc>
          <w:tcPr>
            <w:tcW w:w="12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7,657</w:t>
            </w:r>
          </w:p>
        </w:tc>
        <w:tc>
          <w:tcPr>
            <w:tcW w:w="12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1,035,356</w:t>
            </w:r>
          </w:p>
        </w:tc>
      </w:tr>
      <w:tr>
        <w:trPr>
          <w:trHeight w:val="27"/>
        </w:trPr>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80" w:hanging="329"/>
        <w:spacing w:after="0" w:line="293" w:lineRule="auto"/>
        <w:tabs>
          <w:tab w:leader="none" w:pos="51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Proposal 4</w:t>
      </w:r>
      <w:r>
        <w:rPr>
          <w:rFonts w:ascii="Arial" w:cs="Arial" w:eastAsia="Arial" w:hAnsi="Arial"/>
          <w:sz w:val="17"/>
          <w:szCs w:val="17"/>
          <w:color w:val="auto"/>
        </w:rPr>
        <w:t>: The vote on the stockholders approval, on a non-binding, advisory basis, of the Company's executive compensation, did not receive the necessary votes required by law and was therefore not approved. The voting results for this Proposal 4 were as follows:</w:t>
      </w:r>
    </w:p>
    <w:tbl>
      <w:tblPr>
        <w:tblLayout w:type="fixed"/>
        <w:tblInd w:w="2080" w:type="dxa"/>
        <w:tblCellMar>
          <w:top w:w="0" w:type="dxa"/>
          <w:left w:w="0" w:type="dxa"/>
          <w:bottom w:w="0" w:type="dxa"/>
          <w:right w:w="0" w:type="dxa"/>
        </w:tblCellMar>
      </w:tblPr>
      <w:tr>
        <w:trPr>
          <w:trHeight w:val="192"/>
        </w:trPr>
        <w:tc>
          <w:tcPr>
            <w:tcW w:w="2000" w:type="dxa"/>
            <w:vAlign w:val="bottom"/>
            <w:gridSpan w:val="2"/>
          </w:tcPr>
          <w:p>
            <w:pPr>
              <w:ind w:left="820"/>
              <w:spacing w:after="0"/>
              <w:rPr>
                <w:sz w:val="20"/>
                <w:szCs w:val="20"/>
                <w:color w:val="auto"/>
              </w:rPr>
            </w:pPr>
            <w:r>
              <w:rPr>
                <w:rFonts w:ascii="Arial" w:cs="Arial" w:eastAsia="Arial" w:hAnsi="Arial"/>
                <w:sz w:val="14"/>
                <w:szCs w:val="14"/>
                <w:b w:val="1"/>
                <w:bCs w:val="1"/>
                <w:color w:val="auto"/>
              </w:rPr>
              <w:t>For</w:t>
            </w:r>
          </w:p>
        </w:tc>
        <w:tc>
          <w:tcPr>
            <w:tcW w:w="174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74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20" w:type="dxa"/>
            <w:vAlign w:val="bottom"/>
          </w:tcPr>
          <w:p>
            <w:pPr>
              <w:jc w:val="right"/>
              <w:ind w:right="19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1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3,335,488</w:t>
            </w:r>
          </w:p>
        </w:tc>
        <w:tc>
          <w:tcPr>
            <w:tcW w:w="12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3,467,712</w:t>
            </w:r>
          </w:p>
        </w:tc>
        <w:tc>
          <w:tcPr>
            <w:tcW w:w="12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18,009</w:t>
            </w:r>
          </w:p>
        </w:tc>
        <w:tc>
          <w:tcPr>
            <w:tcW w:w="12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1,035,356</w:t>
            </w:r>
          </w:p>
        </w:tc>
      </w:tr>
      <w:tr>
        <w:trPr>
          <w:trHeight w:val="27"/>
        </w:trPr>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ectPr>
          <w:pgSz w:w="11900" w:h="16838" w:orient="portrait"/>
          <w:cols w:equalWidth="0" w:num="1">
            <w:col w:w="11100"/>
          </w:cols>
          <w:pgMar w:left="320" w:top="1053" w:right="47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WESTWOOD HOLDINGS GROUP, INC.</w:t>
      </w:r>
    </w:p>
    <w:p>
      <w:pPr>
        <w:spacing w:after="0" w:line="333"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8"/>
          <w:szCs w:val="18"/>
          <w:color w:val="auto"/>
        </w:rPr>
        <w:t>Date: April 29, 2020</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720"/>
      </w:cols>
      <w:pgMar w:left="320" w:top="89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2020-04-30T17:45:06Z</dcterms:created>
  <dcterms:modified xsi:type="dcterms:W3CDTF">2020-04-30T17:45:06Z</dcterms:modified>
</cp:coreProperties>
</file>