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Forbes Murray III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CRESCENT COURT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1200</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WESTWOOD HOLDINGS GROUP INC</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WHG</w:t>
            </w:r>
            <w:r>
              <w:rPr>
                <w:rFonts w:ascii="Times New Roman" w:cs="Times New Roman" w:eastAsia="Times New Roman" w:hAnsi="Times New Roman"/>
                <w:sz w:val="21"/>
                <w:szCs w:val="21"/>
                <w:color w:val="auto"/>
              </w:rPr>
              <w:t xml:space="preserve"> ]</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02/23/2026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11,098</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65,826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02/23/2026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2,859</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65,826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40"/>
        <w:spacing w:after="0" w:line="272" w:lineRule="auto"/>
        <w:rPr>
          <w:sz w:val="20"/>
          <w:szCs w:val="20"/>
          <w:color w:val="auto"/>
        </w:rPr>
      </w:pPr>
      <w:r>
        <w:rPr>
          <w:rFonts w:ascii="Times New Roman" w:cs="Times New Roman" w:eastAsia="Times New Roman" w:hAnsi="Times New Roman"/>
          <w:sz w:val="13"/>
          <w:szCs w:val="13"/>
          <w:color w:val="00800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Jonathan Richard Nahhat, as</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5464"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2026-03-16T15:29:20Z</dcterms:created>
  <dcterms:modified xsi:type="dcterms:W3CDTF">2026-03-16T15:29:20Z</dcterms:modified>
</cp:coreProperties>
</file>