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4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SCHEDULE 14A INFORMATION</w:t>
      </w:r>
    </w:p>
    <w:p>
      <w:pPr>
        <w:spacing w:after="0" w:line="25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Exchange Act of 1934</w:t>
      </w:r>
    </w:p>
    <w:p>
      <w:pPr>
        <w:spacing w:after="0" w:line="341" w:lineRule="exact"/>
        <w:rPr>
          <w:sz w:val="24"/>
          <w:szCs w:val="24"/>
          <w:color w:val="auto"/>
        </w:rPr>
      </w:pPr>
    </w:p>
    <w:p>
      <w:pPr>
        <w:ind w:left="40"/>
        <w:spacing w:after="0" w:line="161" w:lineRule="exact"/>
        <w:tabs>
          <w:tab w:leader="none" w:pos="2500" w:val="left"/>
        </w:tabs>
        <w:rPr>
          <w:sz w:val="20"/>
          <w:szCs w:val="20"/>
          <w:color w:val="auto"/>
        </w:rPr>
      </w:pPr>
      <w:r>
        <w:rPr>
          <w:rFonts w:ascii="Arial" w:cs="Arial" w:eastAsia="Arial" w:hAnsi="Arial"/>
          <w:sz w:val="14"/>
          <w:szCs w:val="14"/>
          <w:color w:val="auto"/>
        </w:rPr>
        <w:t>Filed by the Registrant x</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Check the appropriate box:</w:t>
      </w:r>
    </w:p>
    <w:p>
      <w:pPr>
        <w:spacing w:after="0" w:line="55"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294"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02" w:lineRule="exact"/>
        <w:rPr>
          <w:sz w:val="24"/>
          <w:szCs w:val="24"/>
          <w:color w:val="auto"/>
        </w:rPr>
      </w:pPr>
    </w:p>
    <w:p>
      <w:pPr>
        <w:ind w:left="500" w:hanging="474"/>
        <w:spacing w:after="0"/>
        <w:tabs>
          <w:tab w:leader="none" w:pos="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Definitive Proxy Statement</w:t>
      </w:r>
    </w:p>
    <w:p>
      <w:pPr>
        <w:spacing w:after="0" w:line="285" w:lineRule="exact"/>
        <w:rPr>
          <w:sz w:val="24"/>
          <w:szCs w:val="24"/>
          <w:color w:val="auto"/>
        </w:rPr>
      </w:pPr>
    </w:p>
    <w:p>
      <w:pPr>
        <w:ind w:left="500" w:hanging="474"/>
        <w:spacing w:after="0"/>
        <w:tabs>
          <w:tab w:leader="none" w:pos="50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298"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2"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1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35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55" w:lineRule="exact"/>
        <w:rPr>
          <w:sz w:val="24"/>
          <w:szCs w:val="24"/>
          <w:color w:val="auto"/>
        </w:rPr>
      </w:pPr>
    </w:p>
    <w:p>
      <w:pPr>
        <w:ind w:left="480" w:hanging="454"/>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 fee required</w:t>
      </w:r>
    </w:p>
    <w:p>
      <w:pPr>
        <w:spacing w:after="0" w:line="200" w:lineRule="exact"/>
        <w:rPr>
          <w:sz w:val="24"/>
          <w:szCs w:val="24"/>
          <w:color w:val="auto"/>
        </w:rPr>
      </w:pPr>
    </w:p>
    <w:p>
      <w:pPr>
        <w:spacing w:after="0" w:line="23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392"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8" w:lineRule="exact"/>
        <w:rPr>
          <w:rFonts w:ascii="Arial" w:cs="Arial" w:eastAsia="Arial" w:hAnsi="Arial"/>
          <w:sz w:val="14"/>
          <w:szCs w:val="14"/>
          <w:color w:val="auto"/>
        </w:rPr>
      </w:pPr>
    </w:p>
    <w:p>
      <w:pPr>
        <w:ind w:left="940" w:hanging="455"/>
        <w:spacing w:after="0"/>
        <w:tabs>
          <w:tab w:leader="none" w:pos="940" w:val="left"/>
        </w:tabs>
        <w:numPr>
          <w:ilvl w:val="2"/>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8" w:lineRule="exact"/>
        <w:rPr>
          <w:rFonts w:ascii="Arial" w:cs="Arial" w:eastAsia="Arial" w:hAnsi="Arial"/>
          <w:sz w:val="14"/>
          <w:szCs w:val="14"/>
          <w:color w:val="auto"/>
        </w:rPr>
      </w:pPr>
    </w:p>
    <w:p>
      <w:pPr>
        <w:ind w:left="940" w:hanging="442"/>
        <w:spacing w:after="0" w:line="253" w:lineRule="auto"/>
        <w:tabs>
          <w:tab w:leader="none" w:pos="940" w:val="left"/>
        </w:tabs>
        <w:numPr>
          <w:ilvl w:val="3"/>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48" w:lineRule="exact"/>
        <w:rPr>
          <w:rFonts w:ascii="Arial" w:cs="Arial" w:eastAsia="Arial" w:hAnsi="Arial"/>
          <w:sz w:val="14"/>
          <w:szCs w:val="14"/>
          <w:color w:val="auto"/>
        </w:rPr>
      </w:pPr>
    </w:p>
    <w:p>
      <w:pPr>
        <w:ind w:left="960" w:hanging="462"/>
        <w:spacing w:after="0"/>
        <w:tabs>
          <w:tab w:leader="none" w:pos="960" w:val="left"/>
        </w:tabs>
        <w:numPr>
          <w:ilvl w:val="3"/>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8" w:lineRule="exact"/>
        <w:rPr>
          <w:rFonts w:ascii="Arial" w:cs="Arial" w:eastAsia="Arial" w:hAnsi="Arial"/>
          <w:sz w:val="14"/>
          <w:szCs w:val="14"/>
          <w:color w:val="auto"/>
        </w:rPr>
      </w:pPr>
    </w:p>
    <w:p>
      <w:pPr>
        <w:ind w:left="940" w:hanging="469"/>
        <w:spacing w:after="0"/>
        <w:tabs>
          <w:tab w:leader="none" w:pos="940" w:val="left"/>
        </w:tabs>
        <w:numPr>
          <w:ilvl w:val="1"/>
          <w:numId w:val="6"/>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-1024255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44" w:right="539" w:bottom="1440" w:gutter="0" w:footer="0" w:header="0"/>
        </w:sectPr>
      </w:pPr>
    </w:p>
    <w:bookmarkStart w:id="1" w:name="page2"/>
    <w:bookmarkEnd w:id="1"/>
    <w:p>
      <w:pPr>
        <w:ind w:left="454" w:hanging="454"/>
        <w:spacing w:after="0"/>
        <w:tabs>
          <w:tab w:leader="none" w:pos="45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Fee paid previously with preliminary materials.</w:t>
      </w:r>
    </w:p>
    <w:p>
      <w:pPr>
        <w:spacing w:after="0" w:line="392" w:lineRule="exact"/>
        <w:rPr>
          <w:rFonts w:ascii="MS PGothic" w:cs="MS PGothic" w:eastAsia="MS PGothic" w:hAnsi="MS PGothic"/>
          <w:sz w:val="14"/>
          <w:szCs w:val="14"/>
          <w:color w:val="auto"/>
        </w:rPr>
      </w:pPr>
    </w:p>
    <w:p>
      <w:pPr>
        <w:ind w:left="474" w:hanging="474"/>
        <w:spacing w:after="0" w:line="253" w:lineRule="auto"/>
        <w:tabs>
          <w:tab w:leader="none" w:pos="474" w:val="left"/>
        </w:tabs>
        <w:numPr>
          <w:ilvl w:val="0"/>
          <w:numId w:val="7"/>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35" w:lineRule="exact"/>
        <w:rPr>
          <w:rFonts w:ascii="MS PGothic" w:cs="MS PGothic" w:eastAsia="MS PGothic" w:hAnsi="MS PGothic"/>
          <w:sz w:val="14"/>
          <w:szCs w:val="14"/>
          <w:color w:val="auto"/>
        </w:rPr>
      </w:pPr>
    </w:p>
    <w:p>
      <w:pPr>
        <w:ind w:left="934" w:hanging="462"/>
        <w:spacing w:after="0"/>
        <w:tabs>
          <w:tab w:leader="none" w:pos="934" w:val="left"/>
        </w:tabs>
        <w:numPr>
          <w:ilvl w:val="2"/>
          <w:numId w:val="7"/>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8" w:lineRule="exact"/>
        <w:rPr>
          <w:rFonts w:ascii="Arial" w:cs="Arial" w:eastAsia="Arial" w:hAnsi="Arial"/>
          <w:sz w:val="14"/>
          <w:szCs w:val="14"/>
          <w:color w:val="auto"/>
        </w:rPr>
      </w:pPr>
    </w:p>
    <w:p>
      <w:pPr>
        <w:ind w:left="914" w:hanging="442"/>
        <w:spacing w:after="0"/>
        <w:tabs>
          <w:tab w:leader="none" w:pos="914" w:val="left"/>
        </w:tabs>
        <w:numPr>
          <w:ilvl w:val="2"/>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78" w:lineRule="exact"/>
        <w:rPr>
          <w:rFonts w:ascii="Arial" w:cs="Arial" w:eastAsia="Arial" w:hAnsi="Arial"/>
          <w:sz w:val="14"/>
          <w:szCs w:val="14"/>
          <w:color w:val="auto"/>
        </w:rPr>
      </w:pPr>
    </w:p>
    <w:p>
      <w:pPr>
        <w:ind w:left="914" w:hanging="455"/>
        <w:spacing w:after="0"/>
        <w:tabs>
          <w:tab w:leader="none" w:pos="914" w:val="left"/>
        </w:tabs>
        <w:numPr>
          <w:ilvl w:val="1"/>
          <w:numId w:val="8"/>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51" w:lineRule="exact"/>
        <w:rPr>
          <w:rFonts w:ascii="Arial" w:cs="Arial" w:eastAsia="Arial" w:hAnsi="Arial"/>
          <w:sz w:val="14"/>
          <w:szCs w:val="14"/>
          <w:color w:val="auto"/>
        </w:rPr>
      </w:pPr>
    </w:p>
    <w:p>
      <w:pPr>
        <w:ind w:left="914" w:hanging="455"/>
        <w:spacing w:after="0"/>
        <w:tabs>
          <w:tab w:leader="none" w:pos="914" w:val="left"/>
        </w:tabs>
        <w:numPr>
          <w:ilvl w:val="1"/>
          <w:numId w:val="8"/>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-1666875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-1007110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-363855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34"/>
          </w:cols>
          <w:pgMar w:left="346" w:top="1174" w:right="419" w:bottom="1440" w:gutter="0" w:footer="0" w:header="0"/>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294640</wp:posOffset>
            </wp:positionV>
            <wp:extent cx="1423035" cy="4546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6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You are cordially invited to attend the 2020 Annual Meeting of Stockholders of Westwood Holdings Group, Inc., which will be held on Wednesday, April 29, 2020, at 10:00 a.m., Central Time, at The Crescent Club, 200 Crescent Court, Suite 1700, Dallas, Texas 75201. The official Notice of Annual Meeting together with a proxy statement and proxy card are enclosed. Please give this information your careful attention.</w:t>
      </w:r>
    </w:p>
    <w:p>
      <w:pPr>
        <w:spacing w:after="0" w:line="57"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Westwood invites all stockholders to attend the meeting in person. Whether or not you expect to attend the annual meeting, we urge you to complete, sign, date and promptly return the accompanying proxy card in the enclosed postage-paid envelope, or vote by Internet by following the instructions in the Notice of Annual Meeting, to assure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attending the meeting and voting in person.</w:t>
      </w:r>
    </w:p>
    <w:p>
      <w:pPr>
        <w:spacing w:after="0" w:line="39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-121920</wp:posOffset>
            </wp:positionV>
            <wp:extent cx="9772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36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80"/>
        <w:spacing w:after="0"/>
        <w:rPr>
          <w:sz w:val="20"/>
          <w:szCs w:val="20"/>
          <w:color w:val="auto"/>
        </w:rPr>
      </w:pPr>
      <w:r>
        <w:rPr>
          <w:rFonts w:ascii="Arial" w:cs="Arial" w:eastAsia="Arial" w:hAnsi="Arial"/>
          <w:sz w:val="12"/>
          <w:szCs w:val="12"/>
          <w:color w:val="auto"/>
        </w:rPr>
        <w:t>WESTWOOD MANAGEMENT • WESTWOOD TRUST • WESTWOOD ADVISORS • WESTWOOD INTERNATIONAL ADVISORS</w:t>
      </w:r>
    </w:p>
    <w:p>
      <w:pPr>
        <w:spacing w:after="0" w:line="7" w:lineRule="exact"/>
        <w:rPr>
          <w:sz w:val="20"/>
          <w:szCs w:val="20"/>
          <w:color w:val="auto"/>
        </w:rPr>
      </w:pPr>
    </w:p>
    <w:p>
      <w:pPr>
        <w:jc w:val="center"/>
        <w:ind w:right="980"/>
        <w:spacing w:after="0"/>
        <w:rPr>
          <w:sz w:val="20"/>
          <w:szCs w:val="20"/>
          <w:color w:val="auto"/>
        </w:rPr>
      </w:pPr>
      <w:r>
        <w:rPr>
          <w:rFonts w:ascii="Arial" w:cs="Arial" w:eastAsia="Arial" w:hAnsi="Arial"/>
          <w:sz w:val="12"/>
          <w:szCs w:val="12"/>
          <w:color w:val="auto"/>
        </w:rPr>
        <w:t>200 CRESCENT COURT, SUITE 1200 • DALLAS, TEXAS 75201 • T.214.756.6900 • F.214.756.6979 • westwoodgroup.com</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80" w:type="dxa"/>
            <w:vAlign w:val="bottom"/>
            <w:gridSpan w:val="8"/>
          </w:tcPr>
          <w:p>
            <w:pPr>
              <w:ind w:left="60"/>
              <w:spacing w:after="0"/>
              <w:rPr>
                <w:sz w:val="20"/>
                <w:szCs w:val="20"/>
                <w:color w:val="auto"/>
              </w:rPr>
            </w:pPr>
            <w:r>
              <w:rPr>
                <w:rFonts w:ascii="Arial" w:cs="Arial" w:eastAsia="Arial" w:hAnsi="Arial"/>
                <w:sz w:val="14"/>
                <w:szCs w:val="14"/>
                <w:b w:val="1"/>
                <w:bCs w:val="1"/>
                <w:color w:val="auto"/>
              </w:rPr>
              <w:t>TABLE OF CONTENTS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8"/>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10300" w:type="dxa"/>
            <w:vAlign w:val="bottom"/>
            <w:gridSpan w:val="39"/>
            <w:vMerge w:val="restart"/>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NOTICE OF ANNUAL MEETING OF STOCKHOLDERS</w:t>
              </w:r>
            </w:hyperlink>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0300" w:type="dxa"/>
            <w:vAlign w:val="bottom"/>
            <w:gridSpan w:val="39"/>
            <w:vMerge w:val="continue"/>
          </w:tcPr>
          <w:p>
            <w:pPr>
              <w:spacing w:after="0"/>
              <w:rPr>
                <w:sz w:val="13"/>
                <w:szCs w:val="13"/>
                <w:color w:val="auto"/>
              </w:rPr>
            </w:pPr>
          </w:p>
        </w:tc>
        <w:tc>
          <w:tcPr>
            <w:tcW w:w="620" w:type="dxa"/>
            <w:vAlign w:val="bottom"/>
          </w:tcPr>
          <w:p>
            <w:pPr>
              <w:jc w:val="right"/>
              <w:spacing w:after="0" w:line="142" w:lineRule="exact"/>
              <w:rPr>
                <w:rFonts w:ascii="Arial" w:cs="Arial" w:eastAsia="Arial" w:hAnsi="Arial"/>
                <w:sz w:val="16"/>
                <w:szCs w:val="16"/>
                <w:color w:val="0000FF"/>
              </w:rPr>
            </w:pPr>
            <w:hyperlink w:anchor="page4">
              <w:r>
                <w:rPr>
                  <w:rFonts w:ascii="Arial" w:cs="Arial" w:eastAsia="Arial" w:hAnsi="Arial"/>
                  <w:sz w:val="16"/>
                  <w:szCs w:val="16"/>
                  <w:color w:val="0000FF"/>
                </w:rPr>
                <w:t>i</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tcBorders>
              <w:bottom w:val="single" w:sz="8" w:color="0000FF"/>
            </w:tcBorders>
            <w:gridSpan w:val="31"/>
          </w:tcPr>
          <w:p>
            <w:pPr>
              <w:spacing w:after="0"/>
              <w:rPr>
                <w:rFonts w:ascii="Arial" w:cs="Arial" w:eastAsia="Arial" w:hAnsi="Arial"/>
                <w:sz w:val="16"/>
                <w:szCs w:val="16"/>
                <w:color w:val="0000FF"/>
                <w:w w:val="99"/>
              </w:rPr>
            </w:pPr>
            <w:hyperlink w:anchor="page5">
              <w:r>
                <w:rPr>
                  <w:rFonts w:ascii="Arial" w:cs="Arial" w:eastAsia="Arial" w:hAnsi="Arial"/>
                  <w:sz w:val="16"/>
                  <w:szCs w:val="16"/>
                  <w:color w:val="0000FF"/>
                  <w:w w:val="99"/>
                </w:rPr>
                <w:t>NOTICE OF INTERNET AVAILABILITY OF PROXY MATERIALS</w:t>
              </w:r>
            </w:hyperlink>
          </w:p>
        </w:tc>
        <w:tc>
          <w:tcPr>
            <w:tcW w:w="5680" w:type="dxa"/>
            <w:vAlign w:val="bottom"/>
            <w:gridSpan w:val="8"/>
          </w:tcPr>
          <w:p>
            <w:pPr>
              <w:spacing w:after="0"/>
              <w:rPr>
                <w:sz w:val="22"/>
                <w:szCs w:val="22"/>
                <w:color w:val="auto"/>
              </w:rPr>
            </w:pPr>
          </w:p>
        </w:tc>
        <w:tc>
          <w:tcPr>
            <w:tcW w:w="620" w:type="dxa"/>
            <w:vAlign w:val="bottom"/>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ii</w:t>
              </w:r>
            </w:hyperlink>
          </w:p>
        </w:tc>
        <w:tc>
          <w:tcPr>
            <w:tcW w:w="0" w:type="dxa"/>
            <w:vAlign w:val="bottom"/>
          </w:tcPr>
          <w:p>
            <w:pPr>
              <w:spacing w:after="0"/>
              <w:rPr>
                <w:sz w:val="1"/>
                <w:szCs w:val="1"/>
                <w:color w:val="auto"/>
              </w:rPr>
            </w:pPr>
          </w:p>
        </w:tc>
      </w:tr>
      <w:tr>
        <w:trPr>
          <w:trHeight w:val="250"/>
        </w:trPr>
        <w:tc>
          <w:tcPr>
            <w:tcW w:w="2920" w:type="dxa"/>
            <w:vAlign w:val="bottom"/>
            <w:tcBorders>
              <w:bottom w:val="single" w:sz="8" w:color="0000FF"/>
            </w:tcBorders>
            <w:gridSpan w:val="20"/>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GENERAL QUESTIONS AND ANSWERS</w:t>
              </w:r>
            </w:hyperlink>
          </w:p>
        </w:tc>
        <w:tc>
          <w:tcPr>
            <w:tcW w:w="7380" w:type="dxa"/>
            <w:vAlign w:val="bottom"/>
            <w:gridSpan w:val="19"/>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00" w:type="dxa"/>
            <w:vAlign w:val="bottom"/>
            <w:tcBorders>
              <w:bottom w:val="single" w:sz="8" w:color="0000FF"/>
            </w:tcBorders>
            <w:gridSpan w:val="7"/>
          </w:tcPr>
          <w:p>
            <w:pP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The Annual Meeting</w:t>
              </w:r>
            </w:hyperlink>
          </w:p>
        </w:tc>
        <w:tc>
          <w:tcPr>
            <w:tcW w:w="8560" w:type="dxa"/>
            <w:vAlign w:val="bottom"/>
            <w:gridSpan w:val="31"/>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1</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60" w:type="dxa"/>
            <w:vAlign w:val="bottom"/>
            <w:tcBorders>
              <w:bottom w:val="single" w:sz="8" w:color="0000FF"/>
            </w:tcBorders>
            <w:gridSpan w:val="8"/>
          </w:tcPr>
          <w:p>
            <w:pPr>
              <w:spacing w:after="0"/>
              <w:rPr>
                <w:rFonts w:ascii="Arial" w:cs="Arial" w:eastAsia="Arial" w:hAnsi="Arial"/>
                <w:sz w:val="16"/>
                <w:szCs w:val="16"/>
                <w:color w:val="0000FF"/>
                <w:w w:val="86"/>
              </w:rPr>
            </w:pPr>
            <w:hyperlink w:anchor="page9">
              <w:r>
                <w:rPr>
                  <w:rFonts w:ascii="Arial" w:cs="Arial" w:eastAsia="Arial" w:hAnsi="Arial"/>
                  <w:sz w:val="16"/>
                  <w:szCs w:val="16"/>
                  <w:color w:val="0000FF"/>
                  <w:w w:val="86"/>
                </w:rPr>
                <w:t>Procedures for Voting</w:t>
              </w:r>
            </w:hyperlink>
          </w:p>
        </w:tc>
        <w:tc>
          <w:tcPr>
            <w:tcW w:w="8500" w:type="dxa"/>
            <w:vAlign w:val="bottom"/>
            <w:gridSpan w:val="30"/>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Our Current Stock Ownership</w:t>
              </w:r>
            </w:hyperlink>
          </w:p>
        </w:tc>
        <w:tc>
          <w:tcPr>
            <w:tcW w:w="620" w:type="dxa"/>
            <w:vAlign w:val="bottom"/>
          </w:tcPr>
          <w:p>
            <w:pPr>
              <w:jc w:val="right"/>
              <w:spacing w:after="0"/>
              <w:rPr>
                <w:rFonts w:ascii="Arial" w:cs="Arial" w:eastAsia="Arial" w:hAnsi="Arial"/>
                <w:sz w:val="16"/>
                <w:szCs w:val="16"/>
                <w:color w:val="0000FF"/>
              </w:rPr>
            </w:pPr>
            <w:hyperlink w:anchor="page9">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20" w:type="dxa"/>
            <w:vAlign w:val="bottom"/>
            <w:tcBorders>
              <w:top w:val="single" w:sz="8" w:color="0000FF"/>
              <w:bottom w:val="single" w:sz="8" w:color="0000FF"/>
            </w:tcBorders>
            <w:gridSpan w:val="5"/>
          </w:tcPr>
          <w:p>
            <w:pPr>
              <w:spacing w:after="0"/>
              <w:rPr>
                <w:rFonts w:ascii="Arial" w:cs="Arial" w:eastAsia="Arial" w:hAnsi="Arial"/>
                <w:sz w:val="16"/>
                <w:szCs w:val="16"/>
                <w:color w:val="0000FF"/>
                <w:w w:val="88"/>
              </w:rPr>
            </w:pPr>
            <w:hyperlink w:anchor="page10">
              <w:r>
                <w:rPr>
                  <w:rFonts w:ascii="Arial" w:cs="Arial" w:eastAsia="Arial" w:hAnsi="Arial"/>
                  <w:sz w:val="16"/>
                  <w:szCs w:val="16"/>
                  <w:color w:val="0000FF"/>
                  <w:w w:val="88"/>
                </w:rPr>
                <w:t>Other Information</w:t>
              </w:r>
            </w:hyperlink>
          </w:p>
        </w:tc>
        <w:tc>
          <w:tcPr>
            <w:tcW w:w="760" w:type="dxa"/>
            <w:vAlign w:val="bottom"/>
            <w:tcBorders>
              <w:top w:val="single" w:sz="8" w:color="0000FF"/>
            </w:tcBorders>
            <w:gridSpan w:val="7"/>
          </w:tcPr>
          <w:p>
            <w:pPr>
              <w:spacing w:after="0"/>
              <w:rPr>
                <w:sz w:val="17"/>
                <w:szCs w:val="17"/>
                <w:color w:val="auto"/>
              </w:rPr>
            </w:pPr>
          </w:p>
        </w:tc>
        <w:tc>
          <w:tcPr>
            <w:tcW w:w="7980" w:type="dxa"/>
            <w:vAlign w:val="bottom"/>
            <w:gridSpan w:val="26"/>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PROPOSAL 1: ELECTION OF DIRECTORS</w:t>
              </w:r>
            </w:hyperlink>
          </w:p>
        </w:tc>
        <w:tc>
          <w:tcPr>
            <w:tcW w:w="620" w:type="dxa"/>
            <w:vAlign w:val="bottom"/>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196"/>
        </w:trPr>
        <w:tc>
          <w:tcPr>
            <w:tcW w:w="440" w:type="dxa"/>
            <w:vAlign w:val="bottom"/>
            <w:tcBorders>
              <w:top w:val="single" w:sz="8" w:color="0000FF"/>
            </w:tcBorders>
          </w:tcPr>
          <w:p>
            <w:pPr>
              <w:spacing w:after="0"/>
              <w:rPr>
                <w:sz w:val="17"/>
                <w:szCs w:val="17"/>
                <w:color w:val="auto"/>
              </w:rPr>
            </w:pPr>
          </w:p>
        </w:tc>
        <w:tc>
          <w:tcPr>
            <w:tcW w:w="2580" w:type="dxa"/>
            <w:vAlign w:val="bottom"/>
            <w:tcBorders>
              <w:top w:val="single" w:sz="8" w:color="0000FF"/>
            </w:tcBorders>
            <w:gridSpan w:val="21"/>
          </w:tcPr>
          <w:p>
            <w:pPr>
              <w:spacing w:after="0"/>
              <w:rPr>
                <w:rFonts w:ascii="Arial" w:cs="Arial" w:eastAsia="Arial" w:hAnsi="Arial"/>
                <w:sz w:val="16"/>
                <w:szCs w:val="16"/>
                <w:color w:val="0000FF"/>
              </w:rPr>
            </w:pPr>
            <w:hyperlink w:anchor="page11">
              <w:r>
                <w:rPr>
                  <w:rFonts w:ascii="Arial" w:cs="Arial" w:eastAsia="Arial" w:hAnsi="Arial"/>
                  <w:sz w:val="16"/>
                  <w:szCs w:val="16"/>
                  <w:color w:val="0000FF"/>
                </w:rPr>
                <w:t>Nominees</w:t>
              </w:r>
            </w:hyperlink>
          </w:p>
        </w:tc>
        <w:tc>
          <w:tcPr>
            <w:tcW w:w="7280" w:type="dxa"/>
            <w:vAlign w:val="bottom"/>
            <w:gridSpan w:val="17"/>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11">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20" w:type="dxa"/>
            <w:vAlign w:val="bottom"/>
            <w:tcBorders>
              <w:bottom w:val="single" w:sz="8" w:color="0000FF"/>
            </w:tcBorders>
            <w:gridSpan w:val="17"/>
          </w:tcPr>
          <w:p>
            <w:pPr>
              <w:spacing w:after="0"/>
              <w:rPr>
                <w:rFonts w:ascii="Arial" w:cs="Arial" w:eastAsia="Arial" w:hAnsi="Arial"/>
                <w:sz w:val="16"/>
                <w:szCs w:val="16"/>
                <w:color w:val="0000FF"/>
                <w:w w:val="88"/>
              </w:rPr>
            </w:pPr>
            <w:hyperlink w:anchor="page14">
              <w:r>
                <w:rPr>
                  <w:rFonts w:ascii="Arial" w:cs="Arial" w:eastAsia="Arial" w:hAnsi="Arial"/>
                  <w:sz w:val="16"/>
                  <w:szCs w:val="16"/>
                  <w:color w:val="0000FF"/>
                  <w:w w:val="88"/>
                </w:rPr>
                <w:t>Corporate Governance Information</w:t>
              </w:r>
            </w:hyperlink>
          </w:p>
        </w:tc>
        <w:tc>
          <w:tcPr>
            <w:tcW w:w="7640" w:type="dxa"/>
            <w:vAlign w:val="bottom"/>
            <w:gridSpan w:val="21"/>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14">
              <w:r>
                <w:rPr>
                  <w:rFonts w:ascii="Arial" w:cs="Arial" w:eastAsia="Arial" w:hAnsi="Arial"/>
                  <w:sz w:val="16"/>
                  <w:szCs w:val="16"/>
                  <w:color w:val="0000FF"/>
                </w:rPr>
                <w:t>9</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Director Compensation</w:t>
              </w:r>
            </w:hyperlink>
          </w:p>
        </w:tc>
        <w:tc>
          <w:tcPr>
            <w:tcW w:w="620" w:type="dxa"/>
            <w:vAlign w:val="bottom"/>
          </w:tcPr>
          <w:p>
            <w:pPr>
              <w:jc w:val="right"/>
              <w:spacing w:after="0"/>
              <w:rPr>
                <w:rFonts w:ascii="Arial" w:cs="Arial" w:eastAsia="Arial" w:hAnsi="Arial"/>
                <w:sz w:val="16"/>
                <w:szCs w:val="16"/>
                <w:color w:val="0000FF"/>
              </w:rPr>
            </w:pPr>
            <w:hyperlink w:anchor="page18">
              <w:r>
                <w:rPr>
                  <w:rFonts w:ascii="Arial" w:cs="Arial" w:eastAsia="Arial" w:hAnsi="Arial"/>
                  <w:sz w:val="16"/>
                  <w:szCs w:val="16"/>
                  <w:color w:val="0000FF"/>
                </w:rPr>
                <w:t>12</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19">
              <w:r>
                <w:rPr>
                  <w:rFonts w:ascii="Arial" w:cs="Arial" w:eastAsia="Arial" w:hAnsi="Arial"/>
                  <w:sz w:val="16"/>
                  <w:szCs w:val="16"/>
                  <w:color w:val="0000FF"/>
                  <w:w w:val="96"/>
                </w:rPr>
                <w:t>EXECUTIVE OFFICERS</w:t>
              </w:r>
            </w:hyperlink>
          </w:p>
        </w:tc>
        <w:tc>
          <w:tcPr>
            <w:tcW w:w="8580" w:type="dxa"/>
            <w:vAlign w:val="bottom"/>
            <w:gridSpan w:val="32"/>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19">
              <w:r>
                <w:rPr>
                  <w:rFonts w:ascii="Arial" w:cs="Arial" w:eastAsia="Arial" w:hAnsi="Arial"/>
                  <w:sz w:val="16"/>
                  <w:szCs w:val="16"/>
                  <w:color w:val="0000FF"/>
                </w:rPr>
                <w:t>14</w:t>
              </w:r>
            </w:hyperlink>
          </w:p>
        </w:tc>
        <w:tc>
          <w:tcPr>
            <w:tcW w:w="0" w:type="dxa"/>
            <w:vAlign w:val="bottom"/>
          </w:tcPr>
          <w:p>
            <w:pPr>
              <w:spacing w:after="0"/>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EXECUTIVE COMPENSATION</w:t>
              </w:r>
            </w:hyperlink>
          </w:p>
        </w:tc>
        <w:tc>
          <w:tcPr>
            <w:tcW w:w="620" w:type="dxa"/>
            <w:vAlign w:val="bottom"/>
          </w:tcPr>
          <w:p>
            <w:pPr>
              <w:jc w:val="right"/>
              <w:spacing w:after="0"/>
              <w:rPr>
                <w:rFonts w:ascii="Arial" w:cs="Arial" w:eastAsia="Arial" w:hAnsi="Arial"/>
                <w:sz w:val="16"/>
                <w:szCs w:val="16"/>
                <w:color w:val="0000FF"/>
              </w:rPr>
            </w:pPr>
            <w:hyperlink w:anchor="page20">
              <w:r>
                <w:rPr>
                  <w:rFonts w:ascii="Arial" w:cs="Arial" w:eastAsia="Arial" w:hAnsi="Arial"/>
                  <w:sz w:val="16"/>
                  <w:szCs w:val="16"/>
                  <w:color w:val="0000FF"/>
                </w:rPr>
                <w:t>15</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20">
              <w:r>
                <w:rPr>
                  <w:rFonts w:ascii="Arial" w:cs="Arial" w:eastAsia="Arial" w:hAnsi="Arial"/>
                  <w:sz w:val="16"/>
                  <w:szCs w:val="16"/>
                  <w:color w:val="0000FF"/>
                </w:rPr>
                <w:t>Compensation Discussion and Analysis</w:t>
              </w:r>
            </w:hyperlink>
          </w:p>
        </w:tc>
        <w:tc>
          <w:tcPr>
            <w:tcW w:w="620" w:type="dxa"/>
            <w:vAlign w:val="bottom"/>
          </w:tcPr>
          <w:p>
            <w:pPr>
              <w:jc w:val="right"/>
              <w:spacing w:after="0"/>
              <w:rPr>
                <w:rFonts w:ascii="Arial" w:cs="Arial" w:eastAsia="Arial" w:hAnsi="Arial"/>
                <w:sz w:val="16"/>
                <w:szCs w:val="16"/>
                <w:color w:val="0000FF"/>
              </w:rPr>
            </w:pPr>
            <w:hyperlink w:anchor="page20">
              <w:r>
                <w:rPr>
                  <w:rFonts w:ascii="Arial" w:cs="Arial" w:eastAsia="Arial" w:hAnsi="Arial"/>
                  <w:sz w:val="16"/>
                  <w:szCs w:val="16"/>
                  <w:color w:val="0000FF"/>
                </w:rPr>
                <w:t>15</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120" w:type="dxa"/>
            <w:vAlign w:val="bottom"/>
            <w:tcBorders>
              <w:top w:val="single" w:sz="8" w:color="0000FF"/>
              <w:bottom w:val="single" w:sz="8" w:color="0000FF"/>
            </w:tcBorders>
            <w:gridSpan w:val="15"/>
          </w:tcPr>
          <w:p>
            <w:pPr>
              <w:spacing w:after="0"/>
              <w:rPr>
                <w:rFonts w:ascii="Arial" w:cs="Arial" w:eastAsia="Arial" w:hAnsi="Arial"/>
                <w:sz w:val="16"/>
                <w:szCs w:val="16"/>
                <w:color w:val="0000FF"/>
                <w:w w:val="88"/>
              </w:rPr>
            </w:pPr>
            <w:hyperlink w:anchor="page29">
              <w:r>
                <w:rPr>
                  <w:rFonts w:ascii="Arial" w:cs="Arial" w:eastAsia="Arial" w:hAnsi="Arial"/>
                  <w:sz w:val="16"/>
                  <w:szCs w:val="16"/>
                  <w:color w:val="0000FF"/>
                  <w:w w:val="88"/>
                </w:rPr>
                <w:t>Compensation Committee Report</w:t>
              </w:r>
            </w:hyperlink>
          </w:p>
        </w:tc>
        <w:tc>
          <w:tcPr>
            <w:tcW w:w="380" w:type="dxa"/>
            <w:vAlign w:val="bottom"/>
            <w:tcBorders>
              <w:top w:val="single" w:sz="8" w:color="0000FF"/>
            </w:tcBorders>
            <w:gridSpan w:val="5"/>
          </w:tcPr>
          <w:p>
            <w:pPr>
              <w:spacing w:after="0"/>
              <w:rPr>
                <w:sz w:val="17"/>
                <w:szCs w:val="17"/>
                <w:color w:val="auto"/>
              </w:rPr>
            </w:pPr>
          </w:p>
        </w:tc>
        <w:tc>
          <w:tcPr>
            <w:tcW w:w="7360" w:type="dxa"/>
            <w:vAlign w:val="bottom"/>
            <w:gridSpan w:val="18"/>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940" w:type="dxa"/>
            <w:vAlign w:val="bottom"/>
            <w:tcBorders>
              <w:bottom w:val="single" w:sz="8" w:color="0000FF"/>
            </w:tcBorders>
            <w:gridSpan w:val="13"/>
          </w:tcPr>
          <w:p>
            <w:pPr>
              <w:spacing w:after="0"/>
              <w:rPr>
                <w:rFonts w:ascii="Arial" w:cs="Arial" w:eastAsia="Arial" w:hAnsi="Arial"/>
                <w:sz w:val="16"/>
                <w:szCs w:val="16"/>
                <w:color w:val="0000FF"/>
                <w:w w:val="87"/>
              </w:rPr>
            </w:pPr>
            <w:hyperlink w:anchor="page30">
              <w:r>
                <w:rPr>
                  <w:rFonts w:ascii="Arial" w:cs="Arial" w:eastAsia="Arial" w:hAnsi="Arial"/>
                  <w:sz w:val="16"/>
                  <w:szCs w:val="16"/>
                  <w:color w:val="0000FF"/>
                  <w:w w:val="87"/>
                </w:rPr>
                <w:t>Summary Compensation Table</w:t>
              </w:r>
            </w:hyperlink>
          </w:p>
        </w:tc>
        <w:tc>
          <w:tcPr>
            <w:tcW w:w="7920" w:type="dxa"/>
            <w:vAlign w:val="bottom"/>
            <w:gridSpan w:val="25"/>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Grants of Plan-Based Awards</w:t>
              </w:r>
            </w:hyperlink>
          </w:p>
        </w:tc>
        <w:tc>
          <w:tcPr>
            <w:tcW w:w="620" w:type="dxa"/>
            <w:vAlign w:val="bottom"/>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27</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Outstanding Equity Awards at Fiscal Year-End</w:t>
              </w:r>
            </w:hyperlink>
          </w:p>
        </w:tc>
        <w:tc>
          <w:tcPr>
            <w:tcW w:w="620" w:type="dxa"/>
            <w:vAlign w:val="bottom"/>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0"/>
              </w:rPr>
            </w:pPr>
            <w:hyperlink w:anchor="page35">
              <w:r>
                <w:rPr>
                  <w:rFonts w:ascii="Arial" w:cs="Arial" w:eastAsia="Arial" w:hAnsi="Arial"/>
                  <w:sz w:val="16"/>
                  <w:szCs w:val="16"/>
                  <w:color w:val="0000FF"/>
                  <w:w w:val="80"/>
                </w:rPr>
                <w:t>Stock Vested</w:t>
              </w:r>
            </w:hyperlink>
          </w:p>
        </w:tc>
        <w:tc>
          <w:tcPr>
            <w:tcW w:w="2180" w:type="dxa"/>
            <w:vAlign w:val="bottom"/>
            <w:tcBorders>
              <w:top w:val="single" w:sz="8" w:color="0000FF"/>
            </w:tcBorders>
            <w:gridSpan w:val="21"/>
          </w:tcPr>
          <w:p>
            <w:pPr>
              <w:spacing w:after="0"/>
              <w:rPr>
                <w:sz w:val="17"/>
                <w:szCs w:val="17"/>
                <w:color w:val="auto"/>
              </w:rPr>
            </w:pPr>
          </w:p>
        </w:tc>
        <w:tc>
          <w:tcPr>
            <w:tcW w:w="6900" w:type="dxa"/>
            <w:vAlign w:val="bottom"/>
            <w:gridSpan w:val="15"/>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35">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Potential Payments Upon Termination or Change in Control</w:t>
              </w:r>
            </w:hyperlink>
          </w:p>
        </w:tc>
        <w:tc>
          <w:tcPr>
            <w:tcW w:w="620" w:type="dxa"/>
            <w:vAlign w:val="bottom"/>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30</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PROPOSAL 2: RATIFICATION OF APPOINTMENT OF DELOITTE &amp; TOUCHE LLP AS INDEPENDENT AUDITORS</w:t>
              </w:r>
            </w:hyperlink>
          </w:p>
        </w:tc>
        <w:tc>
          <w:tcPr>
            <w:tcW w:w="620" w:type="dxa"/>
            <w:vAlign w:val="bottom"/>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196"/>
        </w:trPr>
        <w:tc>
          <w:tcPr>
            <w:tcW w:w="440" w:type="dxa"/>
            <w:vAlign w:val="bottom"/>
            <w:tcBorders>
              <w:top w:val="single" w:sz="8" w:color="0000FF"/>
            </w:tcBorders>
          </w:tcPr>
          <w:p>
            <w:pPr>
              <w:spacing w:after="0"/>
              <w:rPr>
                <w:sz w:val="17"/>
                <w:szCs w:val="17"/>
                <w:color w:val="auto"/>
              </w:rPr>
            </w:pPr>
          </w:p>
        </w:tc>
        <w:tc>
          <w:tcPr>
            <w:tcW w:w="4120" w:type="dxa"/>
            <w:vAlign w:val="bottom"/>
            <w:tcBorders>
              <w:top w:val="single" w:sz="8" w:color="0000FF"/>
              <w:bottom w:val="single" w:sz="8" w:color="0000FF"/>
            </w:tcBorders>
            <w:gridSpan w:val="29"/>
          </w:tcPr>
          <w:p>
            <w:pPr>
              <w:spacing w:after="0"/>
              <w:rPr>
                <w:rFonts w:ascii="Arial" w:cs="Arial" w:eastAsia="Arial" w:hAnsi="Arial"/>
                <w:sz w:val="16"/>
                <w:szCs w:val="16"/>
                <w:color w:val="0000FF"/>
                <w:w w:val="90"/>
              </w:rPr>
            </w:pPr>
            <w:hyperlink w:anchor="page40">
              <w:r>
                <w:rPr>
                  <w:rFonts w:ascii="Arial" w:cs="Arial" w:eastAsia="Arial" w:hAnsi="Arial"/>
                  <w:sz w:val="16"/>
                  <w:szCs w:val="16"/>
                  <w:color w:val="0000FF"/>
                  <w:w w:val="90"/>
                </w:rPr>
                <w:t>Fees Billed by Independent Registered Public Accounting Firms</w:t>
              </w:r>
            </w:hyperlink>
          </w:p>
        </w:tc>
        <w:tc>
          <w:tcPr>
            <w:tcW w:w="3540" w:type="dxa"/>
            <w:vAlign w:val="bottom"/>
            <w:tcBorders>
              <w:top w:val="single" w:sz="8" w:color="0000FF"/>
            </w:tcBorders>
            <w:gridSpan w:val="5"/>
          </w:tcPr>
          <w:p>
            <w:pPr>
              <w:spacing w:after="0"/>
              <w:rPr>
                <w:sz w:val="17"/>
                <w:szCs w:val="17"/>
                <w:color w:val="auto"/>
              </w:rPr>
            </w:pPr>
          </w:p>
        </w:tc>
        <w:tc>
          <w:tcPr>
            <w:tcW w:w="2200" w:type="dxa"/>
            <w:vAlign w:val="bottom"/>
            <w:gridSpan w:val="4"/>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40">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Vote Sought and Recommendation</w:t>
              </w:r>
            </w:hyperlink>
          </w:p>
        </w:tc>
        <w:tc>
          <w:tcPr>
            <w:tcW w:w="620" w:type="dxa"/>
            <w:vAlign w:val="bottom"/>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PROPOSAL 3: TO APPROVE THE SEVENTH AMENDED AND RESTATED WESTWOOD HOLDINGS GROUP, INC. STOCK INCENTIVE</w:t>
              </w:r>
            </w:hyperlink>
          </w:p>
        </w:tc>
        <w:tc>
          <w:tcPr>
            <w:tcW w:w="620" w:type="dxa"/>
            <w:vAlign w:val="bottom"/>
            <w:vMerge w:val="restart"/>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142"/>
        </w:trPr>
        <w:tc>
          <w:tcPr>
            <w:tcW w:w="4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5"/>
              </w:rPr>
            </w:pPr>
            <w:hyperlink w:anchor="page41">
              <w:r>
                <w:rPr>
                  <w:rFonts w:ascii="Arial" w:cs="Arial" w:eastAsia="Arial" w:hAnsi="Arial"/>
                  <w:sz w:val="16"/>
                  <w:szCs w:val="16"/>
                  <w:color w:val="0000FF"/>
                  <w:w w:val="95"/>
                </w:rPr>
                <w:t>PLAN</w:t>
              </w:r>
            </w:hyperlink>
          </w:p>
        </w:tc>
        <w:tc>
          <w:tcPr>
            <w:tcW w:w="9100" w:type="dxa"/>
            <w:vAlign w:val="bottom"/>
            <w:tcBorders>
              <w:top w:val="single" w:sz="8" w:color="0000FF"/>
            </w:tcBorders>
            <w:gridSpan w:val="37"/>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540" w:type="dxa"/>
            <w:vAlign w:val="bottom"/>
            <w:tcBorders>
              <w:bottom w:val="single" w:sz="8" w:color="0000FF"/>
            </w:tcBorders>
            <w:gridSpan w:val="26"/>
          </w:tcPr>
          <w:p>
            <w:pPr>
              <w:spacing w:after="0"/>
              <w:rPr>
                <w:rFonts w:ascii="Arial" w:cs="Arial" w:eastAsia="Arial" w:hAnsi="Arial"/>
                <w:sz w:val="16"/>
                <w:szCs w:val="16"/>
                <w:color w:val="0000FF"/>
                <w:w w:val="88"/>
              </w:rPr>
            </w:pPr>
            <w:hyperlink w:anchor="page41">
              <w:r>
                <w:rPr>
                  <w:rFonts w:ascii="Arial" w:cs="Arial" w:eastAsia="Arial" w:hAnsi="Arial"/>
                  <w:sz w:val="16"/>
                  <w:szCs w:val="16"/>
                  <w:color w:val="0000FF"/>
                  <w:w w:val="88"/>
                </w:rPr>
                <w:t>Description of the Seventh Amended and Restated Plan</w:t>
              </w:r>
            </w:hyperlink>
          </w:p>
        </w:tc>
        <w:tc>
          <w:tcPr>
            <w:tcW w:w="6320" w:type="dxa"/>
            <w:vAlign w:val="bottom"/>
            <w:gridSpan w:val="12"/>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41">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Types of Awards</w:t>
              </w:r>
            </w:hyperlink>
          </w:p>
        </w:tc>
        <w:tc>
          <w:tcPr>
            <w:tcW w:w="620" w:type="dxa"/>
            <w:vAlign w:val="bottom"/>
          </w:tcPr>
          <w:p>
            <w:pPr>
              <w:jc w:val="right"/>
              <w:spacing w:after="0"/>
              <w:rPr>
                <w:rFonts w:ascii="Arial" w:cs="Arial" w:eastAsia="Arial" w:hAnsi="Arial"/>
                <w:sz w:val="16"/>
                <w:szCs w:val="16"/>
                <w:color w:val="0000FF"/>
              </w:rPr>
            </w:pPr>
            <w:hyperlink w:anchor="page43">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Material Federal Income Tax Consequences of the Plan</w:t>
              </w:r>
            </w:hyperlink>
          </w:p>
        </w:tc>
        <w:tc>
          <w:tcPr>
            <w:tcW w:w="620" w:type="dxa"/>
            <w:vAlign w:val="bottom"/>
          </w:tcPr>
          <w:p>
            <w:pPr>
              <w:jc w:val="right"/>
              <w:spacing w:after="0"/>
              <w:rPr>
                <w:rFonts w:ascii="Arial" w:cs="Arial" w:eastAsia="Arial" w:hAnsi="Arial"/>
                <w:sz w:val="16"/>
                <w:szCs w:val="16"/>
                <w:color w:val="0000FF"/>
              </w:rPr>
            </w:pPr>
            <w:hyperlink w:anchor="page44">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520" w:type="dxa"/>
            <w:vAlign w:val="bottom"/>
            <w:tcBorders>
              <w:top w:val="single" w:sz="8" w:color="0000FF"/>
            </w:tcBorders>
            <w:gridSpan w:val="25"/>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Vote Sought and Recommendation</w:t>
              </w:r>
            </w:hyperlink>
          </w:p>
        </w:tc>
        <w:tc>
          <w:tcPr>
            <w:tcW w:w="6340" w:type="dxa"/>
            <w:vAlign w:val="bottom"/>
            <w:gridSpan w:val="13"/>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PROPOSAL 4: TO CAST A NON-BINDING, ADVISORY VOTE ON THE COMPANY'S EXECUTIVE COMPENSATION</w:t>
              </w:r>
            </w:hyperlink>
          </w:p>
        </w:tc>
        <w:tc>
          <w:tcPr>
            <w:tcW w:w="620" w:type="dxa"/>
            <w:vAlign w:val="bottom"/>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196"/>
        </w:trPr>
        <w:tc>
          <w:tcPr>
            <w:tcW w:w="440" w:type="dxa"/>
            <w:vAlign w:val="bottom"/>
            <w:tcBorders>
              <w:top w:val="single" w:sz="8" w:color="0000FF"/>
            </w:tcBorders>
          </w:tcPr>
          <w:p>
            <w:pPr>
              <w:spacing w:after="0"/>
              <w:rPr>
                <w:sz w:val="17"/>
                <w:szCs w:val="17"/>
                <w:color w:val="auto"/>
              </w:rPr>
            </w:pPr>
          </w:p>
        </w:tc>
        <w:tc>
          <w:tcPr>
            <w:tcW w:w="2740" w:type="dxa"/>
            <w:vAlign w:val="bottom"/>
            <w:tcBorders>
              <w:top w:val="single" w:sz="8" w:color="0000FF"/>
              <w:bottom w:val="single" w:sz="8" w:color="0000FF"/>
            </w:tcBorders>
            <w:gridSpan w:val="2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Advisory Vote on Executive Compensation</w:t>
              </w:r>
            </w:hyperlink>
          </w:p>
        </w:tc>
        <w:tc>
          <w:tcPr>
            <w:tcW w:w="5020" w:type="dxa"/>
            <w:vAlign w:val="bottom"/>
            <w:tcBorders>
              <w:top w:val="single" w:sz="8" w:color="0000FF"/>
            </w:tcBorders>
            <w:gridSpan w:val="13"/>
          </w:tcPr>
          <w:p>
            <w:pPr>
              <w:spacing w:after="0"/>
              <w:rPr>
                <w:sz w:val="17"/>
                <w:szCs w:val="17"/>
                <w:color w:val="auto"/>
              </w:rPr>
            </w:pPr>
          </w:p>
        </w:tc>
        <w:tc>
          <w:tcPr>
            <w:tcW w:w="2100" w:type="dxa"/>
            <w:vAlign w:val="bottom"/>
            <w:gridSpan w:val="3"/>
          </w:tcPr>
          <w:p>
            <w:pPr>
              <w:spacing w:after="0"/>
              <w:rPr>
                <w:sz w:val="17"/>
                <w:szCs w:val="17"/>
                <w:color w:val="auto"/>
              </w:rPr>
            </w:pPr>
          </w:p>
        </w:tc>
        <w:tc>
          <w:tcPr>
            <w:tcW w:w="620" w:type="dxa"/>
            <w:vAlign w:val="bottom"/>
          </w:tcPr>
          <w:p>
            <w:pPr>
              <w:jc w:val="right"/>
              <w:spacing w:after="0"/>
              <w:rPr>
                <w:rFonts w:ascii="Arial" w:cs="Arial" w:eastAsia="Arial" w:hAnsi="Arial"/>
                <w:sz w:val="16"/>
                <w:szCs w:val="16"/>
                <w:color w:val="0000FF"/>
              </w:rPr>
            </w:pPr>
            <w:hyperlink w:anchor="page46">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860" w:type="dxa"/>
            <w:vAlign w:val="bottom"/>
            <w:gridSpan w:val="38"/>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Vote Sought and Recommendation</w:t>
              </w:r>
            </w:hyperlink>
          </w:p>
        </w:tc>
        <w:tc>
          <w:tcPr>
            <w:tcW w:w="620" w:type="dxa"/>
            <w:vAlign w:val="bottom"/>
          </w:tcPr>
          <w:p>
            <w:pPr>
              <w:jc w:val="right"/>
              <w:spacing w:after="0"/>
              <w:rPr>
                <w:rFonts w:ascii="Arial" w:cs="Arial" w:eastAsia="Arial" w:hAnsi="Arial"/>
                <w:sz w:val="16"/>
                <w:szCs w:val="16"/>
                <w:color w:val="0000FF"/>
              </w:rPr>
            </w:pPr>
            <w:hyperlink w:anchor="page47">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300" w:type="dxa"/>
            <w:vAlign w:val="bottom"/>
            <w:gridSpan w:val="3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COMPENSATION COMMITTEE INTERLOCKS AND INSIDER PARTICIPATION</w:t>
              </w:r>
            </w:hyperlink>
          </w:p>
        </w:tc>
        <w:tc>
          <w:tcPr>
            <w:tcW w:w="620" w:type="dxa"/>
            <w:vAlign w:val="bottom"/>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50"/>
        </w:trPr>
        <w:tc>
          <w:tcPr>
            <w:tcW w:w="5580" w:type="dxa"/>
            <w:vAlign w:val="bottom"/>
            <w:tcBorders>
              <w:top w:val="single" w:sz="8" w:color="0000FF"/>
            </w:tcBorders>
            <w:gridSpan w:val="33"/>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CERTAIN RELATIONSHIPS AND RELATED TRANSACTIONS</w:t>
              </w:r>
            </w:hyperlink>
          </w:p>
        </w:tc>
        <w:tc>
          <w:tcPr>
            <w:tcW w:w="4720" w:type="dxa"/>
            <w:vAlign w:val="bottom"/>
            <w:gridSpan w:val="6"/>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600" w:type="dxa"/>
            <w:vAlign w:val="bottom"/>
            <w:gridSpan w:val="10"/>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SECURITY OWNERSHIP OF CERTAIN BENEFICIAL OWNERS AND MANAGEMENT</w:t>
              </w:r>
            </w:hyperlink>
          </w:p>
        </w:tc>
        <w:tc>
          <w:tcPr>
            <w:tcW w:w="620" w:type="dxa"/>
            <w:vAlign w:val="bottom"/>
          </w:tcPr>
          <w:p>
            <w:pPr>
              <w:jc w:val="right"/>
              <w:spacing w:after="0"/>
              <w:rPr>
                <w:rFonts w:ascii="Arial" w:cs="Arial" w:eastAsia="Arial" w:hAnsi="Arial"/>
                <w:sz w:val="16"/>
                <w:szCs w:val="16"/>
                <w:color w:val="0000FF"/>
              </w:rPr>
            </w:pPr>
            <w:hyperlink w:anchor="page49">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50"/>
        </w:trPr>
        <w:tc>
          <w:tcPr>
            <w:tcW w:w="2780" w:type="dxa"/>
            <w:vAlign w:val="bottom"/>
            <w:tcBorders>
              <w:top w:val="single" w:sz="8" w:color="0000FF"/>
              <w:bottom w:val="single" w:sz="8" w:color="0000FF"/>
            </w:tcBorders>
            <w:gridSpan w:val="19"/>
          </w:tcPr>
          <w:p>
            <w:pPr>
              <w:spacing w:after="0"/>
              <w:rPr>
                <w:rFonts w:ascii="Arial" w:cs="Arial" w:eastAsia="Arial" w:hAnsi="Arial"/>
                <w:sz w:val="16"/>
                <w:szCs w:val="16"/>
                <w:color w:val="0000FF"/>
                <w:w w:val="97"/>
              </w:rPr>
            </w:pPr>
            <w:hyperlink w:anchor="page50">
              <w:r>
                <w:rPr>
                  <w:rFonts w:ascii="Arial" w:cs="Arial" w:eastAsia="Arial" w:hAnsi="Arial"/>
                  <w:sz w:val="16"/>
                  <w:szCs w:val="16"/>
                  <w:color w:val="0000FF"/>
                  <w:w w:val="97"/>
                </w:rPr>
                <w:t>REPORT OF THE AUDIT COMMITTEE</w:t>
              </w:r>
            </w:hyperlink>
          </w:p>
        </w:tc>
        <w:tc>
          <w:tcPr>
            <w:tcW w:w="3280" w:type="dxa"/>
            <w:vAlign w:val="bottom"/>
            <w:tcBorders>
              <w:top w:val="single" w:sz="8" w:color="0000FF"/>
            </w:tcBorders>
            <w:gridSpan w:val="15"/>
          </w:tcPr>
          <w:p>
            <w:pPr>
              <w:spacing w:after="0"/>
              <w:rPr>
                <w:sz w:val="21"/>
                <w:szCs w:val="21"/>
                <w:color w:val="auto"/>
              </w:rPr>
            </w:pPr>
          </w:p>
        </w:tc>
        <w:tc>
          <w:tcPr>
            <w:tcW w:w="4240" w:type="dxa"/>
            <w:vAlign w:val="bottom"/>
            <w:gridSpan w:val="5"/>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50">
              <w:r>
                <w:rPr>
                  <w:rFonts w:ascii="Arial" w:cs="Arial" w:eastAsia="Arial" w:hAnsi="Arial"/>
                  <w:sz w:val="16"/>
                  <w:szCs w:val="16"/>
                  <w:color w:val="0000FF"/>
                </w:rPr>
                <w:t>45</w:t>
              </w:r>
            </w:hyperlink>
          </w:p>
        </w:tc>
        <w:tc>
          <w:tcPr>
            <w:tcW w:w="0" w:type="dxa"/>
            <w:vAlign w:val="bottom"/>
          </w:tcPr>
          <w:p>
            <w:pPr>
              <w:spacing w:after="0"/>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SECTION 16(A) BENEFICIAL OWNERSHIP REPORTING COMPLIANCE</w:t>
              </w:r>
            </w:hyperlink>
          </w:p>
        </w:tc>
        <w:tc>
          <w:tcPr>
            <w:tcW w:w="620" w:type="dxa"/>
            <w:vAlign w:val="bottom"/>
          </w:tcPr>
          <w:p>
            <w:pPr>
              <w:jc w:val="right"/>
              <w:spacing w:after="0"/>
              <w:rPr>
                <w:rFonts w:ascii="Arial" w:cs="Arial" w:eastAsia="Arial" w:hAnsi="Arial"/>
                <w:sz w:val="16"/>
                <w:szCs w:val="16"/>
                <w:color w:val="0000FF"/>
              </w:rPr>
            </w:pPr>
            <w:hyperlink w:anchor="page52">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50"/>
        </w:trPr>
        <w:tc>
          <w:tcPr>
            <w:tcW w:w="220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6"/>
              </w:rPr>
            </w:pPr>
            <w:hyperlink w:anchor="page53">
              <w:r>
                <w:rPr>
                  <w:rFonts w:ascii="Arial" w:cs="Arial" w:eastAsia="Arial" w:hAnsi="Arial"/>
                  <w:sz w:val="16"/>
                  <w:szCs w:val="16"/>
                  <w:color w:val="0000FF"/>
                  <w:w w:val="96"/>
                </w:rPr>
                <w:t>STOCKHOLDER PROPOSALS</w:t>
              </w:r>
            </w:hyperlink>
          </w:p>
        </w:tc>
        <w:tc>
          <w:tcPr>
            <w:tcW w:w="2920" w:type="dxa"/>
            <w:vAlign w:val="bottom"/>
            <w:tcBorders>
              <w:top w:val="single" w:sz="8" w:color="0000FF"/>
            </w:tcBorders>
            <w:gridSpan w:val="21"/>
          </w:tcPr>
          <w:p>
            <w:pPr>
              <w:spacing w:after="0"/>
              <w:rPr>
                <w:sz w:val="21"/>
                <w:szCs w:val="21"/>
                <w:color w:val="auto"/>
              </w:rPr>
            </w:pPr>
          </w:p>
        </w:tc>
        <w:tc>
          <w:tcPr>
            <w:tcW w:w="5180" w:type="dxa"/>
            <w:vAlign w:val="bottom"/>
            <w:gridSpan w:val="7"/>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ANNUAL REPORT</w:t>
              </w:r>
            </w:hyperlink>
          </w:p>
        </w:tc>
        <w:tc>
          <w:tcPr>
            <w:tcW w:w="620" w:type="dxa"/>
            <w:vAlign w:val="bottom"/>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1120" w:type="dxa"/>
            <w:vAlign w:val="bottom"/>
            <w:tcBorders>
              <w:left w:val="single" w:sz="8" w:color="0000FF"/>
            </w:tcBorders>
            <w:gridSpan w:val="11"/>
          </w:tcPr>
          <w:p>
            <w:pPr>
              <w:spacing w:after="0" w:line="20" w:lineRule="exact"/>
              <w:rPr>
                <w:sz w:val="1"/>
                <w:szCs w:val="1"/>
                <w:color w:val="auto"/>
              </w:rPr>
            </w:pPr>
          </w:p>
        </w:tc>
        <w:tc>
          <w:tcPr>
            <w:tcW w:w="6260" w:type="dxa"/>
            <w:vAlign w:val="bottom"/>
            <w:gridSpan w:val="2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HOUSEHOLDING INFORMATION</w:t>
              </w:r>
            </w:hyperlink>
          </w:p>
        </w:tc>
        <w:tc>
          <w:tcPr>
            <w:tcW w:w="620" w:type="dxa"/>
            <w:vAlign w:val="bottom"/>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47</w:t>
              </w:r>
            </w:hyperlink>
          </w:p>
        </w:tc>
        <w:tc>
          <w:tcPr>
            <w:tcW w:w="0" w:type="dxa"/>
            <w:vAlign w:val="bottom"/>
          </w:tcPr>
          <w:p>
            <w:pPr>
              <w:spacing w:after="0"/>
              <w:rPr>
                <w:sz w:val="1"/>
                <w:szCs w:val="1"/>
                <w:color w:val="auto"/>
              </w:rPr>
            </w:pPr>
          </w:p>
        </w:tc>
      </w:tr>
      <w:tr>
        <w:trPr>
          <w:trHeight w:val="250"/>
        </w:trPr>
        <w:tc>
          <w:tcPr>
            <w:tcW w:w="2440" w:type="dxa"/>
            <w:vAlign w:val="bottom"/>
            <w:tcBorders>
              <w:top w:val="single" w:sz="8" w:color="0000FF"/>
            </w:tcBorders>
            <w:gridSpan w:val="15"/>
          </w:tcPr>
          <w:p>
            <w:pPr>
              <w:spacing w:after="0"/>
              <w:rPr>
                <w:rFonts w:ascii="Arial" w:cs="Arial" w:eastAsia="Arial" w:hAnsi="Arial"/>
                <w:sz w:val="16"/>
                <w:szCs w:val="16"/>
                <w:color w:val="0000FF"/>
              </w:rPr>
            </w:pPr>
            <w:hyperlink w:anchor="page53">
              <w:r>
                <w:rPr>
                  <w:rFonts w:ascii="Arial" w:cs="Arial" w:eastAsia="Arial" w:hAnsi="Arial"/>
                  <w:sz w:val="16"/>
                  <w:szCs w:val="16"/>
                  <w:color w:val="0000FF"/>
                </w:rPr>
                <w:t>OTHER MATTERS</w:t>
              </w:r>
            </w:hyperlink>
          </w:p>
        </w:tc>
        <w:tc>
          <w:tcPr>
            <w:tcW w:w="7860" w:type="dxa"/>
            <w:vAlign w:val="bottom"/>
            <w:gridSpan w:val="24"/>
          </w:tcPr>
          <w:p>
            <w:pPr>
              <w:spacing w:after="0"/>
              <w:rPr>
                <w:sz w:val="21"/>
                <w:szCs w:val="21"/>
                <w:color w:val="auto"/>
              </w:rPr>
            </w:pPr>
          </w:p>
        </w:tc>
        <w:tc>
          <w:tcPr>
            <w:tcW w:w="620" w:type="dxa"/>
            <w:vAlign w:val="bottom"/>
          </w:tcPr>
          <w:p>
            <w:pPr>
              <w:jc w:val="right"/>
              <w:spacing w:after="0"/>
              <w:rPr>
                <w:rFonts w:ascii="Arial" w:cs="Arial" w:eastAsia="Arial" w:hAnsi="Arial"/>
                <w:sz w:val="16"/>
                <w:szCs w:val="16"/>
                <w:color w:val="0000FF"/>
              </w:rPr>
            </w:pPr>
            <w:hyperlink w:anchor="page53">
              <w:r>
                <w:rPr>
                  <w:rFonts w:ascii="Arial" w:cs="Arial" w:eastAsia="Arial" w:hAnsi="Arial"/>
                  <w:sz w:val="16"/>
                  <w:szCs w:val="16"/>
                  <w:color w:val="0000FF"/>
                </w:rPr>
                <w:t>48</w:t>
              </w:r>
            </w:hyperlink>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7380" w:type="dxa"/>
            <w:vAlign w:val="bottom"/>
            <w:gridSpan w:val="3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00" w:type="dxa"/>
            <w:vAlign w:val="bottom"/>
            <w:gridSpan w:val="39"/>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APPENDIX A – SEVENTH AMENDED AND RESTATED WESTWOOD HOLDINGS GROUP, INC. STOCK INCENTIVE PLAN</w:t>
              </w:r>
            </w:hyperlink>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20"/>
          </w:cols>
          <w:pgMar w:left="500" w:top="441" w:right="479" w:bottom="1440" w:gutter="0" w:footer="0" w:header="0"/>
        </w:sectPr>
      </w:pPr>
    </w:p>
    <w:bookmarkStart w:id="4" w:name="page5"/>
    <w:bookmarkEnd w:id="4"/>
    <w:p>
      <w:pPr>
        <w:ind w:left="4000"/>
        <w:spacing w:after="0"/>
        <w:rPr>
          <w:sz w:val="20"/>
          <w:szCs w:val="20"/>
          <w:color w:val="auto"/>
        </w:rPr>
      </w:pPr>
      <w:r>
        <w:rPr>
          <w:rFonts w:ascii="Arial" w:cs="Arial" w:eastAsia="Arial" w:hAnsi="Arial"/>
          <w:sz w:val="18"/>
          <w:szCs w:val="18"/>
          <w:b w:val="1"/>
          <w:bCs w:val="1"/>
          <w:color w:val="auto"/>
        </w:rPr>
        <w:t>WESTWOOD HOLDINGS GROUP, INC.</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29,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Westwood Holdings Group, Inc.:</w:t>
      </w:r>
    </w:p>
    <w:p>
      <w:pPr>
        <w:spacing w:after="0" w:line="117"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NOTICE IS HEREBY GIVEN that the annual meeting of the stockholders of Westwood Holdings Group, Inc. ("Westwood," the "Company," "we," "us" or "our") will be held at The Crescent Club, 200 Crescent Court, Suite 1700, Dallas, Texas 75201 on Wednesday, April 29, 2020, at 10:00 a.m., Central Time, to consider and vote on the following proposals:</w:t>
      </w:r>
    </w:p>
    <w:p>
      <w:pPr>
        <w:sectPr>
          <w:pgSz w:w="11900" w:h="16838" w:orient="portrait"/>
          <w:cols w:equalWidth="0" w:num="1">
            <w:col w:w="11220"/>
          </w:cols>
          <w:pgMar w:left="320" w:top="445" w:right="359" w:bottom="1440" w:gutter="0" w:footer="0" w:header="0"/>
        </w:sect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Proposal 1.</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Proposal 2.</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Proposal 3.</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Proposal 4.</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election of six directors to hold office until the next annual meeting of Westwood's stockholders and until their respective successors shall have been duly elected and qualified;</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ratification of the appointment of Deloitte &amp; Touche LLP as Westwood's independent auditors for the year ending December 31, 2020;</w:t>
      </w:r>
    </w:p>
    <w:p>
      <w:pPr>
        <w:spacing w:after="0" w:line="62" w:lineRule="exact"/>
        <w:rPr>
          <w:sz w:val="20"/>
          <w:szCs w:val="20"/>
          <w:color w:val="auto"/>
        </w:rPr>
      </w:pPr>
    </w:p>
    <w:p>
      <w:pPr>
        <w:ind w:right="1900"/>
        <w:spacing w:after="0" w:line="440" w:lineRule="auto"/>
        <w:rPr>
          <w:sz w:val="20"/>
          <w:szCs w:val="20"/>
          <w:color w:val="auto"/>
        </w:rPr>
      </w:pPr>
      <w:r>
        <w:rPr>
          <w:rFonts w:ascii="Arial" w:cs="Arial" w:eastAsia="Arial" w:hAnsi="Arial"/>
          <w:sz w:val="17"/>
          <w:szCs w:val="17"/>
          <w:color w:val="auto"/>
        </w:rPr>
        <w:t>To approve the Seventh Amended and Restated Westwood Holdings Group, Inc. Stock Incentive Plan; and To cast a non-binding, advisory vote on the Company's executive compensation.</w:t>
      </w:r>
    </w:p>
    <w:p>
      <w:pPr>
        <w:spacing w:after="0" w:line="12" w:lineRule="exact"/>
        <w:rPr>
          <w:sz w:val="20"/>
          <w:szCs w:val="20"/>
          <w:color w:val="auto"/>
        </w:rPr>
      </w:pPr>
    </w:p>
    <w:p>
      <w:pPr>
        <w:sectPr>
          <w:pgSz w:w="11900" w:h="16838" w:orient="portrait"/>
          <w:cols w:equalWidth="0" w:num="2">
            <w:col w:w="920" w:space="720"/>
            <w:col w:w="9580"/>
          </w:cols>
          <w:pgMar w:left="320" w:top="445" w:right="359" w:bottom="1440" w:gutter="0" w:footer="0" w:header="0"/>
          <w:type w:val="continuous"/>
        </w:sectPr>
      </w:pPr>
    </w:p>
    <w:p>
      <w:pPr>
        <w:ind w:right="1080" w:firstLine="405"/>
        <w:spacing w:after="0" w:line="277" w:lineRule="auto"/>
        <w:rPr>
          <w:sz w:val="20"/>
          <w:szCs w:val="20"/>
          <w:color w:val="auto"/>
        </w:rPr>
      </w:pPr>
      <w:r>
        <w:rPr>
          <w:rFonts w:ascii="Arial" w:cs="Arial" w:eastAsia="Arial" w:hAnsi="Arial"/>
          <w:sz w:val="18"/>
          <w:szCs w:val="18"/>
          <w:color w:val="auto"/>
        </w:rPr>
        <w:t>In addition, we will consider the transaction of such other business as may properly come before the meeting or at any adjournments or postponements.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foregoing items of business are more fully described in the attached proxy statement.</w:t>
      </w:r>
    </w:p>
    <w:p>
      <w:pPr>
        <w:spacing w:after="0" w:line="117"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Only stockholders of record at the close of business on March 2, 2020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w:t>
      </w:r>
    </w:p>
    <w:p>
      <w:pPr>
        <w:spacing w:after="0" w:line="4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All of our stockholders are invited to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www.voteproxy.com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attending the annual meeting and voting in person.</w:t>
      </w:r>
    </w:p>
    <w:p>
      <w:pPr>
        <w:spacing w:after="0" w:line="8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in person at the annual meeting if you have requested and received a legal proxy from your broker, bank or other nominee giving you the right to vote the shares at the annual meeting, and you complete the legal proxy and present it to us at the annual meeting. Pursuant to the New York Stock Exchange ("NYSE") rules, if you hold your shares in street name, nominees will not have discretion to vote these shares on the election of directors, the approval of the Seventh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and 4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proxy statement and proxy card are being mailed to our stockholders on or about March 18,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45" w:right="359" w:bottom="1440" w:gutter="0" w:footer="0" w:header="0"/>
          <w:type w:val="continuous"/>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Internet Availability of Proxy Materials for the Stockholder Meeting to be Held on April 29, 2020</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proxy materials for the Company's Annual Meeting of Stockholders, including the 2019 Annual Report to Stockholders, the Proxy Statement and any other additional soliciting materials, are available over the Internet by accessing our website at https://westwoodgroup.com/investor-relations/annual-reports/. Other information on our website does not constitute part of the Company's proxy materials.</w:t>
      </w:r>
    </w:p>
    <w:p>
      <w:pPr>
        <w:spacing w:after="0" w:line="38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Order of the Board of Directors</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83185</wp:posOffset>
            </wp:positionV>
            <wp:extent cx="97726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45" w:right="4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ANNUAL MEETING OF STOCKHOLDERS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29, 2020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18,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Annual Meeting</w:t>
      </w:r>
    </w:p>
    <w:p>
      <w:pPr>
        <w:spacing w:after="0" w:line="200" w:lineRule="exact"/>
        <w:rPr>
          <w:sz w:val="20"/>
          <w:szCs w:val="20"/>
          <w:color w:val="auto"/>
        </w:rPr>
      </w:pPr>
    </w:p>
    <w:p>
      <w:pPr>
        <w:spacing w:after="0" w:line="295" w:lineRule="exact"/>
        <w:rPr>
          <w:sz w:val="20"/>
          <w:szCs w:val="20"/>
          <w:color w:val="auto"/>
        </w:rPr>
      </w:pPr>
    </w:p>
    <w:p>
      <w:pPr>
        <w:ind w:left="520" w:hanging="494"/>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w:t>
      </w:r>
    </w:p>
    <w:p>
      <w:pPr>
        <w:spacing w:after="0" w:line="200" w:lineRule="exact"/>
        <w:rPr>
          <w:sz w:val="20"/>
          <w:szCs w:val="20"/>
          <w:color w:val="auto"/>
        </w:rPr>
      </w:pPr>
    </w:p>
    <w:p>
      <w:pPr>
        <w:spacing w:after="0" w:line="326" w:lineRule="exact"/>
        <w:rPr>
          <w:sz w:val="20"/>
          <w:szCs w:val="20"/>
          <w:color w:val="auto"/>
        </w:rPr>
      </w:pPr>
    </w:p>
    <w:p>
      <w:pPr>
        <w:ind w:left="500" w:right="100" w:hanging="474"/>
        <w:spacing w:after="0" w:line="277"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annual meeting will be held on Wednesday, April 29, 2020, at 10:00 a.m., Central Time, at The Crescent Club, 200 Crescent Court, Suite 1700, Dallas, Texas 75201.</w:t>
      </w: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200" w:lineRule="exact"/>
        <w:rPr>
          <w:sz w:val="20"/>
          <w:szCs w:val="20"/>
          <w:color w:val="auto"/>
        </w:rPr>
      </w:pPr>
    </w:p>
    <w:p>
      <w:pPr>
        <w:spacing w:after="0" w:line="326" w:lineRule="exact"/>
        <w:rPr>
          <w:sz w:val="20"/>
          <w:szCs w:val="20"/>
          <w:color w:val="auto"/>
        </w:rPr>
      </w:pPr>
    </w:p>
    <w:p>
      <w:pPr>
        <w:ind w:left="560" w:hanging="534"/>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stockholders are being asked to vote on the following proposals at the annual meeting:</w:t>
      </w:r>
    </w:p>
    <w:p>
      <w:pPr>
        <w:spacing w:after="0" w:line="63" w:lineRule="exact"/>
        <w:rPr>
          <w:rFonts w:ascii="Arial" w:cs="Arial" w:eastAsia="Arial" w:hAnsi="Arial"/>
          <w:sz w:val="18"/>
          <w:szCs w:val="18"/>
          <w:b w:val="1"/>
          <w:bCs w:val="1"/>
          <w:color w:val="auto"/>
        </w:rPr>
      </w:pPr>
    </w:p>
    <w:p>
      <w:pPr>
        <w:ind w:left="1100" w:hanging="548"/>
        <w:spacing w:after="0" w:line="277"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elect six directors to hold office until the next annual meeting of Westwood’s stockholders and until their respective successors shall have been duly elected and qualified;</w:t>
      </w:r>
    </w:p>
    <w:p>
      <w:pPr>
        <w:spacing w:after="0" w:line="8" w:lineRule="exact"/>
        <w:rPr>
          <w:rFonts w:ascii="Arial" w:cs="Arial" w:eastAsia="Arial" w:hAnsi="Arial"/>
          <w:sz w:val="18"/>
          <w:szCs w:val="18"/>
          <w:color w:val="auto"/>
        </w:rPr>
      </w:pPr>
    </w:p>
    <w:p>
      <w:pPr>
        <w:ind w:left="1100" w:right="340" w:hanging="548"/>
        <w:spacing w:after="0" w:line="277" w:lineRule="auto"/>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("Deloitte") as Westwood’s independent auditors for the year ending December 31, 2020;</w:t>
      </w:r>
    </w:p>
    <w:p>
      <w:pPr>
        <w:spacing w:after="0" w:line="8" w:lineRule="exact"/>
        <w:rPr>
          <w:rFonts w:ascii="Arial" w:cs="Arial" w:eastAsia="Arial" w:hAnsi="Arial"/>
          <w:sz w:val="18"/>
          <w:szCs w:val="18"/>
          <w:color w:val="auto"/>
        </w:rPr>
      </w:pPr>
    </w:p>
    <w:p>
      <w:pPr>
        <w:ind w:left="1100" w:hanging="548"/>
        <w:spacing w:after="0"/>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approve the Seventh Amended and Restated Westwood Holdings Group, Inc. Stock Incentive Plan; and</w:t>
      </w:r>
    </w:p>
    <w:p>
      <w:pPr>
        <w:spacing w:after="0" w:line="63" w:lineRule="exact"/>
        <w:rPr>
          <w:rFonts w:ascii="Arial" w:cs="Arial" w:eastAsia="Arial" w:hAnsi="Arial"/>
          <w:sz w:val="18"/>
          <w:szCs w:val="18"/>
          <w:color w:val="auto"/>
        </w:rPr>
      </w:pPr>
    </w:p>
    <w:p>
      <w:pPr>
        <w:ind w:left="1100" w:hanging="548"/>
        <w:spacing w:after="0"/>
        <w:tabs>
          <w:tab w:leader="none" w:pos="11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cast a non-binding, advisory vote on the Company's executive compensation.</w:t>
      </w:r>
    </w:p>
    <w:p>
      <w:pPr>
        <w:spacing w:after="0" w:line="200" w:lineRule="exact"/>
        <w:rPr>
          <w:sz w:val="20"/>
          <w:szCs w:val="20"/>
          <w:color w:val="auto"/>
        </w:rPr>
      </w:pPr>
    </w:p>
    <w:p>
      <w:pPr>
        <w:spacing w:after="0" w:line="318" w:lineRule="exact"/>
        <w:rPr>
          <w:sz w:val="20"/>
          <w:szCs w:val="20"/>
          <w:color w:val="auto"/>
        </w:rPr>
      </w:pPr>
    </w:p>
    <w:p>
      <w:pPr>
        <w:ind w:left="520" w:hanging="494"/>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w:t>
      </w:r>
    </w:p>
    <w:p>
      <w:pPr>
        <w:spacing w:after="0" w:line="200" w:lineRule="exact"/>
        <w:rPr>
          <w:sz w:val="20"/>
          <w:szCs w:val="20"/>
          <w:color w:val="auto"/>
        </w:rPr>
      </w:pPr>
    </w:p>
    <w:p>
      <w:pPr>
        <w:spacing w:after="0" w:line="326" w:lineRule="exact"/>
        <w:rPr>
          <w:sz w:val="20"/>
          <w:szCs w:val="20"/>
          <w:color w:val="auto"/>
        </w:rPr>
      </w:pPr>
    </w:p>
    <w:p>
      <w:pPr>
        <w:ind w:left="500" w:right="200" w:hanging="474"/>
        <w:spacing w:after="0" w:line="259"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Board of Directors recommends that you vote your shares (i) "FOR" each of the six director nominees for election to the Board of Directors, (ii) "FOR" the ratification of the appointment of Deloitte as Westwood’s independent auditors for the year ending December 31, 2020, (iii) "FOR" the approval of the Seventh Amended and Restated Westwood Holdings Group, Inc. Stock Incentive Plan, and (iv) "FOR" the approval, on a non-binding, advisory basis, of the Company's executive compensation.</w:t>
      </w:r>
    </w:p>
    <w:p>
      <w:pPr>
        <w:spacing w:after="0" w:line="25"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If you submit your properly executed proxy without voting instructions, your shares represented by that proxy will be voted as recommended by the Board of Directors.</w:t>
      </w: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meeting?</w:t>
      </w:r>
    </w:p>
    <w:p>
      <w:pPr>
        <w:spacing w:after="0" w:line="200" w:lineRule="exact"/>
        <w:rPr>
          <w:sz w:val="20"/>
          <w:szCs w:val="20"/>
          <w:color w:val="auto"/>
        </w:rPr>
      </w:pPr>
    </w:p>
    <w:p>
      <w:pPr>
        <w:spacing w:after="0" w:line="313" w:lineRule="exact"/>
        <w:rPr>
          <w:sz w:val="20"/>
          <w:szCs w:val="20"/>
          <w:color w:val="auto"/>
        </w:rPr>
      </w:pPr>
    </w:p>
    <w:p>
      <w:pPr>
        <w:ind w:left="500" w:right="140" w:hanging="474"/>
        <w:spacing w:after="0" w:line="216"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Stockholders of record at the close of business on March 2, 2020 (the "record date") are entitled to notice of, and to vote at, the annual meeting and any adjournments or postponements thereof. A holder of shares of our common stock as of the record date is entitled to one vote in person or by proxy for each share of common stock owned by such holder on all matters properly brought before the annual meeting or at any adjournments or postponements thereof. As of March 2, 2020, there were 9,120,920 shares of common stock outstanding and entitled to vote on each of the proposals.</w:t>
      </w:r>
    </w:p>
    <w:p>
      <w:pPr>
        <w:sectPr>
          <w:pgSz w:w="11900" w:h="16838" w:orient="portrait"/>
          <w:cols w:equalWidth="0" w:num="1">
            <w:col w:w="11220"/>
          </w:cols>
          <w:pgMar w:left="320" w:top="5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20"/>
          </w:cols>
          <w:pgMar w:left="320" w:top="553" w:right="359" w:bottom="1440" w:gutter="0" w:footer="0" w:header="0"/>
          <w:type w:val="continuous"/>
        </w:sectPr>
      </w:pPr>
    </w:p>
    <w:bookmarkStart w:id="7" w:name="page8"/>
    <w:bookmarkEnd w:id="7"/>
    <w:p>
      <w:pPr>
        <w:ind w:left="494" w:hanging="494"/>
        <w:spacing w:after="0"/>
        <w:tabs>
          <w:tab w:leader="none" w:pos="49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00" w:lineRule="exact"/>
        <w:rPr>
          <w:sz w:val="20"/>
          <w:szCs w:val="20"/>
          <w:color w:val="auto"/>
        </w:rPr>
      </w:pPr>
    </w:p>
    <w:p>
      <w:pPr>
        <w:spacing w:after="0" w:line="326" w:lineRule="exact"/>
        <w:rPr>
          <w:sz w:val="20"/>
          <w:szCs w:val="20"/>
          <w:color w:val="auto"/>
        </w:rPr>
      </w:pPr>
    </w:p>
    <w:p>
      <w:pPr>
        <w:ind w:left="474" w:right="160" w:hanging="474"/>
        <w:spacing w:after="0" w:line="311" w:lineRule="auto"/>
        <w:tabs>
          <w:tab w:leader="none" w:pos="474"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We must have a quorum in order to carry on the business of the annual meeting. This means at least a majority of the shares of common stock outstanding as of the record date must be represented at the annual meeting, either by proxy or in person. Abstentions and broker non-votes, which are described in more detail below, are counted as shares present at the annual meeting for purposes of determining whether a quorum exists.</w:t>
      </w:r>
    </w:p>
    <w:p>
      <w:pPr>
        <w:spacing w:after="0" w:line="200" w:lineRule="exact"/>
        <w:rPr>
          <w:sz w:val="20"/>
          <w:szCs w:val="20"/>
          <w:color w:val="auto"/>
        </w:rPr>
      </w:pPr>
    </w:p>
    <w:p>
      <w:pPr>
        <w:spacing w:after="0" w:line="242" w:lineRule="exact"/>
        <w:rPr>
          <w:sz w:val="20"/>
          <w:szCs w:val="20"/>
          <w:color w:val="auto"/>
        </w:rPr>
      </w:pPr>
    </w:p>
    <w:p>
      <w:pPr>
        <w:ind w:left="494" w:hanging="494"/>
        <w:spacing w:after="0"/>
        <w:tabs>
          <w:tab w:leader="none" w:pos="49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326" w:lineRule="exact"/>
        <w:rPr>
          <w:sz w:val="20"/>
          <w:szCs w:val="20"/>
          <w:color w:val="auto"/>
        </w:rPr>
      </w:pPr>
    </w:p>
    <w:p>
      <w:pPr>
        <w:jc w:val="both"/>
        <w:ind w:left="474" w:right="140" w:hanging="474"/>
        <w:spacing w:after="0" w:line="263" w:lineRule="auto"/>
        <w:tabs>
          <w:tab w:leader="none" w:pos="474"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in person at the annual meeting.</w:t>
      </w:r>
    </w:p>
    <w:p>
      <w:pPr>
        <w:spacing w:after="0" w:line="21" w:lineRule="exact"/>
        <w:rPr>
          <w:rFonts w:ascii="Arial" w:cs="Arial" w:eastAsia="Arial" w:hAnsi="Arial"/>
          <w:sz w:val="18"/>
          <w:szCs w:val="18"/>
          <w:b w:val="1"/>
          <w:bCs w:val="1"/>
          <w:color w:val="auto"/>
        </w:rPr>
      </w:pPr>
    </w:p>
    <w:p>
      <w:pPr>
        <w:ind w:left="474"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vote these shares in person at the annual meeting unless you obtain a valid proxy from your bank, broker or other nominee (who must be the stockholder of record) giving you the right to vote the shares.</w:t>
      </w:r>
    </w:p>
    <w:p>
      <w:pPr>
        <w:spacing w:after="0" w:line="200" w:lineRule="exact"/>
        <w:rPr>
          <w:sz w:val="20"/>
          <w:szCs w:val="20"/>
          <w:color w:val="auto"/>
        </w:rPr>
      </w:pPr>
    </w:p>
    <w:p>
      <w:pPr>
        <w:spacing w:after="0" w:line="271" w:lineRule="exact"/>
        <w:rPr>
          <w:sz w:val="20"/>
          <w:szCs w:val="20"/>
          <w:color w:val="auto"/>
        </w:rPr>
      </w:pPr>
    </w:p>
    <w:p>
      <w:pPr>
        <w:ind w:left="494" w:hanging="494"/>
        <w:spacing w:after="0"/>
        <w:tabs>
          <w:tab w:leader="none" w:pos="494"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broker non-vote?</w:t>
      </w:r>
    </w:p>
    <w:p>
      <w:pPr>
        <w:spacing w:after="0" w:line="200" w:lineRule="exact"/>
        <w:rPr>
          <w:sz w:val="20"/>
          <w:szCs w:val="20"/>
          <w:color w:val="auto"/>
        </w:rPr>
      </w:pPr>
    </w:p>
    <w:p>
      <w:pPr>
        <w:spacing w:after="0" w:line="326" w:lineRule="exact"/>
        <w:rPr>
          <w:sz w:val="20"/>
          <w:szCs w:val="20"/>
          <w:color w:val="auto"/>
        </w:rPr>
      </w:pPr>
    </w:p>
    <w:p>
      <w:pPr>
        <w:ind w:left="474" w:right="20" w:hanging="474"/>
        <w:spacing w:after="0" w:line="257" w:lineRule="auto"/>
        <w:tabs>
          <w:tab w:leader="none" w:pos="474"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25" w:lineRule="exact"/>
        <w:rPr>
          <w:rFonts w:ascii="Arial" w:cs="Arial" w:eastAsia="Arial" w:hAnsi="Arial"/>
          <w:sz w:val="18"/>
          <w:szCs w:val="18"/>
          <w:b w:val="1"/>
          <w:bCs w:val="1"/>
          <w:color w:val="auto"/>
        </w:rPr>
      </w:pPr>
    </w:p>
    <w:p>
      <w:pPr>
        <w:ind w:left="474"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Under applicable rules, Proposals 1, 3, and 4 are considered "non-routine" matters, on which banks, brokers and other nominees are not allowed to vote unless they have received voting instructions from the beneficial owners of such shares. The proposal to ratify the appointment of Deloitte as Westwood’s independent auditors for the year ending December 31, 2020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00" w:lineRule="exact"/>
        <w:rPr>
          <w:sz w:val="20"/>
          <w:szCs w:val="20"/>
          <w:color w:val="auto"/>
        </w:rPr>
      </w:pPr>
    </w:p>
    <w:p>
      <w:pPr>
        <w:spacing w:after="0" w:line="257" w:lineRule="exact"/>
        <w:rPr>
          <w:sz w:val="20"/>
          <w:szCs w:val="20"/>
          <w:color w:val="auto"/>
        </w:rPr>
      </w:pPr>
    </w:p>
    <w:p>
      <w:pPr>
        <w:ind w:left="494" w:hanging="494"/>
        <w:spacing w:after="0"/>
        <w:tabs>
          <w:tab w:leader="none" w:pos="49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w:t>
      </w:r>
    </w:p>
    <w:p>
      <w:pPr>
        <w:spacing w:after="0" w:line="200" w:lineRule="exact"/>
        <w:rPr>
          <w:sz w:val="20"/>
          <w:szCs w:val="20"/>
          <w:color w:val="auto"/>
        </w:rPr>
      </w:pPr>
    </w:p>
    <w:p>
      <w:pPr>
        <w:spacing w:after="0" w:line="326" w:lineRule="exact"/>
        <w:rPr>
          <w:sz w:val="20"/>
          <w:szCs w:val="20"/>
          <w:color w:val="auto"/>
        </w:rPr>
      </w:pPr>
    </w:p>
    <w:p>
      <w:pPr>
        <w:ind w:left="474" w:right="80" w:hanging="474"/>
        <w:spacing w:after="0" w:line="296" w:lineRule="auto"/>
        <w:tabs>
          <w:tab w:leader="none" w:pos="474"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Proposal 1: The election of directors requires the affirmative "FOR" vote of a plurality of the shares represented in person or by proxy at the annual meeting and entitled to vote. This means that the six director nominees who receive the most votes will be elected. You may vote "FOR" or "WITHHOLD" with respect to the election of each director. As the election of directors is a non-routine matter under applicable rules, your bank, broker or other nominee cannot vote without instructions from you. Therefore, only "FOR" votes will be counted in determining whether a plurality has been cast in favor of a director. Broker non-votes and "WITHHOLD" votes will not affect the outcome on the election of directors.</w:t>
      </w:r>
    </w:p>
    <w:p>
      <w:pPr>
        <w:spacing w:after="0" w:line="53" w:lineRule="exact"/>
        <w:rPr>
          <w:rFonts w:ascii="Arial" w:cs="Arial" w:eastAsia="Arial" w:hAnsi="Arial"/>
          <w:sz w:val="16"/>
          <w:szCs w:val="16"/>
          <w:b w:val="1"/>
          <w:bCs w:val="1"/>
          <w:color w:val="auto"/>
        </w:rPr>
      </w:pPr>
    </w:p>
    <w:p>
      <w:pPr>
        <w:ind w:left="474" w:right="10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Proposal 2: The ratification of the appointment of Deloitte as Westwood’s independent auditors for the year ending December 31, 2020 requires the affirmative "FOR" vote of a majority of the votes cast at the annual meeting. Abstentions will have no effect on the outcome of this proposal. Proposal 3: The approval of the Seventh Amended and Restated Westwood Holdings Group, Inc. Stock Incentive Plan requires the affirmative "FOR" vote of a majority of the votes cast at the annual meeting. As the approval of Proposal 3 is a non-routine matter under applicable rules, your bank, broker or other nominee cannot vote without instructions from you. An abstention is a vote cast under current NYSE rules, and, as a result, abstentions will have the effect of a vote "AGAINST" this proposal. A broker non-vote, however, is not a vote cast under current NYSE rules, and, as a result, will have no effect on the outcome of this proposal.</w:t>
      </w:r>
    </w:p>
    <w:p>
      <w:pPr>
        <w:spacing w:after="0" w:line="18" w:lineRule="exact"/>
        <w:rPr>
          <w:rFonts w:ascii="Arial" w:cs="Arial" w:eastAsia="Arial" w:hAnsi="Arial"/>
          <w:sz w:val="16"/>
          <w:szCs w:val="16"/>
          <w:b w:val="1"/>
          <w:bCs w:val="1"/>
          <w:color w:val="auto"/>
        </w:rPr>
      </w:pPr>
    </w:p>
    <w:p>
      <w:pPr>
        <w:ind w:left="474"/>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Proposal 4: The non-binding, advisory vote on the Company's executive compensation requires the affirmative "FOR" vote of a majority of the votes cast at the annual meeting. As the advisory vote on the Company's executive compensation is a non-routine matter under applicable rules, your bank, broker or other nominee cannot vote without instructions from you. Broker non-votes and abstentions will have no effect on the outcome of this proposal.</w:t>
      </w:r>
    </w:p>
    <w:p>
      <w:pPr>
        <w:sectPr>
          <w:pgSz w:w="11900" w:h="16838" w:orient="portrait"/>
          <w:cols w:equalWidth="0" w:num="1">
            <w:col w:w="11194"/>
          </w:cols>
          <w:pgMar w:left="346" w:top="60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194"/>
          </w:cols>
          <w:pgMar w:left="346" w:top="607" w:right="359"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b w:val="1"/>
          <w:bCs w:val="1"/>
          <w:u w:val="single" w:color="auto"/>
          <w:color w:val="auto"/>
        </w:rPr>
        <w:t>Procedures for Voting</w:t>
      </w:r>
    </w:p>
    <w:p>
      <w:pPr>
        <w:spacing w:after="0" w:line="200" w:lineRule="exact"/>
        <w:rPr>
          <w:sz w:val="20"/>
          <w:szCs w:val="20"/>
          <w:color w:val="auto"/>
        </w:rPr>
      </w:pPr>
    </w:p>
    <w:p>
      <w:pPr>
        <w:spacing w:after="0" w:line="295" w:lineRule="exact"/>
        <w:rPr>
          <w:sz w:val="20"/>
          <w:szCs w:val="20"/>
          <w:color w:val="auto"/>
        </w:rPr>
      </w:pPr>
    </w:p>
    <w:p>
      <w:pPr>
        <w:ind w:left="520" w:hanging="494"/>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200" w:lineRule="exact"/>
        <w:rPr>
          <w:sz w:val="20"/>
          <w:szCs w:val="20"/>
          <w:color w:val="auto"/>
        </w:rPr>
      </w:pPr>
    </w:p>
    <w:p>
      <w:pPr>
        <w:spacing w:after="0" w:line="326" w:lineRule="exact"/>
        <w:rPr>
          <w:sz w:val="20"/>
          <w:szCs w:val="20"/>
          <w:color w:val="auto"/>
        </w:rPr>
      </w:pPr>
    </w:p>
    <w:p>
      <w:pPr>
        <w:ind w:left="500" w:right="400" w:hanging="474"/>
        <w:spacing w:after="0" w:line="277" w:lineRule="auto"/>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Only stockholders of record as of the close of business on March 2, 2020, the record date, will be entitled to vote on the proposals at the annual meeting. Each share of common stock is entitled to one vote.</w:t>
      </w:r>
    </w:p>
    <w:p>
      <w:pPr>
        <w:spacing w:after="0" w:line="200" w:lineRule="exact"/>
        <w:rPr>
          <w:sz w:val="20"/>
          <w:szCs w:val="20"/>
          <w:color w:val="auto"/>
        </w:rPr>
      </w:pPr>
    </w:p>
    <w:p>
      <w:pPr>
        <w:spacing w:after="0" w:line="263" w:lineRule="exact"/>
        <w:rPr>
          <w:sz w:val="20"/>
          <w:szCs w:val="20"/>
          <w:color w:val="auto"/>
        </w:rPr>
      </w:pPr>
    </w:p>
    <w:p>
      <w:pPr>
        <w:ind w:left="520" w:hanging="494"/>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200" w:lineRule="exact"/>
        <w:rPr>
          <w:sz w:val="20"/>
          <w:szCs w:val="20"/>
          <w:color w:val="auto"/>
        </w:rPr>
      </w:pPr>
    </w:p>
    <w:p>
      <w:pPr>
        <w:spacing w:after="0" w:line="326" w:lineRule="exact"/>
        <w:rPr>
          <w:sz w:val="20"/>
          <w:szCs w:val="20"/>
          <w:color w:val="auto"/>
        </w:rPr>
      </w:pPr>
    </w:p>
    <w:p>
      <w:pPr>
        <w:jc w:val="both"/>
        <w:ind w:left="500" w:right="280" w:hanging="474"/>
        <w:spacing w:after="0" w:line="263" w:lineRule="auto"/>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If you are the record holder of your shares, you can vote by attending the annual meeting in person or by completing, signing and returning your proxy card in the enclosed postage-paid envelope. You can also vote by Internet at www.voteproxy.com using the control number shown on your proxy card or voting instruction card.</w:t>
      </w:r>
    </w:p>
    <w:p>
      <w:pPr>
        <w:spacing w:after="0" w:line="21" w:lineRule="exact"/>
        <w:rPr>
          <w:rFonts w:ascii="Arial" w:cs="Arial" w:eastAsia="Arial" w:hAnsi="Arial"/>
          <w:sz w:val="18"/>
          <w:szCs w:val="18"/>
          <w:b w:val="1"/>
          <w:bCs w:val="1"/>
          <w:color w:val="auto"/>
        </w:rPr>
      </w:pPr>
    </w:p>
    <w:p>
      <w:pPr>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00" w:lineRule="exact"/>
        <w:rPr>
          <w:sz w:val="20"/>
          <w:szCs w:val="20"/>
          <w:color w:val="auto"/>
        </w:rPr>
      </w:pPr>
    </w:p>
    <w:p>
      <w:pPr>
        <w:spacing w:after="0" w:line="264" w:lineRule="exact"/>
        <w:rPr>
          <w:sz w:val="20"/>
          <w:szCs w:val="20"/>
          <w:color w:val="auto"/>
        </w:rPr>
      </w:pPr>
    </w:p>
    <w:p>
      <w:pPr>
        <w:ind w:left="520" w:hanging="494"/>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Is my proxy revocable and can I change my vote?</w:t>
      </w:r>
    </w:p>
    <w:p>
      <w:pPr>
        <w:spacing w:after="0" w:line="200" w:lineRule="exact"/>
        <w:rPr>
          <w:sz w:val="20"/>
          <w:szCs w:val="20"/>
          <w:color w:val="auto"/>
        </w:rPr>
      </w:pPr>
    </w:p>
    <w:p>
      <w:pPr>
        <w:spacing w:after="0" w:line="326" w:lineRule="exact"/>
        <w:rPr>
          <w:sz w:val="20"/>
          <w:szCs w:val="20"/>
          <w:color w:val="auto"/>
        </w:rPr>
      </w:pPr>
    </w:p>
    <w:p>
      <w:pPr>
        <w:ind w:left="560" w:hanging="534"/>
        <w:spacing w:after="0"/>
        <w:tabs>
          <w:tab w:leader="none" w:pos="5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you may revoke your proxy at any time before it is officially voted by doing one of the following:</w:t>
      </w:r>
    </w:p>
    <w:p>
      <w:pPr>
        <w:spacing w:after="0" w:line="63" w:lineRule="exact"/>
        <w:rPr>
          <w:rFonts w:ascii="Arial" w:cs="Arial" w:eastAsia="Arial" w:hAnsi="Arial"/>
          <w:sz w:val="18"/>
          <w:szCs w:val="18"/>
          <w:b w:val="1"/>
          <w:bCs w:val="1"/>
          <w:color w:val="auto"/>
        </w:rPr>
      </w:pPr>
    </w:p>
    <w:p>
      <w:pPr>
        <w:ind w:left="1060" w:right="140" w:hanging="508"/>
        <w:spacing w:after="0" w:line="277"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Sending a written notice revoking your proxy to Julie K. Gerron, our Corporate Secretary, at 200 Crescent Court, Suite 1200, Dallas, Texas 75201;</w:t>
      </w:r>
    </w:p>
    <w:p>
      <w:pPr>
        <w:spacing w:after="0" w:line="8" w:lineRule="exact"/>
        <w:rPr>
          <w:rFonts w:ascii="Arial" w:cs="Arial" w:eastAsia="Arial" w:hAnsi="Arial"/>
          <w:sz w:val="18"/>
          <w:szCs w:val="18"/>
          <w:color w:val="auto"/>
        </w:rPr>
      </w:pPr>
    </w:p>
    <w:p>
      <w:pPr>
        <w:ind w:left="1060" w:hanging="508"/>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Signing and mailing to us a proxy bearing a later date;</w:t>
      </w:r>
    </w:p>
    <w:p>
      <w:pPr>
        <w:spacing w:after="0" w:line="63" w:lineRule="exact"/>
        <w:rPr>
          <w:rFonts w:ascii="Arial" w:cs="Arial" w:eastAsia="Arial" w:hAnsi="Arial"/>
          <w:sz w:val="18"/>
          <w:szCs w:val="18"/>
          <w:color w:val="auto"/>
        </w:rPr>
      </w:pPr>
    </w:p>
    <w:p>
      <w:pPr>
        <w:ind w:left="1060" w:hanging="508"/>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Changing your vote by Internet (if you voted by Internet); or</w:t>
      </w:r>
    </w:p>
    <w:p>
      <w:pPr>
        <w:spacing w:after="0" w:line="63" w:lineRule="exact"/>
        <w:rPr>
          <w:rFonts w:ascii="Arial" w:cs="Arial" w:eastAsia="Arial" w:hAnsi="Arial"/>
          <w:sz w:val="18"/>
          <w:szCs w:val="18"/>
          <w:color w:val="auto"/>
        </w:rPr>
      </w:pPr>
    </w:p>
    <w:p>
      <w:pPr>
        <w:ind w:left="1060" w:hanging="508"/>
        <w:spacing w:after="0"/>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Attending our annual meeting and voting in person.</w:t>
      </w:r>
    </w:p>
    <w:p>
      <w:pPr>
        <w:spacing w:after="0" w:line="320" w:lineRule="exact"/>
        <w:rPr>
          <w:sz w:val="20"/>
          <w:szCs w:val="20"/>
          <w:color w:val="auto"/>
        </w:rPr>
      </w:pPr>
    </w:p>
    <w:p>
      <w:pPr>
        <w:ind w:left="640" w:right="100"/>
        <w:spacing w:after="0" w:line="224" w:lineRule="auto"/>
        <w:rPr>
          <w:sz w:val="20"/>
          <w:szCs w:val="20"/>
          <w:color w:val="auto"/>
        </w:rPr>
      </w:pPr>
      <w:r>
        <w:rPr>
          <w:rFonts w:ascii="Arial" w:cs="Arial" w:eastAsia="Arial" w:hAnsi="Arial"/>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00" w:lineRule="exact"/>
        <w:rPr>
          <w:sz w:val="20"/>
          <w:szCs w:val="20"/>
          <w:color w:val="auto"/>
        </w:rPr>
      </w:pPr>
    </w:p>
    <w:p>
      <w:pPr>
        <w:spacing w:after="0" w:line="269" w:lineRule="exact"/>
        <w:rPr>
          <w:sz w:val="20"/>
          <w:szCs w:val="20"/>
          <w:color w:val="auto"/>
        </w:rPr>
      </w:pPr>
    </w:p>
    <w:p>
      <w:pPr>
        <w:ind w:left="520" w:hanging="494"/>
        <w:spacing w:after="0"/>
        <w:tabs>
          <w:tab w:leader="none" w:pos="5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00" w:lineRule="exact"/>
        <w:rPr>
          <w:sz w:val="20"/>
          <w:szCs w:val="20"/>
          <w:color w:val="auto"/>
        </w:rPr>
      </w:pPr>
    </w:p>
    <w:p>
      <w:pPr>
        <w:spacing w:after="0" w:line="326" w:lineRule="exact"/>
        <w:rPr>
          <w:sz w:val="20"/>
          <w:szCs w:val="20"/>
          <w:color w:val="auto"/>
        </w:rPr>
      </w:pPr>
    </w:p>
    <w:p>
      <w:pPr>
        <w:ind w:left="500" w:right="280" w:hanging="474"/>
        <w:spacing w:after="0" w:line="277" w:lineRule="auto"/>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Current Stock Ownership</w:t>
      </w:r>
    </w:p>
    <w:p>
      <w:pPr>
        <w:spacing w:after="0" w:line="200" w:lineRule="exact"/>
        <w:rPr>
          <w:sz w:val="20"/>
          <w:szCs w:val="20"/>
          <w:color w:val="auto"/>
        </w:rPr>
      </w:pPr>
    </w:p>
    <w:p>
      <w:pPr>
        <w:spacing w:after="0" w:line="322" w:lineRule="exact"/>
        <w:rPr>
          <w:sz w:val="20"/>
          <w:szCs w:val="20"/>
          <w:color w:val="auto"/>
        </w:rPr>
      </w:pPr>
    </w:p>
    <w:p>
      <w:pPr>
        <w:ind w:left="520" w:hanging="494"/>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percentage of stock do the directors and executive officers own?</w:t>
      </w:r>
    </w:p>
    <w:p>
      <w:pPr>
        <w:spacing w:after="0" w:line="200" w:lineRule="exact"/>
        <w:rPr>
          <w:sz w:val="20"/>
          <w:szCs w:val="20"/>
          <w:color w:val="auto"/>
        </w:rPr>
      </w:pPr>
    </w:p>
    <w:p>
      <w:pPr>
        <w:spacing w:after="0" w:line="353" w:lineRule="exact"/>
        <w:rPr>
          <w:sz w:val="20"/>
          <w:szCs w:val="20"/>
          <w:color w:val="auto"/>
        </w:rPr>
      </w:pPr>
    </w:p>
    <w:p>
      <w:pPr>
        <w:ind w:left="500" w:right="440" w:hanging="474"/>
        <w:spacing w:after="0" w:line="277" w:lineRule="auto"/>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Collectively, our executive officers and directors beneficially owned approximately 816,828 shares, or approximately 9.0%, of our outstanding common stock as of March 2, 2020.</w:t>
      </w:r>
    </w:p>
    <w:p>
      <w:pPr>
        <w:spacing w:after="0" w:line="62" w:lineRule="exact"/>
        <w:rPr>
          <w:rFonts w:ascii="Arial" w:cs="Arial" w:eastAsia="Arial" w:hAnsi="Arial"/>
          <w:sz w:val="18"/>
          <w:szCs w:val="18"/>
          <w:b w:val="1"/>
          <w:bCs w:val="1"/>
          <w:color w:val="auto"/>
        </w:rPr>
      </w:pPr>
    </w:p>
    <w:p>
      <w:pPr>
        <w:ind w:left="500" w:right="60"/>
        <w:spacing w:after="0" w:line="235" w:lineRule="auto"/>
        <w:rPr>
          <w:rFonts w:ascii="Arial" w:cs="Arial" w:eastAsia="Arial" w:hAnsi="Arial"/>
          <w:sz w:val="18"/>
          <w:szCs w:val="18"/>
          <w:b w:val="1"/>
          <w:bCs w:val="1"/>
          <w:color w:val="auto"/>
        </w:rPr>
      </w:pPr>
      <w:r>
        <w:rPr>
          <w:rFonts w:ascii="Arial" w:cs="Arial" w:eastAsia="Arial" w:hAnsi="Arial"/>
          <w:sz w:val="18"/>
          <w:szCs w:val="18"/>
          <w:color w:val="auto"/>
        </w:rPr>
        <w:t>We believe that our executive officers and directors intend to vote their shares of our common stock on each of the proposals presented in this proxy statement as recommended by the Board of Directors.</w:t>
      </w:r>
    </w:p>
    <w:p>
      <w:pPr>
        <w:sectPr>
          <w:pgSz w:w="11900" w:h="16838" w:orient="portrait"/>
          <w:cols w:equalWidth="0" w:num="1">
            <w:col w:w="11220"/>
          </w:cols>
          <w:pgMar w:left="320" w:top="55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20"/>
          </w:cols>
          <w:pgMar w:left="320" w:top="553" w:right="359" w:bottom="1440" w:gutter="0" w:footer="0" w:header="0"/>
          <w:type w:val="continuous"/>
        </w:sectPr>
      </w:pPr>
    </w:p>
    <w:bookmarkStart w:id="9" w:name="page10"/>
    <w:bookmarkEnd w:id="9"/>
    <w:p>
      <w:pPr>
        <w:ind w:left="520" w:hanging="494"/>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 are the largest principal stockholders?</w:t>
      </w:r>
    </w:p>
    <w:p>
      <w:pPr>
        <w:spacing w:after="0" w:line="200" w:lineRule="exact"/>
        <w:rPr>
          <w:sz w:val="20"/>
          <w:szCs w:val="20"/>
          <w:color w:val="auto"/>
        </w:rPr>
      </w:pPr>
    </w:p>
    <w:p>
      <w:pPr>
        <w:spacing w:after="0" w:line="326" w:lineRule="exact"/>
        <w:rPr>
          <w:sz w:val="20"/>
          <w:szCs w:val="20"/>
          <w:color w:val="auto"/>
        </w:rPr>
      </w:pPr>
    </w:p>
    <w:p>
      <w:pPr>
        <w:ind w:left="500" w:right="100" w:hanging="474"/>
        <w:spacing w:after="0" w:line="257" w:lineRule="auto"/>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Based on our review of Schedule 13G, Schedule 13D and Form 13F filings, as of March 2, 2020, the ten institutional stockholders with the largest percentage ownership of our outstanding common stock were BlackRock, Inc. (8.8%), Renaissance Technologies LLC (7.8%), Wells Fargo &amp; Company (6.8%), GAMCO Investors, Inc. (6.1%), The Vanguard Group, Inc. (5.0%), ProShare Advisors LLC (4.5%), Dimensional Fund Advisors LP (4.5%), SSgA Funds Management Inc. (1.9%), Hotchkis &amp; Wiley Capital Management LLC (1.6%), and Geode Capital Management LLC (1.5%).</w:t>
      </w:r>
    </w:p>
    <w:p>
      <w:pPr>
        <w:spacing w:after="0" w:line="79" w:lineRule="exact"/>
        <w:rPr>
          <w:rFonts w:ascii="Arial" w:cs="Arial" w:eastAsia="Arial" w:hAnsi="Arial"/>
          <w:sz w:val="18"/>
          <w:szCs w:val="18"/>
          <w:b w:val="1"/>
          <w:bCs w:val="1"/>
          <w:color w:val="auto"/>
        </w:rPr>
      </w:pPr>
    </w:p>
    <w:p>
      <w:pPr>
        <w:ind w:left="500" w:right="1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Brian O. Casey, our President and Chief Executive Officer, owned 4.0%, and Susan M. Byrne, our Vice Chairman, owned 2.7% of our outstanding common stock as of March 2, 2020. Our employees and directors, including Ms. Byrne and Mr. Casey, collectively owned approximately 20% of our outstanding common stock as of March 2, 2020.</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00" w:lineRule="exact"/>
        <w:rPr>
          <w:sz w:val="20"/>
          <w:szCs w:val="20"/>
          <w:color w:val="auto"/>
        </w:rPr>
      </w:pPr>
    </w:p>
    <w:p>
      <w:pPr>
        <w:spacing w:after="0" w:line="295" w:lineRule="exact"/>
        <w:rPr>
          <w:sz w:val="20"/>
          <w:szCs w:val="20"/>
          <w:color w:val="auto"/>
        </w:rPr>
      </w:pPr>
    </w:p>
    <w:p>
      <w:pPr>
        <w:ind w:left="520" w:hanging="494"/>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the 2021 annual meeting of stockholders?</w:t>
      </w:r>
    </w:p>
    <w:p>
      <w:pPr>
        <w:spacing w:after="0" w:line="200" w:lineRule="exact"/>
        <w:rPr>
          <w:sz w:val="20"/>
          <w:szCs w:val="20"/>
          <w:color w:val="auto"/>
        </w:rPr>
      </w:pPr>
    </w:p>
    <w:p>
      <w:pPr>
        <w:spacing w:after="0" w:line="326" w:lineRule="exact"/>
        <w:rPr>
          <w:sz w:val="20"/>
          <w:szCs w:val="20"/>
          <w:color w:val="auto"/>
        </w:rPr>
      </w:pPr>
    </w:p>
    <w:p>
      <w:pPr>
        <w:ind w:left="500" w:hanging="474"/>
        <w:spacing w:after="0" w:line="279" w:lineRule="auto"/>
        <w:tabs>
          <w:tab w:leader="none" w:pos="500"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To be included in the proxy statement for the 2021 annual meeting, stockholder proposals must be in writing and must be received by Westwood at our principal executive office at 200 Crescent Court, Suite 1200, Dallas, Texas 75201, Attn: Corporate Secretary, no later than November 6, 2020. In addition, such stockholder proposals must comply with Rule 14a-8 under the Securities Exchange Act of 1934, as amended (the "Exchange Act"), which lists the requirements for the inclusion of stockholder proposals in company-sponsored proxy materials.</w:t>
      </w:r>
    </w:p>
    <w:p>
      <w:pPr>
        <w:spacing w:after="0" w:line="9" w:lineRule="exact"/>
        <w:rPr>
          <w:rFonts w:ascii="Arial" w:cs="Arial" w:eastAsia="Arial" w:hAnsi="Arial"/>
          <w:sz w:val="17"/>
          <w:szCs w:val="17"/>
          <w:b w:val="1"/>
          <w:bCs w:val="1"/>
          <w:color w:val="auto"/>
        </w:rPr>
      </w:pPr>
    </w:p>
    <w:p>
      <w:pPr>
        <w:ind w:left="500" w:right="8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If a stockholder intends to present a proposal at the 2021 annual meeting, but does not seek to include the proposal in the 2021 proxy statement, notice of the proposal must be received by Westwood at our principal executive offices at least 45 calendar days before the date of this proxy statement, or your proxy will confer discretionary authority on the person(s) named in the form of proxy for the 2021 annual meeting to vote on the proposal if it is properly presented for consideration at the meeting.</w:t>
      </w:r>
    </w:p>
    <w:p>
      <w:pPr>
        <w:spacing w:after="0" w:line="200" w:lineRule="exact"/>
        <w:rPr>
          <w:sz w:val="20"/>
          <w:szCs w:val="20"/>
          <w:color w:val="auto"/>
        </w:rPr>
      </w:pPr>
    </w:p>
    <w:p>
      <w:pPr>
        <w:spacing w:after="0" w:line="307" w:lineRule="exact"/>
        <w:rPr>
          <w:sz w:val="20"/>
          <w:szCs w:val="20"/>
          <w:color w:val="auto"/>
        </w:rPr>
      </w:pPr>
    </w:p>
    <w:p>
      <w:pPr>
        <w:ind w:left="500" w:right="140" w:hanging="474"/>
        <w:spacing w:after="0" w:line="282" w:lineRule="auto"/>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recommend or nominate individuals to serve as directors, and what is the deadline to propose or nominate individuals to serve as directors?</w:t>
      </w:r>
    </w:p>
    <w:p>
      <w:pPr>
        <w:spacing w:after="0" w:line="200" w:lineRule="exact"/>
        <w:rPr>
          <w:sz w:val="20"/>
          <w:szCs w:val="20"/>
          <w:color w:val="auto"/>
        </w:rPr>
      </w:pPr>
    </w:p>
    <w:p>
      <w:pPr>
        <w:spacing w:after="0" w:line="263" w:lineRule="exact"/>
        <w:rPr>
          <w:sz w:val="20"/>
          <w:szCs w:val="20"/>
          <w:color w:val="auto"/>
        </w:rPr>
      </w:pPr>
    </w:p>
    <w:p>
      <w:pPr>
        <w:ind w:left="500" w:right="40" w:hanging="474"/>
        <w:spacing w:after="0" w:line="296" w:lineRule="auto"/>
        <w:tabs>
          <w:tab w:leader="none" w:pos="500"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You may propose director candidates for consideration by the Governance/Nominating Committee of our Board of Directors. Any such recommendations must be in writing to our Corporate Secretary at our principal executive office and received at least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annual meeting, then the deadline is a reasonable time before we begin to print and mail our proxy materials.</w:t>
      </w:r>
    </w:p>
    <w:p>
      <w:pPr>
        <w:spacing w:after="0" w:line="53" w:lineRule="exact"/>
        <w:rPr>
          <w:rFonts w:ascii="Arial" w:cs="Arial" w:eastAsia="Arial" w:hAnsi="Arial"/>
          <w:sz w:val="16"/>
          <w:szCs w:val="16"/>
          <w:b w:val="1"/>
          <w:bCs w:val="1"/>
          <w:color w:val="auto"/>
        </w:rPr>
      </w:pPr>
    </w:p>
    <w:p>
      <w:pPr>
        <w:ind w:left="500" w:right="280"/>
        <w:spacing w:after="0" w:line="232" w:lineRule="auto"/>
        <w:rPr>
          <w:rFonts w:ascii="Arial" w:cs="Arial" w:eastAsia="Arial" w:hAnsi="Arial"/>
          <w:sz w:val="16"/>
          <w:szCs w:val="16"/>
          <w:b w:val="1"/>
          <w:bCs w:val="1"/>
          <w:color w:val="auto"/>
        </w:rPr>
      </w:pPr>
      <w:r>
        <w:rPr>
          <w:rFonts w:ascii="Arial" w:cs="Arial" w:eastAsia="Arial" w:hAnsi="Arial"/>
          <w:sz w:val="17"/>
          <w:szCs w:val="17"/>
          <w:color w:val="auto"/>
        </w:rPr>
        <w:t>For the 2021 annual meeting, the deadline for proposing or nominating individuals to serve as director is November 6, 2020. Director candidates recommended by stockholders are evaluated by the Governance/Nominating Committee based on the same criteria applied by the Governance/Nominating Committee to director candidates identified by that committee. To be valid, a stockholder’s notice to the Corporate Secretary must set forth specified information, as further described in "Corporate Governance Information—Director Nominees."</w:t>
      </w:r>
    </w:p>
    <w:p>
      <w:pPr>
        <w:spacing w:after="0" w:line="200" w:lineRule="exact"/>
        <w:rPr>
          <w:sz w:val="20"/>
          <w:szCs w:val="20"/>
          <w:color w:val="auto"/>
        </w:rPr>
      </w:pPr>
    </w:p>
    <w:p>
      <w:pPr>
        <w:spacing w:after="0" w:line="296" w:lineRule="exact"/>
        <w:rPr>
          <w:sz w:val="20"/>
          <w:szCs w:val="20"/>
          <w:color w:val="auto"/>
        </w:rPr>
      </w:pPr>
    </w:p>
    <w:p>
      <w:pPr>
        <w:ind w:left="520" w:hanging="494"/>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326" w:lineRule="exact"/>
        <w:rPr>
          <w:sz w:val="20"/>
          <w:szCs w:val="20"/>
          <w:color w:val="auto"/>
        </w:rPr>
      </w:pPr>
    </w:p>
    <w:p>
      <w:pPr>
        <w:jc w:val="both"/>
        <w:ind w:left="500" w:right="120" w:hanging="474"/>
        <w:spacing w:after="0" w:line="263" w:lineRule="auto"/>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00" w:lineRule="exact"/>
        <w:rPr>
          <w:sz w:val="20"/>
          <w:szCs w:val="20"/>
          <w:color w:val="auto"/>
        </w:rPr>
      </w:pPr>
    </w:p>
    <w:p>
      <w:pPr>
        <w:spacing w:after="0" w:line="277" w:lineRule="exact"/>
        <w:rPr>
          <w:sz w:val="20"/>
          <w:szCs w:val="20"/>
          <w:color w:val="auto"/>
        </w:rPr>
      </w:pPr>
    </w:p>
    <w:p>
      <w:pPr>
        <w:ind w:left="520" w:hanging="494"/>
        <w:spacing w:after="0"/>
        <w:tabs>
          <w:tab w:leader="none" w:pos="5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additional questions?</w:t>
      </w:r>
    </w:p>
    <w:p>
      <w:pPr>
        <w:sectPr>
          <w:pgSz w:w="11900" w:h="16838" w:orient="portrait"/>
          <w:cols w:equalWidth="0" w:num="1">
            <w:col w:w="11200"/>
          </w:cols>
          <w:pgMar w:left="320" w:top="60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00"/>
          </w:cols>
          <w:pgMar w:left="320" w:top="607" w:right="379" w:bottom="1440" w:gutter="0" w:footer="0" w:header="0"/>
          <w:type w:val="continuous"/>
        </w:sectPr>
      </w:pPr>
    </w:p>
    <w:bookmarkStart w:id="10" w:name="page11"/>
    <w:bookmarkEnd w:id="10"/>
    <w:p>
      <w:pPr>
        <w:ind w:left="500" w:right="280" w:hanging="474"/>
        <w:spacing w:after="0" w:line="277" w:lineRule="auto"/>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8" w:lineRule="exact"/>
        <w:rPr>
          <w:rFonts w:ascii="Arial" w:cs="Arial" w:eastAsia="Arial" w:hAnsi="Arial"/>
          <w:sz w:val="18"/>
          <w:szCs w:val="18"/>
          <w:b w:val="1"/>
          <w:bCs w:val="1"/>
          <w:color w:val="auto"/>
        </w:rPr>
      </w:pPr>
    </w:p>
    <w:p>
      <w:pPr>
        <w:ind w:left="500" w:right="70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Terry Forbes, Chief Financial Officer &amp; Treasurer Westwood Holdings Group, Inc.</w:t>
      </w:r>
    </w:p>
    <w:p>
      <w:pPr>
        <w:spacing w:after="0" w:line="1" w:lineRule="exact"/>
        <w:rPr>
          <w:rFonts w:ascii="Arial" w:cs="Arial" w:eastAsia="Arial" w:hAnsi="Arial"/>
          <w:sz w:val="18"/>
          <w:szCs w:val="18"/>
          <w:b w:val="1"/>
          <w:bCs w:val="1"/>
          <w:color w:val="auto"/>
        </w:rPr>
      </w:pPr>
    </w:p>
    <w:p>
      <w:pPr>
        <w:ind w:left="500" w:right="83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200 Crescent Court, Suite 1200 Dallas, Texas 75201 Telephone: (214) 756-6900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2019, filed with the Securities and Exchange Commission ("SEC") on February 20, 2020 (the "2019 Form 10-K"), which is being sent to you with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611" w:right="4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bylaws provide that the Board of Directors of the Company (the "Board") will consist of between three and eleven directors, as determined from time to time by resolution of the Board. The Board has previously set the number of directors at eight but reduced the number of directors to six for the current term. The terms of the six incumbent directors expire at the 2020 Annual Meeting. Each director elected at the 2020 Annual Meeting will serve until the 2021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8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76"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Each stockholder is entitled to cast one vote for each director nominee per share of common stock held by them at the close of business on March 2, 2020. A plurality of the shares represented in person or by proxy at the annual meeting and entitled to vote is required for the election of directors. This means that the six director nominees who receive the most votes will be elected. Votes may be cast in favor of a director nominee or withheld. Stockholders may withhold authority to vote for any individual nominee by marking "FOR ALL EXCEPT" and then filling in the circle next to such director's name in the space provided for such purpose on the proxy card. Broker non-votes and votes that are withheld will be excluded entirely from the vote and will have no effect. Votes that are withheld for a particular nominee will be excluded from the vote for that nominee only.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persons nominated to be directors are listed below. The following information is submitted concerning the nominees for election as directors: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Position(s) With Westwood</w:t>
            </w:r>
          </w:p>
        </w:tc>
      </w:tr>
      <w:tr>
        <w:trPr>
          <w:trHeight w:val="243"/>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Brian O. Casey</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4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32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140" w:type="dxa"/>
            <w:vAlign w:val="bottom"/>
          </w:tcPr>
          <w:p>
            <w:pPr>
              <w:spacing w:after="0"/>
              <w:rPr>
                <w:sz w:val="24"/>
                <w:szCs w:val="24"/>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Chairman of the Board of Directors</w:t>
            </w:r>
          </w:p>
        </w:tc>
      </w:tr>
      <w:tr>
        <w:trPr>
          <w:trHeight w:val="32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Susan M. Byrne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140" w:type="dxa"/>
            <w:vAlign w:val="bottom"/>
          </w:tcPr>
          <w:p>
            <w:pPr>
              <w:spacing w:after="0"/>
              <w:rPr>
                <w:sz w:val="24"/>
                <w:szCs w:val="24"/>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Vice Chairman of the Board of Directors</w:t>
            </w:r>
          </w:p>
        </w:tc>
      </w:tr>
      <w:tr>
        <w:trPr>
          <w:trHeight w:val="32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Ellen H. Masterson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40" w:type="dxa"/>
            <w:vAlign w:val="bottom"/>
          </w:tcPr>
          <w:p>
            <w:pPr>
              <w:spacing w:after="0"/>
              <w:rPr>
                <w:sz w:val="24"/>
                <w:szCs w:val="24"/>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140" w:type="dxa"/>
            <w:vAlign w:val="bottom"/>
          </w:tcPr>
          <w:p>
            <w:pPr>
              <w:spacing w:after="0"/>
              <w:rPr>
                <w:sz w:val="24"/>
                <w:szCs w:val="24"/>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32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81</w:t>
            </w:r>
          </w:p>
        </w:tc>
        <w:tc>
          <w:tcPr>
            <w:tcW w:w="140" w:type="dxa"/>
            <w:vAlign w:val="bottom"/>
          </w:tcPr>
          <w:p>
            <w:pPr>
              <w:spacing w:after="0"/>
              <w:rPr>
                <w:sz w:val="24"/>
                <w:szCs w:val="24"/>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APPROVAL OF EACH OF THE DIRECTOR NOMINEES.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biographical information for each director nominee is set forth below.</w:t>
      </w:r>
    </w:p>
    <w:p>
      <w:pPr>
        <w:spacing w:after="0" w:line="117"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i w:val="1"/>
          <w:iCs w:val="1"/>
          <w:color w:val="auto"/>
        </w:rPr>
        <w:t xml:space="preserve">Brian O. Casey </w:t>
      </w:r>
      <w:r>
        <w:rPr>
          <w:rFonts w:ascii="Arial" w:cs="Arial" w:eastAsia="Arial" w:hAnsi="Arial"/>
          <w:sz w:val="17"/>
          <w:szCs w:val="17"/>
          <w:color w:val="auto"/>
        </w:rPr>
        <w:t>has served Westwood as Chief Executive Officer of Westwood since January 2006, as President and a director since its inception in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2001, as Secretary from December 2001 to March 2014, and as Chief Operating Officer from 2001 to 2005. Mr. Casey has served as Chief Executive Officer of Westwood Management since January 2006, as President since 2002, and as a director since 2000. Mr. Casey served as Chief Operating Officer of Westwood Management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devoted exclusively to raising money for the Texas Scottish Rite Hospital for Children. From 2008 until 2017, he served on the board of the Baylor Health Care System Foundation, which helps raise money to support Baylor Health Care System's mission of patient care, education, research and community service. In 2011, he was appointed to the Board of the Cooper Institute, an organization dedicated to scientific research in the field of preventative medicine and public health.</w:t>
      </w:r>
    </w:p>
    <w:p>
      <w:pPr>
        <w:spacing w:after="0" w:line="73"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As the Chief Executive Officer of the Company and with over 21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5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i w:val="1"/>
          <w:iCs w:val="1"/>
          <w:color w:val="auto"/>
        </w:rPr>
        <w:t xml:space="preserve">Richard M. Frank </w:t>
      </w:r>
      <w:r>
        <w:rPr>
          <w:rFonts w:ascii="Arial" w:cs="Arial" w:eastAsia="Arial" w:hAnsi="Arial"/>
          <w:sz w:val="18"/>
          <w:szCs w:val="18"/>
          <w:color w:val="auto"/>
        </w:rPr>
        <w:t>has served as a director of Westwood and Westwood Trust since February 2006, and as Chairman of the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1, 2015. Mr. Frank was previously employed by CEC Entertainment, Inc. ("CEC"), a Dallas-based company that develops, operates and franchises family dining entertainment centers, until his retirement in March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445" w:right="339" w:bottom="1440" w:gutter="0" w:footer="0" w:header="0"/>
        </w:sectPr>
      </w:pPr>
    </w:p>
    <w:bookmarkStart w:id="12" w:name="page13"/>
    <w:bookmarkEnd w:id="12"/>
    <w:p>
      <w:pPr>
        <w:ind w:right="260"/>
        <w:spacing w:after="0" w:line="259" w:lineRule="auto"/>
        <w:rPr>
          <w:sz w:val="20"/>
          <w:szCs w:val="20"/>
          <w:color w:val="auto"/>
        </w:rPr>
      </w:pPr>
      <w:r>
        <w:rPr>
          <w:rFonts w:ascii="Arial" w:cs="Arial" w:eastAsia="Arial" w:hAnsi="Arial"/>
          <w:sz w:val="18"/>
          <w:szCs w:val="18"/>
          <w:color w:val="auto"/>
        </w:rPr>
        <w:t>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7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76" w:lineRule="exact"/>
        <w:rPr>
          <w:sz w:val="20"/>
          <w:szCs w:val="20"/>
          <w:color w:val="auto"/>
        </w:rPr>
      </w:pPr>
    </w:p>
    <w:p>
      <w:pPr>
        <w:ind w:right="160" w:firstLine="405"/>
        <w:spacing w:after="0" w:line="287" w:lineRule="auto"/>
        <w:rPr>
          <w:sz w:val="20"/>
          <w:szCs w:val="20"/>
          <w:color w:val="auto"/>
        </w:rPr>
      </w:pPr>
      <w:r>
        <w:rPr>
          <w:rFonts w:ascii="Arial" w:cs="Arial" w:eastAsia="Arial" w:hAnsi="Arial"/>
          <w:sz w:val="16"/>
          <w:szCs w:val="16"/>
          <w:i w:val="1"/>
          <w:iCs w:val="1"/>
          <w:color w:val="auto"/>
        </w:rPr>
        <w:t xml:space="preserve">Susan M. Byrne </w:t>
      </w:r>
      <w:r>
        <w:rPr>
          <w:rFonts w:ascii="Arial" w:cs="Arial" w:eastAsia="Arial" w:hAnsi="Arial"/>
          <w:sz w:val="16"/>
          <w:szCs w:val="16"/>
          <w:color w:val="auto"/>
        </w:rPr>
        <w:t>has served as a director of Westwood since its inception in December 2001 and served as Chairman of the Board of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Westwood's inception through May 1, 2015, at which time she began serving as Vice Chairman of the Board of Directors, a position which she currently holds. Ms. Byrne also serves as a consultant to the Company under an agreement dated March 17, 2015. She served as Director, Global Initiatives for Westwood from February 2012 to July 2015, as Co-Chief Investment Officer from January 2011 to February 2012, as Chief Investment Officer from January 2006 to January 2011, and as Chief Executive Officer from December 2001 to December 2005. Ms. Byrne is the founder of Westwood Management Corp., and she has served as its Chairman of the Board since 1983, as Chief Investment Officer from 1983 to February 2012, as Chief Executive Officer from 1983 to 2005, and as President from 1983 to 2002. She served as a director of Westwood Trust from 1996 to 1999 and again since 2016. She is a Trustee of the Dallas Museum of Art, where she also serves on the Executive Committee and as Treasurer. She serves as a Trustee of the Impact Dallas Capital Board, as a Trustee of the Naval Postgraduate School Foundation and a Trustee of the Dallas Police &amp; Fire Pension System. Ms. Byrne has previously served as a member of the Board of Presbyterian Communities &amp; Services Foundation, the Board of the University of Texas Investment Management Company, and the Board of Trustees for the City of Dallas Employees Retirement Fund.</w:t>
      </w:r>
    </w:p>
    <w:p>
      <w:pPr>
        <w:spacing w:after="0" w:line="6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As the Founder and Vice Chairman of the Board of the Company and as a result of her tenure with the Company and its subsidiaries for over 30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40 years of experience in the investment management business, Ms. Byrne is uniquely qualified to provide insight to the Board on the Company's investment management strategies and operations.</w:t>
      </w:r>
    </w:p>
    <w:p>
      <w:pPr>
        <w:spacing w:after="0" w:line="80"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i w:val="1"/>
          <w:iCs w:val="1"/>
          <w:color w:val="auto"/>
        </w:rPr>
        <w:t xml:space="preserve">Ellen H. Masterson </w:t>
      </w:r>
      <w:r>
        <w:rPr>
          <w:rFonts w:ascii="Arial" w:cs="Arial" w:eastAsia="Arial" w:hAnsi="Arial"/>
          <w:sz w:val="16"/>
          <w:szCs w:val="16"/>
          <w:color w:val="auto"/>
        </w:rPr>
        <w:t>has served as a director of Westwood and Westwood Trust since 2014. She retired as a partner with PricewaterhouseCoopers</w:t>
      </w:r>
      <w:r>
        <w:rPr>
          <w:rFonts w:ascii="Arial" w:cs="Arial" w:eastAsia="Arial" w:hAnsi="Arial"/>
          <w:sz w:val="16"/>
          <w:szCs w:val="16"/>
          <w:i w:val="1"/>
          <w:iCs w:val="1"/>
          <w:color w:val="auto"/>
        </w:rPr>
        <w:t xml:space="preserve"> </w:t>
      </w:r>
      <w:r>
        <w:rPr>
          <w:rFonts w:ascii="Arial" w:cs="Arial" w:eastAsia="Arial" w:hAnsi="Arial"/>
          <w:sz w:val="16"/>
          <w:szCs w:val="16"/>
          <w:color w:val="auto"/>
        </w:rPr>
        <w:t>("PwC") in 2008, having served in such capacity since 1999 and also from 1985 to 1997. Ms. Masterson specialized in the audits of companies involved in the financial services industry, including investment management firms and public companies with a focus on mergers and acquisitions. She held senior leadership positions at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also on the Board of Governors of The Doctors Company, the largest doctor-owned medical malpractice insurer in the U.S. Since 1982, she has served on the boards of directors for several nonprofit and charitable organizations.</w:t>
      </w:r>
    </w:p>
    <w:p>
      <w:pPr>
        <w:spacing w:after="0" w:line="5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76"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i w:val="1"/>
          <w:iCs w:val="1"/>
          <w:color w:val="auto"/>
        </w:rPr>
        <w:t xml:space="preserve">Geoffrey R. Norman </w:t>
      </w:r>
      <w:r>
        <w:rPr>
          <w:rFonts w:ascii="Arial" w:cs="Arial" w:eastAsia="Arial" w:hAnsi="Arial"/>
          <w:sz w:val="17"/>
          <w:szCs w:val="17"/>
          <w:color w:val="auto"/>
        </w:rPr>
        <w:t>has served as a director of Westwood and Westwood Trust since April 2007. He was employed by General Electric from 1968 to</w:t>
      </w:r>
      <w:r>
        <w:rPr>
          <w:rFonts w:ascii="Arial" w:cs="Arial" w:eastAsia="Arial" w:hAnsi="Arial"/>
          <w:sz w:val="17"/>
          <w:szCs w:val="17"/>
          <w:i w:val="1"/>
          <w:iCs w:val="1"/>
          <w:color w:val="auto"/>
        </w:rPr>
        <w:t xml:space="preserve"> </w:t>
      </w:r>
      <w:r>
        <w:rPr>
          <w:rFonts w:ascii="Arial" w:cs="Arial" w:eastAsia="Arial" w:hAnsi="Arial"/>
          <w:sz w:val="17"/>
          <w:szCs w:val="17"/>
          <w:color w:val="auto"/>
        </w:rPr>
        <w:t>2004, serving in various roles including Comptroller of GE Española, Chief Financial Officer of GE International Contractor Equipment, Vice President &amp; Treasurer of GE Capital and, from April 1998 to March 2004, as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68"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49"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i w:val="1"/>
          <w:iCs w:val="1"/>
          <w:color w:val="auto"/>
        </w:rPr>
        <w:t xml:space="preserve">Raymond E. Wooldridge </w:t>
      </w:r>
      <w:r>
        <w:rPr>
          <w:rFonts w:ascii="Arial" w:cs="Arial" w:eastAsia="Arial" w:hAnsi="Arial"/>
          <w:sz w:val="16"/>
          <w:szCs w:val="16"/>
          <w:color w:val="auto"/>
        </w:rPr>
        <w:t>has served as a director of Westwood since it became a public company in December 2001. He has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Westwood Trust since 2000. Mr. Wooldridge is Chairman of the Board of Reeves Bancshares, Inc., a one-bank holding company whose principal subsidiary is Stockmans Bank, which serves southwestern Oklahoma and the Dallas area. He also serves as director and Investment Committee member of the Catholic Diocese Educational Endowment Trust Fund. Until February 2014, Mr. Wooldridge was a director of CEC, a Dallas-based company that develops, operates and franchises family dining entertainment centers. CEC was an NYSE-listed company until February 2014. From 1994 to 2009, 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57" w:right="33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was a director of Davidson Companies, Inc., a large financial services holding company headquartered in Montana. Mr. Wooldridge also served as a director of Davidson Trust Company, a wealth management and trust firm, from 2001 to 2005. From 1986 to 1999, he was a director of SWS Group, Inc. ("SWS"); from 1996 to 1999, he served as the Vice Chairman and Chairman of the Executive Committee of SWS; from 1993 to 1996, he served as Chief Executive Officer of SWS; and from 1986 to 1993, he served as President and Chief Operating Officer of SWS. He is a past Chairman of the National Securities Clearing Corporation, a national clearing agency registered with the SEC, and past Vice Chairman of the Board of Governors of the National Association of Securities Dealers.</w:t>
      </w:r>
    </w:p>
    <w:p>
      <w:pPr>
        <w:spacing w:after="0" w:line="8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Mr. Wooldridge brings extensive financial, operational, regulatory and strategy expertise to the Board, having served in senior executive roles with SWS for over 13 years. In addition, as a former senior executive and director of SWS, our former parent company, Mr. Wooldridge developed intimate knowledge of the Company's operations, firm history and competitive landscape. Mr. Wooldridge brings valuable experience in business, governance, compensation and financial matters through his current and prior service as a director for other public and private companies.</w:t>
      </w:r>
    </w:p>
    <w:p>
      <w:pPr>
        <w:spacing w:after="0" w:line="3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557" w:right="5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Governance Information</w:t>
      </w:r>
    </w:p>
    <w:p>
      <w:pPr>
        <w:spacing w:after="0" w:line="121"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Board of Directors held seven meetings during 2019. All of the incumbent director nominees attended all of the meetings held in 2019. The standing committees of the Board of Directors currently consist of the Audit Committee, the Compensation Committee and the Governance/Nominating Committee. The membership and duties of these committees are described below.</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Audit</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Governance/Nominating</w:t>
            </w:r>
          </w:p>
        </w:tc>
      </w:tr>
      <w:tr>
        <w:trPr>
          <w:trHeight w:val="206"/>
        </w:trPr>
        <w:tc>
          <w:tcPr>
            <w:tcW w:w="602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i w:val="1"/>
                <w:iCs w:val="1"/>
                <w:color w:val="auto"/>
              </w:rPr>
              <w:t>Independent Directors</w:t>
            </w:r>
            <w:r>
              <w:rPr>
                <w:rFonts w:ascii="Arial" w:cs="Arial" w:eastAsia="Arial" w:hAnsi="Arial"/>
                <w:sz w:val="9"/>
                <w:szCs w:val="9"/>
                <w:b w:val="1"/>
                <w:bCs w:val="1"/>
                <w:i w:val="1"/>
                <w:iCs w:val="1"/>
                <w:color w:val="auto"/>
              </w:rPr>
              <w:t>(1)</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Committee</w:t>
            </w: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Richard M. Frank</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Ellen H. Masterson</w:t>
            </w:r>
            <w:r>
              <w:rPr>
                <w:rFonts w:ascii="Arial" w:cs="Arial" w:eastAsia="Arial" w:hAnsi="Arial"/>
                <w:sz w:val="23"/>
                <w:szCs w:val="23"/>
                <w:color w:val="auto"/>
                <w:vertAlign w:val="superscript"/>
              </w:rPr>
              <w:t>(3)</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2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70"/>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Geoffrey R. Norman</w:t>
            </w:r>
            <w:r>
              <w:rPr>
                <w:rFonts w:ascii="Arial" w:cs="Arial" w:eastAsia="Arial" w:hAnsi="Arial"/>
                <w:sz w:val="23"/>
                <w:szCs w:val="23"/>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r>
      <w:tr>
        <w:trPr>
          <w:trHeight w:val="243"/>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Raymond E. Wooldridge</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C</w:t>
            </w:r>
          </w:p>
        </w:tc>
      </w:tr>
      <w:tr>
        <w:trPr>
          <w:trHeight w:val="238"/>
        </w:trPr>
        <w:tc>
          <w:tcPr>
            <w:tcW w:w="6020" w:type="dxa"/>
            <w:vAlign w:val="bottom"/>
          </w:tcPr>
          <w:p>
            <w:pPr>
              <w:spacing w:after="0"/>
              <w:rPr>
                <w:sz w:val="20"/>
                <w:szCs w:val="20"/>
                <w:color w:val="auto"/>
              </w:rPr>
            </w:pPr>
            <w:r>
              <w:rPr>
                <w:rFonts w:ascii="Arial" w:cs="Arial" w:eastAsia="Arial" w:hAnsi="Arial"/>
                <w:sz w:val="9"/>
                <w:szCs w:val="9"/>
                <w:color w:val="auto"/>
              </w:rPr>
              <w:t>___________________</w:t>
            </w: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82"/>
        </w:trPr>
        <w:tc>
          <w:tcPr>
            <w:tcW w:w="6120" w:type="dxa"/>
            <w:vAlign w:val="bottom"/>
            <w:gridSpan w:val="2"/>
          </w:tcPr>
          <w:p>
            <w:pPr>
              <w:spacing w:after="0"/>
              <w:rPr>
                <w:sz w:val="20"/>
                <w:szCs w:val="20"/>
                <w:color w:val="auto"/>
              </w:rPr>
            </w:pPr>
            <w:r>
              <w:rPr>
                <w:rFonts w:ascii="Arial" w:cs="Arial" w:eastAsia="Arial" w:hAnsi="Arial"/>
                <w:sz w:val="14"/>
                <w:szCs w:val="14"/>
                <w:color w:val="auto"/>
              </w:rPr>
              <w:t>M Committee member</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9"/>
        </w:trPr>
        <w:tc>
          <w:tcPr>
            <w:tcW w:w="6120" w:type="dxa"/>
            <w:vAlign w:val="bottom"/>
            <w:gridSpan w:val="2"/>
          </w:tcPr>
          <w:p>
            <w:pPr>
              <w:spacing w:after="0"/>
              <w:rPr>
                <w:sz w:val="20"/>
                <w:szCs w:val="20"/>
                <w:color w:val="auto"/>
              </w:rPr>
            </w:pPr>
            <w:r>
              <w:rPr>
                <w:rFonts w:ascii="Arial" w:cs="Arial" w:eastAsia="Arial" w:hAnsi="Arial"/>
                <w:sz w:val="14"/>
                <w:szCs w:val="14"/>
                <w:color w:val="auto"/>
              </w:rPr>
              <w:t>C Committee chair</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bl>
    <w:p>
      <w:pPr>
        <w:ind w:left="660" w:right="220" w:hanging="652"/>
        <w:spacing w:after="0" w:line="251" w:lineRule="auto"/>
        <w:tabs>
          <w:tab w:leader="none" w:pos="2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all members of the Audit, Compensation and Governance/Nominating Committees are "independent directors" under the applicable rules of the NYSE and the Securities and Exchange Commission ("SEC").</w:t>
      </w:r>
    </w:p>
    <w:p>
      <w:pPr>
        <w:ind w:left="220" w:hanging="212"/>
        <w:spacing w:after="0"/>
        <w:tabs>
          <w:tab w:leader="none" w:pos="2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Richard M. Frank is the Chairman of the Board of Directors and, as such, he chairs executive sessions of the Board of Directors.</w:t>
      </w:r>
    </w:p>
    <w:p>
      <w:pPr>
        <w:spacing w:after="0" w:line="21" w:lineRule="exact"/>
        <w:rPr>
          <w:rFonts w:ascii="Arial" w:cs="Arial" w:eastAsia="Arial" w:hAnsi="Arial"/>
          <w:sz w:val="14"/>
          <w:szCs w:val="14"/>
          <w:color w:val="auto"/>
        </w:rPr>
      </w:pPr>
    </w:p>
    <w:p>
      <w:pPr>
        <w:ind w:left="660" w:right="100" w:hanging="652"/>
        <w:spacing w:after="0" w:line="273" w:lineRule="auto"/>
        <w:tabs>
          <w:tab w:leader="none" w:pos="2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Committees</w:t>
      </w:r>
    </w:p>
    <w:p>
      <w:pPr>
        <w:spacing w:after="0" w:line="117"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operates pursuant to a charter approved by our Board of Directors, which the Audit Committee reviews</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and overall enterprise risk management. The Audit Committee met five times during 2019. All members of the Audit Committee attended all of the meetings held in 2019.</w:t>
      </w:r>
    </w:p>
    <w:p>
      <w:pPr>
        <w:spacing w:after="0" w:line="66"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operates pursuant to a charter approved by our Board of Directors, which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Compensation Committee authorizes and determines all compensation for our executive officers, administers our incentive compensation plans in accordance with the powers granted in such plans, determines any incentive awards to be made to our officers, administers our stock incentive plans and other equity ownership, compensation, retirement and benefit plans, approves the performance-based compensation of individuals pursuant to Section 162(m) of the Internal Revenue Code of 1986, as amended, and administers other matters relating to compensation and benefits. The Compensation Committee met six times during 2019. All members of the Compensation Committee attended all of the meetings held in 2019.</w:t>
      </w:r>
    </w:p>
    <w:p>
      <w:pPr>
        <w:spacing w:after="0" w:line="88"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i w:val="1"/>
          <w:iCs w:val="1"/>
          <w:color w:val="auto"/>
        </w:rPr>
        <w:t>Governance/Nominating Committee</w:t>
      </w:r>
      <w:r>
        <w:rPr>
          <w:rFonts w:ascii="Arial" w:cs="Arial" w:eastAsia="Arial" w:hAnsi="Arial"/>
          <w:sz w:val="16"/>
          <w:szCs w:val="16"/>
          <w:color w:val="auto"/>
        </w:rPr>
        <w:t>. The Governance/Nominating Committee operates pursuant to a charter approved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which the Governance/Nominating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2019. All members of the Governance/Nominating Committee attended all of the meetings held in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3" w:right="339" w:bottom="1440" w:gutter="0" w:footer="0" w:header="0"/>
        </w:sectPr>
      </w:pPr>
    </w:p>
    <w:bookmarkStart w:id="15" w:name="page16"/>
    <w:bookmarkEnd w:id="15"/>
    <w:p>
      <w:pPr>
        <w:ind w:left="80"/>
        <w:spacing w:after="0"/>
        <w:rPr>
          <w:sz w:val="20"/>
          <w:szCs w:val="20"/>
          <w:color w:val="auto"/>
        </w:rPr>
      </w:pPr>
      <w:r>
        <w:rPr>
          <w:rFonts w:ascii="Arial" w:cs="Arial" w:eastAsia="Arial" w:hAnsi="Arial"/>
          <w:sz w:val="18"/>
          <w:szCs w:val="18"/>
          <w:i w:val="1"/>
          <w:iCs w:val="1"/>
          <w:u w:val="single" w:color="auto"/>
          <w:color w:val="auto"/>
        </w:rPr>
        <w:t>Director Independence</w:t>
      </w:r>
    </w:p>
    <w:p>
      <w:pPr>
        <w:spacing w:after="0" w:line="117" w:lineRule="exact"/>
        <w:rPr>
          <w:sz w:val="20"/>
          <w:szCs w:val="20"/>
          <w:color w:val="auto"/>
        </w:rPr>
      </w:pPr>
    </w:p>
    <w:p>
      <w:pPr>
        <w:ind w:right="340" w:firstLine="405"/>
        <w:spacing w:after="0" w:line="311" w:lineRule="auto"/>
        <w:rPr>
          <w:sz w:val="20"/>
          <w:szCs w:val="20"/>
          <w:color w:val="auto"/>
        </w:rPr>
      </w:pPr>
      <w:r>
        <w:rPr>
          <w:rFonts w:ascii="Arial" w:cs="Arial" w:eastAsia="Arial" w:hAnsi="Arial"/>
          <w:sz w:val="16"/>
          <w:szCs w:val="16"/>
          <w:color w:val="auto"/>
        </w:rPr>
        <w:t>Our Board of Directors has adopted Corporate Governance Guidelines regarding director independence, among other matters. The full text of our Corporate Governance Guidelines is available on our website at westwoodgroup.com. In addition, a copy of our Corporate Governance Guidelines is available upon written request to our Corporate Secretary at our principal executive office (200 Crescent Court, Suite 1200, Dallas, Texas 75201).</w:t>
      </w:r>
    </w:p>
    <w:p>
      <w:pPr>
        <w:spacing w:after="0" w:line="4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Pursuant to our Corporate Governance Guidelines, a majority of the members of our Board of Directors,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annually reviews director independence. In the 2019 review, the Board of Directors reviewed directors' responses to a questionnaire asking about their relationships, and the relationships of their family members, with us, and other potential conflicts of interest. In addition, our Board of Directors was aware that some of our directors and individuals or entities affiliated with such directors have asset management accounts held by one of our subsidiaries and managed by us. After noting such items, and based upon its review, the Board of Directors unanimously determined that none of these relationships constituted a material relationship with us that would affect the "independence" of any such director under SEC and NYSE rules.</w:t>
      </w:r>
    </w:p>
    <w:p>
      <w:pPr>
        <w:spacing w:after="0" w:line="73"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As a result, the Board affirmatively determined that Messrs. Frank, Norman, Wooldridge and Ms. Masterson are "independent" as defined under SEC and NYSE rules. Ms. Byrne, who currently serves as a consultant to the Company, and Mr. Casey, who served as an executive officer of the Company during 2019, are not independent directors.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 Leadership Structure</w:t>
      </w:r>
    </w:p>
    <w:p>
      <w:pPr>
        <w:spacing w:after="0" w:line="117"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Our Board of Directors currently separates the roles of Chief Executive Officer and Chairman of the Board; however, the Board does not have a policy in place that requires these two roles to remain separate. Brian O. Casey serves as our President, Chief Executive Officer and director, and Richard M. Frank serves as our Chairman of the Board. As President and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 items for such meetings and sessions. In accordance with our Corporate Governance Guidelines, our non-management directors meet in executive session without the presence of management on a regular basis.</w:t>
      </w:r>
    </w:p>
    <w:p>
      <w:pPr>
        <w:spacing w:after="0" w:line="87"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With a supermajority of independent directors, an Audit Committee, a Compensation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Board's Role in Risk Oversight</w:t>
      </w:r>
    </w:p>
    <w:p>
      <w:pPr>
        <w:spacing w:after="0" w:line="117"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and strategic risks. The Audit Committee is responsible for oversight of risks relating to the Company's accounting matters, financial reporting and legal and regulatory compliance. To satisfy these oversight responsibilities, the Audit Committee meets regularly with management, the Company's internal auditor and Deloitte, the Company's independent auditor. The Compensation Committee is responsible for overseeing risks relating to employment policies and the Company's compensation and benefits programs. To satisfy these oversight responsibilities, the Compensation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74" w:lineRule="exact"/>
        <w:rPr>
          <w:sz w:val="20"/>
          <w:szCs w:val="20"/>
          <w:color w:val="auto"/>
        </w:rPr>
      </w:pPr>
    </w:p>
    <w:p>
      <w:pPr>
        <w:ind w:right="560" w:firstLine="405"/>
        <w:spacing w:after="0" w:line="291" w:lineRule="auto"/>
        <w:rPr>
          <w:sz w:val="20"/>
          <w:szCs w:val="20"/>
          <w:color w:val="auto"/>
        </w:rPr>
      </w:pPr>
      <w:r>
        <w:rPr>
          <w:rFonts w:ascii="Arial" w:cs="Arial" w:eastAsia="Arial" w:hAnsi="Arial"/>
          <w:sz w:val="16"/>
          <w:szCs w:val="16"/>
          <w:color w:val="auto"/>
        </w:rPr>
        <w:t>Additionally, the Board's risk oversight function is supported by the directorships of Mr. Casey and Ms. Byrne, whose industry knowledge and experience provide the Board with a deep understanding of the risks facing the Company. Accordingly, the Board of Directors believes that having</w:t>
      </w:r>
    </w:p>
    <w:p>
      <w:pPr>
        <w:spacing w:after="0" w:line="260" w:lineRule="auto"/>
        <w:rPr>
          <w:sz w:val="20"/>
          <w:szCs w:val="20"/>
          <w:color w:val="auto"/>
        </w:rPr>
      </w:pPr>
      <w:r>
        <w:rPr>
          <w:rFonts w:ascii="Arial" w:cs="Arial" w:eastAsia="Arial" w:hAnsi="Arial"/>
          <w:sz w:val="18"/>
          <w:szCs w:val="18"/>
          <w:color w:val="auto"/>
        </w:rPr>
        <w:t>Mr. Casey and Ms. Byrne serve on the Board, together with a supermajority of independent directors and three independent Board committees, provides the appropriate leadership structure to assist in effective risk oversight by the Board.</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Risks Related to Compensation Policies and Practices</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part of its oversight of the Company's executive and non-executive compensation programs, the Compensation Committee considers the impact on our risk profile of our compensation programs, and the incentives created by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7" w:right="339" w:bottom="1440" w:gutter="0" w:footer="0" w:header="0"/>
        </w:sectPr>
      </w:pPr>
    </w:p>
    <w:bookmarkStart w:id="16" w:name="page17"/>
    <w:bookmarkEnd w:id="16"/>
    <w:p>
      <w:pPr>
        <w:ind w:right="260"/>
        <w:spacing w:after="0" w:line="263" w:lineRule="auto"/>
        <w:rPr>
          <w:sz w:val="20"/>
          <w:szCs w:val="20"/>
          <w:color w:val="auto"/>
        </w:rPr>
      </w:pPr>
      <w:r>
        <w:rPr>
          <w:rFonts w:ascii="Arial" w:cs="Arial" w:eastAsia="Arial" w:hAnsi="Arial"/>
          <w:sz w:val="18"/>
          <w:szCs w:val="18"/>
          <w:color w:val="auto"/>
        </w:rPr>
        <w:t>compensation awards that it administers. In addition, the Company reviews all of its compensation policies and procedures, including the incentives that they create and factors that may affect the likelihood of excessive risk-taking, to determine whether they present a material risk to the Company. The Compensation Committee also utilizes the following risk mitigating factors:</w:t>
      </w:r>
    </w:p>
    <w:p>
      <w:pPr>
        <w:spacing w:after="0" w:line="76" w:lineRule="exact"/>
        <w:rPr>
          <w:sz w:val="20"/>
          <w:szCs w:val="20"/>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compensation levels that are competitive with the market;</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Limits on annual cash incentive awards;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Its discretionary authority to reduce annual cash incentive awards;</w:t>
      </w:r>
    </w:p>
    <w:p>
      <w:pPr>
        <w:spacing w:after="0" w:line="117" w:lineRule="exact"/>
        <w:rPr>
          <w:rFonts w:ascii="Arial" w:cs="Arial" w:eastAsia="Arial" w:hAnsi="Arial"/>
          <w:sz w:val="18"/>
          <w:szCs w:val="18"/>
          <w:color w:val="auto"/>
        </w:rPr>
      </w:pPr>
    </w:p>
    <w:p>
      <w:pPr>
        <w:ind w:left="660" w:right="20" w:hanging="247"/>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Use of long-term equity incentive awards to reward executives and other key employees for driving sustainable, profitable growth for stockholders and clients;</w:t>
      </w:r>
    </w:p>
    <w:p>
      <w:pPr>
        <w:spacing w:after="0" w:line="62" w:lineRule="exact"/>
        <w:rPr>
          <w:rFonts w:ascii="Arial" w:cs="Arial" w:eastAsia="Arial" w:hAnsi="Arial"/>
          <w:sz w:val="18"/>
          <w:szCs w:val="18"/>
          <w:color w:val="auto"/>
        </w:rPr>
      </w:pPr>
    </w:p>
    <w:p>
      <w:pPr>
        <w:ind w:left="660" w:right="580" w:hanging="247"/>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Vesting periods for long-term equity incentive awards that encourage executives and other key employees to focus on sustained stock price appreciation; and</w:t>
      </w:r>
    </w:p>
    <w:p>
      <w:pPr>
        <w:spacing w:after="0" w:line="62" w:lineRule="exact"/>
        <w:rPr>
          <w:rFonts w:ascii="Arial" w:cs="Arial" w:eastAsia="Arial" w:hAnsi="Arial"/>
          <w:sz w:val="18"/>
          <w:szCs w:val="18"/>
          <w:color w:val="auto"/>
        </w:rPr>
      </w:pPr>
    </w:p>
    <w:p>
      <w:pPr>
        <w:ind w:left="660" w:right="120" w:hanging="247"/>
        <w:spacing w:after="0" w:line="27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Company's internal controls over financial reporting and other financial, operational and compliance policies and practices currently in place that are intended to prevent manipulation of performance.</w:t>
      </w:r>
    </w:p>
    <w:p>
      <w:pPr>
        <w:spacing w:after="0" w:line="62"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Based on this review, the Company has concluded that its compensation policies and practices do not create risks that are reasonably likely to have a material adverse effect on the Company.</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Director Nominees</w:t>
      </w:r>
    </w:p>
    <w:p>
      <w:pPr>
        <w:spacing w:after="0" w:line="117"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The Board of Directors has delegated to the Governance/Nominating Committee specific responsibilities relating to selection of directors to serve on the Board. The Governance/Nominating Committee is responsible for identifying potential candidates for Board membership and for recommending to the Board a slate of director candidates to stand for election at the annual meeting of our stockholders. The Governance/Nominating Committee seeks to identify, and the Board then selects,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uses the criteria listed above. The Governance/Nominating Committee believes these criteria are the key factors in identifying qualified director candidates.</w:t>
      </w:r>
    </w:p>
    <w:p>
      <w:pPr>
        <w:spacing w:after="0" w:line="7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Governance/Nominating Committee has a policy for considering new director candidates recommended by our stockholders if such recommendations are made in compliance with the following procedures. A stockholder wishing to recommend a candidate for inclusion as a director nominee in the proxy statement for our annual meeting must submit a written notice of the recommendation to our Corporate Secretary at our principal executive office. The submission must be received at our principal executive office not fewer than 120 calendar days before the one-year anniversary of the date that the proxy statement for the previous year's annual meeting was released to stockholders. However, if we did not hold an annual meeting during the previous year, or if the date of the current year's annual meeting has been changed by more than 30 days from the date of the previous year's meeting, then the deadline will be a reasonable time before we begin to print and mail our proxy materials. For the 2021 annual meeting, the deadline is November 6, 2020. Director candidates recommended by stockholders are evaluated by the Governance/Nominating Committee using the same criteria applied by the Governance/Nominating Committee to director candidates identified by that committee, as described in the previous paragraph.</w:t>
      </w:r>
    </w:p>
    <w:p>
      <w:pPr>
        <w:spacing w:after="0" w:line="58"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To be valid, a stockholder's notice to the Corporate Secretary must set forth (i) the name and address of the stockholder recommending such candidate, as such information appears on our books (if the stockholder is a record holder), (ii) the class and number of shares of Westwood stock beneficially owned by the stockholder, if any, (iii) the name, age, business address and residence address of each candidate proposed in the notice, (iv) each candidate's biographical data and qualifications, (v) the class and number of shares of Westwood stock beneficially owned by the candidate, if any, (vi) a description of all arrangements or understandings between the stockholder (or between any person(s) at whose request the stockholder is making the recommendation) and each candidate, and (vii) any other information required to be disclosed in solicitations of proxies for election of directors or otherwise required pursuant to Regulation 14A under the Exchange Act. The foregoing information must be provided with respect to any person that the stockholder proposes to recommend for election or re-election as a director. The prospective candidate's signed written consent to being named in the proxy statement as a nominee and to serving as a director if elected must also be provided.</w:t>
      </w:r>
    </w:p>
    <w:p>
      <w:pPr>
        <w:spacing w:after="0" w:line="73"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For the 2020 Annual Meeting, our Governance/Nominating Committee has not received a candidate recommendation from any stockholder (or group of stockholders), including any stockholder (or group of stockholders) that beneficially owns more than five percent of our common stock.</w:t>
      </w:r>
    </w:p>
    <w:p>
      <w:pPr>
        <w:spacing w:after="0" w:line="3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Communications with the Board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7" w:right="339" w:bottom="1440" w:gutter="0" w:footer="0" w:header="0"/>
        </w:sectPr>
      </w:pPr>
    </w:p>
    <w:bookmarkStart w:id="17" w:name="page18"/>
    <w:bookmarkEnd w:id="17"/>
    <w:p>
      <w:pPr>
        <w:ind w:right="60" w:firstLine="405"/>
        <w:spacing w:after="0" w:line="289" w:lineRule="auto"/>
        <w:rPr>
          <w:sz w:val="20"/>
          <w:szCs w:val="20"/>
          <w:color w:val="auto"/>
        </w:rPr>
      </w:pPr>
      <w:r>
        <w:rPr>
          <w:rFonts w:ascii="Arial" w:cs="Arial" w:eastAsia="Arial" w:hAnsi="Arial"/>
          <w:sz w:val="16"/>
          <w:szCs w:val="16"/>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compliance@westwoodgroup.com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 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then the stockholder or other interested party is encouraged to contact directly the Chairman of the Audit Committee, Ellen H. Masterson at emasterson@westwoodgroup.com.</w:t>
      </w:r>
    </w:p>
    <w:p>
      <w:pPr>
        <w:spacing w:after="0" w:line="58"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Stockholders may also communicate directly with Board members at the annual meetings of stockholders, as it is our policy that Board members should attend such meetings and make themselves available to address any matters properly brought before the meetings. All of our Board members attended the 2019 annual meeting of stockholders.</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westwoodgroup.com.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80"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Our employees are required to report any conduct that they believe could in any way be construed as a fraudulent or illegal act or otherwise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For 2019, we paid each non-employee member of our Board of Directors a $62,000 annual retainer. The Chairman of the Board received an additional $20,000 annual retainer, the committee chairs for the Audit and Compensation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$90,000 on the date of the award.</w:t>
      </w:r>
    </w:p>
    <w:p>
      <w:pPr>
        <w:spacing w:after="0" w:line="8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significant decline in the price of the Company's common stock causes a non-employee director's holdings to fall below the applicable threshold, the non-employee director will not be required to purchase additional shares to meet the threshold but may not sell or transfer any shares until holdings above the threshold have again been achieved. Compliance with these stock ownership guidelines is evaluated periodically as determined by our Board of Directors. As of December 31, 2019, all of our non-employee directors were in compliance with, or were on target to meet, the requirements of this stock ownership policy within the established compliance time-frame.</w:t>
      </w:r>
    </w:p>
    <w:p>
      <w:pPr>
        <w:spacing w:after="0" w:line="8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Compensation Committee reviews our compensation arrangements for directors from time to time. Brian O. Casey, our President and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55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2019 Director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Other</w:t>
            </w:r>
          </w:p>
        </w:tc>
        <w:tc>
          <w:tcPr>
            <w:tcW w:w="15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Stock Awards</w:t>
            </w:r>
          </w:p>
        </w:tc>
        <w:tc>
          <w:tcPr>
            <w:tcW w:w="142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Cash</w:t>
            </w:r>
          </w:p>
        </w:tc>
        <w:tc>
          <w:tcPr>
            <w:tcW w:w="1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540" w:type="dxa"/>
            <w:vAlign w:val="bottom"/>
            <w:gridSpan w:val="2"/>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2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100" w:type="dxa"/>
            <w:vAlign w:val="bottom"/>
          </w:tcPr>
          <w:p>
            <w:pPr>
              <w:spacing w:after="0"/>
              <w:rPr>
                <w:sz w:val="16"/>
                <w:szCs w:val="16"/>
                <w:color w:val="auto"/>
              </w:rPr>
            </w:pPr>
          </w:p>
        </w:tc>
        <w:tc>
          <w:tcPr>
            <w:tcW w:w="1420" w:type="dxa"/>
            <w:vAlign w:val="bottom"/>
          </w:tcPr>
          <w:p>
            <w:pPr>
              <w:jc w:val="right"/>
              <w:ind w:right="434"/>
              <w:spacing w:after="0"/>
              <w:rPr>
                <w:sz w:val="20"/>
                <w:szCs w:val="20"/>
                <w:color w:val="auto"/>
              </w:rPr>
            </w:pPr>
            <w:r>
              <w:rPr>
                <w:rFonts w:ascii="Arial" w:cs="Arial" w:eastAsia="Arial" w:hAnsi="Arial"/>
                <w:sz w:val="14"/>
                <w:szCs w:val="14"/>
                <w:b w:val="1"/>
                <w:bCs w:val="1"/>
                <w:color w:val="auto"/>
              </w:rPr>
              <w:t>($) (2)</w:t>
            </w:r>
          </w:p>
        </w:tc>
        <w:tc>
          <w:tcPr>
            <w:tcW w:w="120" w:type="dxa"/>
            <w:vAlign w:val="bottom"/>
          </w:tcPr>
          <w:p>
            <w:pPr>
              <w:spacing w:after="0"/>
              <w:rPr>
                <w:sz w:val="16"/>
                <w:szCs w:val="16"/>
                <w:color w:val="auto"/>
              </w:rPr>
            </w:pPr>
          </w:p>
        </w:tc>
        <w:tc>
          <w:tcPr>
            <w:tcW w:w="1420" w:type="dxa"/>
            <w:vAlign w:val="bottom"/>
          </w:tcPr>
          <w:p>
            <w:pPr>
              <w:jc w:val="right"/>
              <w:ind w:right="5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9"/>
        </w:trPr>
        <w:tc>
          <w:tcPr>
            <w:tcW w:w="5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Susan M. Byrne</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400,646</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Richard M. Frank</w:t>
            </w:r>
          </w:p>
        </w:tc>
        <w:tc>
          <w:tcPr>
            <w:tcW w:w="1420" w:type="dxa"/>
            <w:vAlign w:val="bottom"/>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197,000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177,000</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Robert D. McTeer</w:t>
            </w:r>
          </w:p>
        </w:tc>
        <w:tc>
          <w:tcPr>
            <w:tcW w:w="1420" w:type="dxa"/>
            <w:vAlign w:val="bottom"/>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Geoffrey R. Norman</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Martin J. Weiland</w:t>
            </w:r>
          </w:p>
        </w:tc>
        <w:tc>
          <w:tcPr>
            <w:tcW w:w="1420" w:type="dxa"/>
            <w:vAlign w:val="bottom"/>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36,500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w:t>
      </w:r>
    </w:p>
    <w:p>
      <w:pPr>
        <w:spacing w:after="0" w:line="6" w:lineRule="exact"/>
        <w:rPr>
          <w:sz w:val="20"/>
          <w:szCs w:val="20"/>
          <w:color w:val="auto"/>
        </w:rPr>
      </w:pPr>
    </w:p>
    <w:p>
      <w:pPr>
        <w:ind w:left="340" w:hanging="332"/>
        <w:spacing w:after="0" w:line="241"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Susan M. Byrne earned $238,646 as a consultant for the Company from January 1, 2019 to December 31, 2019. Each non-employee director also earns a $1,000 annual retainer and $1,000 for each regularly scheduled quarterly meeting for serving on the separate Board of Directors of Westwood Trust.</w:t>
      </w:r>
    </w:p>
    <w:p>
      <w:pPr>
        <w:ind w:left="340" w:right="80" w:hanging="332"/>
        <w:spacing w:after="0" w:line="244"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2019 in accordance with Accounting Standards Codification Topic 718 ("ASC 718"), "Stock Compensation." The assumptions used in the valuation of the restricted stock awards are discussed in Note 10 "Employee Benefits" of our audited financial statements, which are included in our 2019 Annual Report on Form 10-K. All restricted stock grants were made under the Sixth Amended and Restated Westwood Holdings Group, Inc. Stock Incentive Plan and are subject to a one-year vesting period as described above.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2019, our directors, other than Brian O. Casey, held the following unvested restricted stock: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9"/>
        </w:trPr>
        <w:tc>
          <w:tcPr>
            <w:tcW w:w="970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92"/>
        </w:trPr>
        <w:tc>
          <w:tcPr>
            <w:tcW w:w="9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69"/>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Susan M. Byrne</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Richard M. Frank</w:t>
            </w:r>
            <w:r>
              <w:rPr>
                <w:rFonts w:ascii="Arial" w:cs="Arial" w:eastAsia="Arial" w:hAnsi="Arial"/>
                <w:sz w:val="23"/>
                <w:szCs w:val="23"/>
                <w:color w:val="auto"/>
                <w:vertAlign w:val="superscript"/>
              </w:rPr>
              <w:t>(1)</w:t>
            </w: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Ellen H. Masterson</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Geoffrey R. Norman</w:t>
            </w:r>
            <w:r>
              <w:rPr>
                <w:rFonts w:ascii="Arial" w:cs="Arial" w:eastAsia="Arial" w:hAnsi="Arial"/>
                <w:sz w:val="23"/>
                <w:szCs w:val="23"/>
                <w:color w:val="auto"/>
                <w:vertAlign w:val="superscript"/>
              </w:rPr>
              <w:t>(1)</w:t>
            </w:r>
          </w:p>
        </w:tc>
        <w:tc>
          <w:tcPr>
            <w:tcW w:w="1420" w:type="dxa"/>
            <w:vAlign w:val="bottom"/>
          </w:tcPr>
          <w:p>
            <w:pPr>
              <w:jc w:val="right"/>
              <w:ind w:right="77"/>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70"/>
        </w:trPr>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Raymond E. Wooldridge</w:t>
            </w:r>
            <w:r>
              <w:rPr>
                <w:rFonts w:ascii="Arial" w:cs="Arial" w:eastAsia="Arial" w:hAnsi="Arial"/>
                <w:sz w:val="23"/>
                <w:szCs w:val="23"/>
                <w:color w:val="auto"/>
                <w:vertAlign w:val="superscript"/>
              </w:rPr>
              <w:t>(1)</w:t>
            </w:r>
          </w:p>
        </w:tc>
        <w:tc>
          <w:tcPr>
            <w:tcW w:w="14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 Issued on April 24, 2019 and have a vesting date of April 24, 2020, subject to such director's continued service as a director through the vesting date.</w:t>
      </w:r>
    </w:p>
    <w:p>
      <w:pPr>
        <w:spacing w:after="0" w:line="344"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In February 2019, the Board reduced its director compensation arrangements as a result of the Company's 2018 financial performance. Effective February 2019, we pay each non-employee member of our Board of Directors a $62,000 annual retainer. The Board maintained the Chairman of the Board's and committee chairs' annual retainers, the grant of $90,000 of restricted shares of our common stock upon election or re-election as a member of our Board of Directors and the policy that non-employee directors should own a minimum number of shares of our common stock equal to five times the dollar amount of their annual retainer within five years of their initial election or the establishment of this policy, whichever is later.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553" w:right="359" w:bottom="1440" w:gutter="0" w:footer="0" w:header="0"/>
        </w:sectPr>
      </w:pPr>
    </w:p>
    <w:bookmarkStart w:id="19" w:name="page20"/>
    <w:bookmarkEnd w:id="19"/>
    <w:p>
      <w:pPr>
        <w:ind w:left="46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Biographical information regarding Westwood's executive officers and other key employees during the 2019 fiscal year is as follows: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Brian O. Casey, </w:t>
      </w:r>
      <w:r>
        <w:rPr>
          <w:rFonts w:ascii="Arial" w:cs="Arial" w:eastAsia="Arial" w:hAnsi="Arial"/>
          <w:sz w:val="18"/>
          <w:szCs w:val="18"/>
          <w:color w:val="auto"/>
        </w:rPr>
        <w:t>age 56</w:t>
      </w:r>
      <w:r>
        <w:rPr>
          <w:rFonts w:ascii="Arial" w:cs="Arial" w:eastAsia="Arial" w:hAnsi="Arial"/>
          <w:sz w:val="18"/>
          <w:szCs w:val="18"/>
          <w:i w:val="1"/>
          <w:iCs w:val="1"/>
          <w:color w:val="auto"/>
        </w:rPr>
        <w:t xml:space="preserve">. </w:t>
      </w:r>
      <w:r>
        <w:rPr>
          <w:rFonts w:ascii="Arial" w:cs="Arial" w:eastAsia="Arial" w:hAnsi="Arial"/>
          <w:sz w:val="18"/>
          <w:szCs w:val="18"/>
          <w:color w:val="auto"/>
        </w:rPr>
        <w:t>See biographical information in the "Proposal 1 – Election of Directors" section.</w:t>
      </w:r>
    </w:p>
    <w:p>
      <w:pPr>
        <w:spacing w:after="0" w:line="11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6"/>
          <w:szCs w:val="16"/>
          <w:i w:val="1"/>
          <w:iCs w:val="1"/>
          <w:color w:val="auto"/>
        </w:rPr>
        <w:t xml:space="preserve">Murray "Terry" Forbes III, </w:t>
      </w:r>
      <w:r>
        <w:rPr>
          <w:rFonts w:ascii="Arial" w:cs="Arial" w:eastAsia="Arial" w:hAnsi="Arial"/>
          <w:sz w:val="16"/>
          <w:szCs w:val="16"/>
          <w:color w:val="auto"/>
        </w:rPr>
        <w:t>age 42, has served as Senior Vice President, Chief Financial Officer and Treasurer since November 2018. Prior to that,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of Finance from December 2014 to October 2018. Prior to joining Westwood, Mr. Forbes served as Senior Director and Assistant Controller of CEC Entertainment, Inc. ("CEC"), a Dallas-based company that develops, operates and franchised family dining entertainment centers. CEC was an NYSE-listed company until February 2014. From 2000 to 2012, he was with KPMG LLP, most recently serving as an audit senior manager.</w:t>
      </w:r>
    </w:p>
    <w:p>
      <w:pPr>
        <w:spacing w:after="0" w:line="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Mr. Forbes earned a B.B.A. in Accounting from the University of Richmond. He is a Certified Public Accountant and is a member of the American Institute of Certified Public Accountants.</w:t>
      </w:r>
    </w:p>
    <w:p>
      <w:pPr>
        <w:spacing w:after="0" w:line="7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i w:val="1"/>
          <w:iCs w:val="1"/>
          <w:color w:val="auto"/>
        </w:rPr>
        <w:t xml:space="preserve">Fabian Gomez, </w:t>
      </w:r>
      <w:r>
        <w:rPr>
          <w:rFonts w:ascii="Arial" w:cs="Arial" w:eastAsia="Arial" w:hAnsi="Arial"/>
          <w:sz w:val="18"/>
          <w:szCs w:val="18"/>
          <w:color w:val="auto"/>
        </w:rPr>
        <w:t>age 53, has served as Senior Vice President, Chief Operating Officer since February 2018. Prior to that, Mr. Gomez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Officer since July 2015, and also served as Director of Operations beginning in February 2016. Before joining Westwood, Mr. Gomez was Invesco Ltd.'s Global Head of Equity and Alternative Investment Applications, responsible for strategic planning, oversight of all major project initiatives and staff development at a global level. Prior to that, Mr. Gomez was McDonnell Investment Management's Managing Director and Chief Information Officer for six years. Mr. Gomez has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8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i w:val="1"/>
          <w:iCs w:val="1"/>
          <w:color w:val="auto"/>
        </w:rPr>
        <w:t xml:space="preserve">Julie K. Gerron, </w:t>
      </w:r>
      <w:r>
        <w:rPr>
          <w:rFonts w:ascii="Arial" w:cs="Arial" w:eastAsia="Arial" w:hAnsi="Arial"/>
          <w:sz w:val="17"/>
          <w:szCs w:val="17"/>
          <w:color w:val="auto"/>
        </w:rPr>
        <w:t>age 52, has served as Senior Vice President, General Counsel of Westwood since March 2013, Chief Compliance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2017 and Corporate Secretary since March 2014. Prior to that, she served as Vice President, General Counsel from July 2007 to March 2013, as Vice President, Assistant General Counsel from July 2005 to July 2007, and as Vice President, Research Analyst from January 2004 to July 2005. From 1998 to 2004, Ms. Gerron served as a portfolio manager for Smith Asset Management Group, a Dallas-based investment management firm, where she managed various funds. From 1992 to 1998, she worked for various branches of the State of Oklahoma government, including as Assistant Attorney General, Deputy General Counsel of the Insurance Department, and as Special Counsel to the Executive Director of the House of Representatives. Ms. Gerron earned her J.D. from the University of Texas School of Law and her B.B.A. in Finance from the University of Texas at Austin. She is admitted to the bars of Texas and Oklahoma and is a member of the Texas State Bar Association. Ms. Gerron achieved the designation of Chartered Financial Analyst and is a member of the CFA Institute.</w:t>
      </w:r>
    </w:p>
    <w:p>
      <w:pPr>
        <w:spacing w:after="0" w:line="7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i w:val="1"/>
          <w:iCs w:val="1"/>
          <w:color w:val="auto"/>
        </w:rPr>
        <w:t xml:space="preserve">Steven Paddon, </w:t>
      </w:r>
      <w:r>
        <w:rPr>
          <w:rFonts w:ascii="Arial" w:cs="Arial" w:eastAsia="Arial" w:hAnsi="Arial"/>
          <w:sz w:val="17"/>
          <w:szCs w:val="17"/>
          <w:color w:val="auto"/>
        </w:rPr>
        <w:t>age 59, joined Westwood in 2018 and serves as Senior Vice President, Head of Institutional Sales. Prior to joining Westwood, 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Head of Institutional and International Sales at OppenheimerFunds, where he oversaw the institutional business teams and led the firm's international expansion. Mr. Paddon spent eight years leading Consultant Relations and Institutional Business at Investec Asset Management. Earlier in his career, he focused on institutional sales and client service at Credit Suisse Asset Management, State Street Research and MetLife. Mr. Paddon earned his B.A. in Economics from Wheaton College and holds his FINRA Series 7 and 24 licenses.</w:t>
      </w:r>
    </w:p>
    <w:p>
      <w:pPr>
        <w:spacing w:after="0" w:line="6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There are no family relationships among the directors, executive officers and other key employees of Westwood, except as described under "Certain Relationships and Related Party Transactions – Review and Approval of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445" w:right="39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This compensation discussion and analysis provides information regarding our executive compensation program in 2019 for the following executive officers of the Company (collectively, the "named executive officers"):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2"/>
          </w:tcPr>
          <w:p>
            <w:pPr>
              <w:ind w:left="900"/>
              <w:spacing w:after="0"/>
              <w:rPr>
                <w:sz w:val="20"/>
                <w:szCs w:val="20"/>
                <w:color w:val="auto"/>
              </w:rPr>
            </w:pPr>
            <w:r>
              <w:rPr>
                <w:rFonts w:ascii="Arial" w:cs="Arial" w:eastAsia="Arial" w:hAnsi="Arial"/>
                <w:sz w:val="18"/>
                <w:szCs w:val="18"/>
                <w:b w:val="1"/>
                <w:bCs w:val="1"/>
                <w:color w:val="auto"/>
              </w:rPr>
              <w:t>Name</w:t>
            </w:r>
          </w:p>
        </w:tc>
        <w:tc>
          <w:tcPr>
            <w:tcW w:w="8840" w:type="dxa"/>
            <w:vAlign w:val="bottom"/>
          </w:tcPr>
          <w:p>
            <w:pPr>
              <w:ind w:left="410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884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Operating Officer</w:t>
            </w:r>
          </w:p>
        </w:tc>
      </w:tr>
      <w:tr>
        <w:trPr>
          <w:trHeight w:val="24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8840" w:type="dxa"/>
            <w:vAlign w:val="bottom"/>
          </w:tcPr>
          <w:p>
            <w:pPr>
              <w:ind w:left="20"/>
              <w:spacing w:after="0"/>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43"/>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r>
      <w:tr>
        <w:trPr>
          <w:trHeight w:val="27"/>
        </w:trPr>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Executive Compensation Program</w:t>
      </w:r>
    </w:p>
    <w:p>
      <w:pPr>
        <w:spacing w:after="0" w:line="12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intellectual capital of our employees is one of the most important assets of our firm. As an asset manager, our financial results are primarily based upon the amount of assets we manage, which is dependent on our ability to generate competitive long-term investment performance, build strong relationships with clients, investment consulting firms and other financial intermediaries, provide attentive client service and develop new client relationships, all of which depend, in part, on the intellectual capital of our employees, including the named executive officers.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Chief Executive Officer Compensation</w:t>
      </w:r>
    </w:p>
    <w:p>
      <w:pPr>
        <w:spacing w:after="0" w:line="12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For 2019, Mr. Casey declined to accept participation in any short- or long-term incentive awards in light of the challenging business conditions the Company faced. As a result, Mr. Casey did not receive an annual cash incentive award or restricted stock award for 2019, resulting in a significant decrease in his overall compensation.</w:t>
      </w:r>
    </w:p>
    <w:p>
      <w:pPr>
        <w:spacing w:after="0" w:line="76"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While Mr. Casey did not receive any performance-based compensation for fiscal 2019, he is the beneficial owner of approximately 364,000 shares, or 4% of the outstanding common stock. Therefore, his goals are still strongly aligned with those of our shareholders and he has significant incentive to drive and deliver strong operational and financial results for the Company.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Highlights of our 2019 performance include the following:</w:t>
      </w:r>
    </w:p>
    <w:p>
      <w:pPr>
        <w:spacing w:after="0" w:line="117" w:lineRule="exact"/>
        <w:rPr>
          <w:sz w:val="20"/>
          <w:szCs w:val="20"/>
          <w:color w:val="auto"/>
        </w:rPr>
      </w:pPr>
    </w:p>
    <w:p>
      <w:pPr>
        <w:ind w:left="980" w:right="10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Assets under management as of December 31, 2019 were $15.2 billion, an 8% decrease compared to December 31, 2018. Quarterly average assets under management decreased 26% to $15.8 billion for 2019 compared to 2018, which contributed to the 31% decrease in total revenue from 2018.</w:t>
      </w:r>
    </w:p>
    <w:p>
      <w:pPr>
        <w:spacing w:after="0" w:line="75" w:lineRule="exact"/>
        <w:rPr>
          <w:rFonts w:ascii="Arial" w:cs="Arial" w:eastAsia="Arial" w:hAnsi="Arial"/>
          <w:sz w:val="18"/>
          <w:szCs w:val="18"/>
          <w:color w:val="auto"/>
        </w:rPr>
      </w:pPr>
    </w:p>
    <w:p>
      <w:pPr>
        <w:ind w:left="980" w:right="260" w:hanging="324"/>
        <w:spacing w:after="0" w:line="311" w:lineRule="auto"/>
        <w:tabs>
          <w:tab w:leader="none" w:pos="9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LargeCap Value, SMidCap, SmallCap Value, AllCap Value, Alternative Income, Emerging Markets, Emerging Markets SMidCap, and Income Opportunity strategies beat their primary benchmarks for the year, with our Alternative Income strategy achieving a top decile institutional ranking, and SMidCap, SmallCap Value and Income Opportunity strategies achieving top quartile institutional rankings.</w:t>
      </w:r>
    </w:p>
    <w:p>
      <w:pPr>
        <w:spacing w:after="0" w:line="40" w:lineRule="exact"/>
        <w:rPr>
          <w:rFonts w:ascii="Arial" w:cs="Arial" w:eastAsia="Arial" w:hAnsi="Arial"/>
          <w:sz w:val="16"/>
          <w:szCs w:val="16"/>
          <w:color w:val="auto"/>
        </w:rPr>
      </w:pPr>
    </w:p>
    <w:p>
      <w:pPr>
        <w:ind w:left="980" w:right="2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welcomed Adrian Helfert as Senior Vice President and Director of Multi-Asset Portfolios to lead our Multi-Asset and Income Portfolio teams.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Intermediary Sales Team added four experienced Tier 1 external wholesalers and one experienced internal wholesaler.</w:t>
      </w:r>
    </w:p>
    <w:p>
      <w:pPr>
        <w:spacing w:after="0" w:line="117" w:lineRule="exact"/>
        <w:rPr>
          <w:rFonts w:ascii="Arial" w:cs="Arial" w:eastAsia="Arial" w:hAnsi="Arial"/>
          <w:sz w:val="18"/>
          <w:szCs w:val="18"/>
          <w:color w:val="auto"/>
        </w:rPr>
      </w:pPr>
    </w:p>
    <w:p>
      <w:pPr>
        <w:ind w:left="980" w:right="260" w:hanging="324"/>
        <w:spacing w:after="0" w:line="263"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 tax rate increased to 37.1% for 2019 compared to 26.6% for 2018, primarily related to a $0.6 million discrete tax expense related to a permanent difference between book and tax restricted stock expense, following a decrease in our stock price between grant and vesting dates.</w:t>
      </w:r>
    </w:p>
    <w:p>
      <w:pPr>
        <w:spacing w:after="0" w:line="7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repurchased 85,559 shares of our common stock for an aggregate purchase price of $2.4 million.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financial position remains strong with liquid cash and short-term investments of $100.1 million and no debt as of December 31, 2019</w:t>
      </w:r>
      <w:r>
        <w:rPr>
          <w:rFonts w:ascii="Arial" w:cs="Arial" w:eastAsia="Arial" w:hAnsi="Arial"/>
          <w:sz w:val="16"/>
          <w:szCs w:val="16"/>
          <w:i w:val="1"/>
          <w:iCs w:val="1"/>
          <w:color w:val="auto"/>
        </w:rPr>
        <w:t>.</w:t>
      </w:r>
    </w:p>
    <w:p>
      <w:pPr>
        <w:spacing w:after="0" w:line="140"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We believe that the quality, expertise and commitment of our named executive officers are critical to achieving our business objectives and strategies. Accordingly, a principal objective of our executive compensation program is to deliver competitive total direct compensation (i.e., base salary, annual cash incentive awards, long-term equity awards, and mutual fund awards) that attract, motivate and retain talented executives who can contribute to the success of our business.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believe it is important that our executive compensation program reflect strong corporate governance.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Significant Aspects of our Executive Compensation Program</w:t>
      </w:r>
    </w:p>
    <w:p>
      <w:pPr>
        <w:spacing w:after="0" w:line="30" w:lineRule="exact"/>
        <w:rPr>
          <w:sz w:val="20"/>
          <w:szCs w:val="20"/>
          <w:color w:val="auto"/>
        </w:rPr>
      </w:pPr>
    </w:p>
    <w:tbl>
      <w:tblPr>
        <w:tblLayout w:type="fixed"/>
        <w:tblInd w:w="390" w:type="dxa"/>
        <w:tblCellMar>
          <w:top w:w="0" w:type="dxa"/>
          <w:left w:w="0" w:type="dxa"/>
          <w:bottom w:w="0" w:type="dxa"/>
          <w:right w:w="0" w:type="dxa"/>
        </w:tblCellMar>
      </w:tblPr>
      <w:tr>
        <w:trPr>
          <w:trHeight w:val="257"/>
        </w:trPr>
        <w:tc>
          <w:tcPr>
            <w:tcW w:w="5260" w:type="dxa"/>
            <w:vAlign w:val="bottom"/>
            <w:tcBorders>
              <w:top w:val="single" w:sz="8" w:color="auto"/>
              <w:left w:val="single" w:sz="8" w:color="auto"/>
              <w:right w:val="single" w:sz="8" w:color="auto"/>
            </w:tcBorders>
          </w:tcPr>
          <w:p>
            <w:pPr>
              <w:ind w:left="2140"/>
              <w:spacing w:after="0"/>
              <w:rPr>
                <w:sz w:val="20"/>
                <w:szCs w:val="20"/>
                <w:color w:val="auto"/>
              </w:rPr>
            </w:pPr>
            <w:r>
              <w:rPr>
                <w:rFonts w:ascii="Arial" w:cs="Arial" w:eastAsia="Arial" w:hAnsi="Arial"/>
                <w:sz w:val="18"/>
                <w:szCs w:val="18"/>
                <w:b w:val="1"/>
                <w:bCs w:val="1"/>
                <w:color w:val="auto"/>
              </w:rPr>
              <w:t>What We Do</w:t>
            </w:r>
          </w:p>
        </w:tc>
        <w:tc>
          <w:tcPr>
            <w:tcW w:w="526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What We Do Not Do</w:t>
            </w:r>
          </w:p>
        </w:tc>
      </w:tr>
      <w:tr>
        <w:trPr>
          <w:trHeight w:val="27"/>
        </w:trPr>
        <w:tc>
          <w:tcPr>
            <w:tcW w:w="5260" w:type="dxa"/>
            <w:vAlign w:val="bottom"/>
            <w:tcBorders>
              <w:left w:val="single" w:sz="8" w:color="auto"/>
              <w:bottom w:val="single" w:sz="8" w:color="auto"/>
              <w:right w:val="single" w:sz="8" w:color="auto"/>
            </w:tcBorders>
          </w:tcPr>
          <w:p>
            <w:pPr>
              <w:spacing w:after="0"/>
              <w:rPr>
                <w:sz w:val="2"/>
                <w:szCs w:val="2"/>
                <w:color w:val="auto"/>
              </w:rPr>
            </w:pPr>
          </w:p>
        </w:tc>
        <w:tc>
          <w:tcPr>
            <w:tcW w:w="5260" w:type="dxa"/>
            <w:vAlign w:val="bottom"/>
            <w:tcBorders>
              <w:bottom w:val="single" w:sz="8" w:color="auto"/>
              <w:right w:val="single" w:sz="8" w:color="auto"/>
            </w:tcBorders>
          </w:tcPr>
          <w:p>
            <w:pPr>
              <w:spacing w:after="0"/>
              <w:rPr>
                <w:sz w:val="2"/>
                <w:szCs w:val="2"/>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7"/>
              </w:rPr>
              <w:t>ü Variable "at risk" compensation accounts for a significantly larger</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û We do not provide significant perquisites to executives</w:t>
            </w:r>
          </w:p>
        </w:tc>
      </w:tr>
      <w:tr>
        <w:trPr>
          <w:trHeight w:val="230"/>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portion of pay than fixed base salary</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ü Compensation outcomes are aligned with performance achievement</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1"/>
              </w:rPr>
              <w:t>û We prohibit hedging and short-sales of Company stock by executives</w:t>
            </w:r>
          </w:p>
        </w:tc>
      </w:tr>
      <w:tr>
        <w:trPr>
          <w:trHeight w:val="230"/>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and directors</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4"/>
              </w:rPr>
              <w:t>ü Incentive plan payouts for executives have caps on the amount that</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û We discourage executives and directors from pledging Company</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can be earned</w:t>
            </w:r>
          </w:p>
        </w:tc>
        <w:tc>
          <w:tcPr>
            <w:tcW w:w="5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stock or holding shares in a margin account</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Change-in-control severance is "double trigger" for our CEO</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û We do not pay dividends on unvested equity-based compensation</w:t>
            </w:r>
          </w:p>
        </w:tc>
      </w:tr>
      <w:tr>
        <w:trPr>
          <w:trHeight w:val="229"/>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awards</w:t>
            </w: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8"/>
              </w:rPr>
              <w:t>ü Officers and directors are required to own significant amounts of</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5"/>
              </w:rPr>
              <w:t>û We prohibit repricing of stock options without shareholder approval</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 stock</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Clawback policy allowing recoupment of incentives for financial</w:t>
            </w:r>
          </w:p>
        </w:tc>
        <w:tc>
          <w:tcPr>
            <w:tcW w:w="526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w w:val="93"/>
              </w:rPr>
              <w:t>û We do not gross-up change-in-control related benefits for excise tax</w:t>
            </w:r>
          </w:p>
        </w:tc>
      </w:tr>
      <w:tr>
        <w:trPr>
          <w:trHeight w:val="229"/>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restatements due to misconduct or fraud</w:t>
            </w:r>
          </w:p>
        </w:tc>
        <w:tc>
          <w:tcPr>
            <w:tcW w:w="5260" w:type="dxa"/>
            <w:vAlign w:val="bottom"/>
            <w:tcBorders>
              <w:bottom w:val="single" w:sz="8" w:color="auto"/>
              <w:right w:val="single" w:sz="8" w:color="auto"/>
            </w:tcBorders>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Provide reasonable post-employment and change-in-control</w:t>
            </w:r>
          </w:p>
        </w:tc>
        <w:tc>
          <w:tcPr>
            <w:tcW w:w="5260" w:type="dxa"/>
            <w:vAlign w:val="bottom"/>
          </w:tcPr>
          <w:p>
            <w:pPr>
              <w:spacing w:after="0"/>
              <w:rPr>
                <w:sz w:val="14"/>
                <w:szCs w:val="14"/>
                <w:color w:val="auto"/>
              </w:rPr>
            </w:pPr>
          </w:p>
        </w:tc>
      </w:tr>
      <w:tr>
        <w:trPr>
          <w:trHeight w:val="230"/>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arrangements</w:t>
            </w:r>
          </w:p>
        </w:tc>
        <w:tc>
          <w:tcPr>
            <w:tcW w:w="5260" w:type="dxa"/>
            <w:vAlign w:val="bottom"/>
          </w:tcPr>
          <w:p>
            <w:pPr>
              <w:spacing w:after="0"/>
              <w:rPr>
                <w:sz w:val="19"/>
                <w:szCs w:val="19"/>
                <w:color w:val="auto"/>
              </w:rPr>
            </w:pPr>
          </w:p>
        </w:tc>
      </w:tr>
      <w:tr>
        <w:trPr>
          <w:trHeight w:val="169"/>
        </w:trPr>
        <w:tc>
          <w:tcPr>
            <w:tcW w:w="5260" w:type="dxa"/>
            <w:vAlign w:val="bottom"/>
            <w:tcBorders>
              <w:left w:val="single" w:sz="8" w:color="auto"/>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ü The Committee reviews competitive compensation market data</w:t>
            </w:r>
          </w:p>
        </w:tc>
        <w:tc>
          <w:tcPr>
            <w:tcW w:w="5260" w:type="dxa"/>
            <w:vAlign w:val="bottom"/>
          </w:tcPr>
          <w:p>
            <w:pPr>
              <w:spacing w:after="0"/>
              <w:rPr>
                <w:sz w:val="14"/>
                <w:szCs w:val="14"/>
                <w:color w:val="auto"/>
              </w:rPr>
            </w:pPr>
          </w:p>
        </w:tc>
      </w:tr>
      <w:tr>
        <w:trPr>
          <w:trHeight w:val="230"/>
        </w:trPr>
        <w:tc>
          <w:tcPr>
            <w:tcW w:w="52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relative to our peer group and our industry</w:t>
            </w:r>
          </w:p>
        </w:tc>
        <w:tc>
          <w:tcPr>
            <w:tcW w:w="5260" w:type="dxa"/>
            <w:vAlign w:val="bottom"/>
          </w:tcPr>
          <w:p>
            <w:pPr>
              <w:spacing w:after="0"/>
              <w:rPr>
                <w:sz w:val="19"/>
                <w:szCs w:val="19"/>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Advisory Vote on Executive Compensation</w:t>
      </w:r>
    </w:p>
    <w:p>
      <w:pPr>
        <w:spacing w:after="0" w:line="12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At our 2019 Annual Meeting of Stockholders held in April 2019, over 64% of the votes cast (excluding abstentions and broker non-votes) on the say-on-pay proposal at the meeting were voted in favor of the proposal. The Compensation Committee attributed the significant decrease from the over 98% support received in 2018 to a decrease in financial performance and has tried to better align 2019 and future executive compensation with company performance. The Compensation Committee remains open to stockholder perspectives on our executive compensation program and will continue to consider the outcome of the Company's say-on-pay votes when making future compensation decisions for our executive officers.</w:t>
      </w:r>
    </w:p>
    <w:p>
      <w:pPr>
        <w:spacing w:after="0" w:line="68" w:lineRule="exact"/>
        <w:rPr>
          <w:sz w:val="20"/>
          <w:szCs w:val="20"/>
          <w:color w:val="auto"/>
        </w:rPr>
      </w:pPr>
    </w:p>
    <w:p>
      <w:pPr>
        <w:jc w:val="both"/>
        <w:ind w:right="120" w:firstLine="405"/>
        <w:spacing w:after="0" w:line="263" w:lineRule="auto"/>
        <w:rPr>
          <w:sz w:val="20"/>
          <w:szCs w:val="20"/>
          <w:color w:val="auto"/>
        </w:rPr>
      </w:pPr>
      <w:r>
        <w:rPr>
          <w:rFonts w:ascii="Arial" w:cs="Arial" w:eastAsia="Arial" w:hAnsi="Arial"/>
          <w:sz w:val="18"/>
          <w:szCs w:val="18"/>
          <w:color w:val="auto"/>
        </w:rPr>
        <w:t>We continuously evaluate our pay practices and review performance metrics annually for rigor and relevance, reflecting meaningful drivers to create value for our stockholders. As further discussed in Proposal 4 of this proxy statement, we are conducting an advisory vote on our executive compensation at this year’s Annual Meeting of Stockholders.</w:t>
      </w:r>
    </w:p>
    <w:p>
      <w:pPr>
        <w:spacing w:after="0" w:line="76"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last advisory vote on the frequency of executive compensation was held at our 2017 Annual Meeting of Stockholders, when a majority of the votes cast favored conducting an annual advisory vote on executive compensation. Therefore, the Board changed the vote frequency from once every three years to an annual vote in order to give our shareholders the opportunity to provide feedback on our executive compensation program on a more frequent basis.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CEO Realized Pay</w:t>
      </w:r>
    </w:p>
    <w:p>
      <w:pPr>
        <w:spacing w:after="0" w:line="117"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pay of our Chief Executive Officer, Mr. Casey as reported in the 2019 Summary Compensation Table, reflects the accounting value of long-term equity awards at grant dates and not the value actually realized by Mr. Casey from these awards. Since a significant portion of the reported compensation of Mr. Casey represents potential pay, we believe it is useful to supplement the information provided in the 2019 Summary Compensation Table by also looking at the pay that Mr. Casey actually realized during the year. The table below compares our income before income taxes to Mr. Casey's "realized pay" for each of the last five years, illustrating the strong correlation between our financial performance and the pay actually received by our Chief Executive Officer. The realized pay is defined as compensation received in the fiscal year, including cash short-term incentive payout, and time-based and performance-based restricted stock awards vested that were earned in prior fiscal years.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03" w:right="3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1193800</wp:posOffset>
            </wp:positionH>
            <wp:positionV relativeFrom="page">
              <wp:posOffset>688975</wp:posOffset>
            </wp:positionV>
            <wp:extent cx="5417820" cy="4131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417820" cy="413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 At the Compensation Committee's discretion, 2017 Income before income taxes excludes a $4.0 million legal settlement charge.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designing and implementing our executive compensation program, the Compensation Committee is guided by the following philosophy and objectives:</w:t>
      </w:r>
    </w:p>
    <w:p>
      <w:pPr>
        <w:spacing w:after="0" w:line="62" w:lineRule="exact"/>
        <w:rPr>
          <w:sz w:val="20"/>
          <w:szCs w:val="20"/>
          <w:color w:val="auto"/>
        </w:rPr>
      </w:pPr>
    </w:p>
    <w:p>
      <w:pPr>
        <w:ind w:left="1300" w:right="380" w:hanging="320"/>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Deliver competitive total direct compensation at levels to attract, motivate and retain talented executives who can contribute to the success of our business;</w:t>
      </w:r>
    </w:p>
    <w:p>
      <w:pPr>
        <w:spacing w:after="0" w:line="62" w:lineRule="exact"/>
        <w:rPr>
          <w:rFonts w:ascii="Arial" w:cs="Arial" w:eastAsia="Arial" w:hAnsi="Arial"/>
          <w:sz w:val="18"/>
          <w:szCs w:val="18"/>
          <w:color w:val="auto"/>
        </w:rPr>
      </w:pPr>
    </w:p>
    <w:p>
      <w:pPr>
        <w:ind w:left="1300" w:right="100" w:hanging="320"/>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Award compensation that motivates and rewards short- and long-term individual and company performance but discourages excessive risk-taking;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Align named executive officers’ interests with those of our stockholders.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further discussed below, during 2017, 2018 and 2019 the Compensation Committee reviewed and considered market compensation data derived from the McLagan Survey and the Custom Peer Group (as defined below) to ensure, in its subjective judgment, that the named executive officers’ total direct compensation (i.e., base salary, annual cash incentive awards, and long-term equity awards) remained competitive in our marketplace for executive talent.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In 2019, the Compensation Committee, in collaboration with Mr. Casey, formulated specific plans and awards designed to align our executive compensation program with our business objectives and strategies.</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Compensation Committee has full discretion regarding the compensation of our executive officers. Mr. Casey provided the Compensation Committee with his recommendations on the level and form of compensation for Messrs. Forbes, Gomez and Paddon, and Ms. Gerron based upon his annual review of these executive officers’ individual performances and, where applicable, their contractual employment arrangements. In 2019, the Compensation Committee reviewed and approved Mr. Casey’s recommendations regarding the base salaries, annual cash incentive awards and long-term equity awards for Messrs. Forbes, Gomez and Paddon, and Ms. Gerron.</w:t>
      </w:r>
    </w:p>
    <w:p>
      <w:pPr>
        <w:sectPr>
          <w:pgSz w:w="11900" w:h="16838" w:orient="portrait"/>
          <w:cols w:equalWidth="0" w:num="1">
            <w:col w:w="11060"/>
          </w:cols>
          <w:pgMar w:left="320" w:top="1440" w:right="51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60"/>
          </w:cols>
          <w:pgMar w:left="320" w:top="1440" w:right="519" w:bottom="1440" w:gutter="0" w:footer="0" w:header="0"/>
          <w:type w:val="continuous"/>
        </w:sectPr>
      </w:pPr>
    </w:p>
    <w:bookmarkStart w:id="23" w:name="page24"/>
    <w:bookmarkEnd w:id="23"/>
    <w:p>
      <w:pPr>
        <w:ind w:firstLine="405"/>
        <w:spacing w:after="0" w:line="263" w:lineRule="auto"/>
        <w:rPr>
          <w:sz w:val="20"/>
          <w:szCs w:val="20"/>
          <w:color w:val="auto"/>
        </w:rPr>
      </w:pPr>
      <w:r>
        <w:rPr>
          <w:rFonts w:ascii="Arial" w:cs="Arial" w:eastAsia="Arial" w:hAnsi="Arial"/>
          <w:sz w:val="18"/>
          <w:szCs w:val="18"/>
          <w:color w:val="auto"/>
        </w:rPr>
        <w:t>Mr. Casey did not make recommendations to the Compensation Committee with respect to his own compensation, other than expressing his desire to decline participation in fiscal 2019 annual and long-term incentive awards in light of the Company's challenging business conditions, which the Compensation Committee considered and accepted.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12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Based on the foregoing philosophy and objectives, the Compensation Committee aims to structure the executive compensation program to motivate our named executive officers to achieve the Company’s business objectives and strategies and to reward them for achieving such objectives and strategies.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Compensation Data</w:t>
      </w:r>
      <w:r>
        <w:rPr>
          <w:rFonts w:ascii="Arial" w:cs="Arial" w:eastAsia="Arial" w:hAnsi="Arial"/>
          <w:sz w:val="18"/>
          <w:szCs w:val="18"/>
          <w:color w:val="auto"/>
        </w:rPr>
        <w:t>.</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Compensation Committee reviewed market compensation data from the McLagan 2018 Investment Management Survey–U.S., a widely-used source for compensation information within public and private investment firms (the "McLagan Survey") and a custom peer group of publicly-traded asset management companies (collectively, the "Custom Peer Group").</w:t>
      </w:r>
    </w:p>
    <w:p>
      <w:pPr>
        <w:spacing w:after="0" w:line="76"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 McLagan Survey provides detailed analyses of compensation in greater depth for investment management employees than those available from our public peers and specifically focuses on the asset management industry. The McLagan Survey provides market compensation data for approximately 219 public and private investment management firms. Compensation analysis for specific officer positions in the McLagan Survey does not identify individual investment management and advisory firms. Instead, market compensation data is presented in different groupings by headquarter location, range of assets under management and job function. Confidentiality obligations to McLagan Partners and its survey participants prevent the disclosure of the firms included in the survey.</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2019, the companies comprising our Custom Peer Group were:</w:t>
      </w:r>
    </w:p>
    <w:p>
      <w:pPr>
        <w:spacing w:after="0" w:line="158" w:lineRule="exact"/>
        <w:rPr>
          <w:sz w:val="20"/>
          <w:szCs w:val="20"/>
          <w:color w:val="auto"/>
        </w:rPr>
      </w:pPr>
    </w:p>
    <w:tbl>
      <w:tblPr>
        <w:tblLayout w:type="fixed"/>
        <w:tblInd w:w="10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Artisan Partners Asset Management</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Manning &amp; Napier</w:t>
            </w:r>
          </w:p>
        </w:tc>
      </w:tr>
      <w:tr>
        <w:trPr>
          <w:trHeight w:val="22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BrightSphere Investment Group</w:t>
            </w:r>
          </w:p>
        </w:tc>
        <w:tc>
          <w:tcPr>
            <w:tcW w:w="4500" w:type="dxa"/>
            <w:vAlign w:val="bottom"/>
            <w:gridSpan w:val="2"/>
          </w:tcPr>
          <w:p>
            <w:pPr>
              <w:ind w:left="1200"/>
              <w:spacing w:after="0"/>
              <w:rPr>
                <w:sz w:val="20"/>
                <w:szCs w:val="20"/>
                <w:color w:val="auto"/>
              </w:rPr>
            </w:pPr>
            <w:r>
              <w:rPr>
                <w:rFonts w:ascii="Arial" w:cs="Arial" w:eastAsia="Arial" w:hAnsi="Arial"/>
                <w:sz w:val="18"/>
                <w:szCs w:val="18"/>
                <w:color w:val="auto"/>
              </w:rPr>
              <w:t>•  Pzena Investment Management, Inc.</w:t>
            </w: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  Diamond Hill Investment Group, Inc.</w:t>
            </w:r>
          </w:p>
        </w:tc>
        <w:tc>
          <w:tcPr>
            <w:tcW w:w="4500" w:type="dxa"/>
            <w:vAlign w:val="bottom"/>
            <w:gridSpan w:val="2"/>
          </w:tcPr>
          <w:p>
            <w:pPr>
              <w:ind w:left="1200"/>
              <w:spacing w:after="0"/>
              <w:rPr>
                <w:sz w:val="20"/>
                <w:szCs w:val="20"/>
                <w:color w:val="auto"/>
              </w:rPr>
            </w:pPr>
            <w:r>
              <w:rPr>
                <w:rFonts w:ascii="Arial" w:cs="Arial" w:eastAsia="Arial" w:hAnsi="Arial"/>
                <w:sz w:val="18"/>
                <w:szCs w:val="18"/>
                <w:color w:val="auto"/>
                <w:w w:val="92"/>
              </w:rPr>
              <w:t>•  Silvercrest Asset Management Group, Inc.</w:t>
            </w:r>
          </w:p>
        </w:tc>
      </w:tr>
      <w:tr>
        <w:trPr>
          <w:trHeight w:val="22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GAMCO Investors, Inc.</w:t>
            </w:r>
          </w:p>
        </w:tc>
        <w:tc>
          <w:tcPr>
            <w:tcW w:w="1340" w:type="dxa"/>
            <w:vAlign w:val="bottom"/>
          </w:tcPr>
          <w:p>
            <w:pPr>
              <w:ind w:left="1200"/>
              <w:spacing w:after="0"/>
              <w:rPr>
                <w:sz w:val="20"/>
                <w:szCs w:val="20"/>
                <w:color w:val="auto"/>
              </w:rPr>
            </w:pPr>
            <w:r>
              <w:rPr>
                <w:rFonts w:ascii="Arial" w:cs="Arial" w:eastAsia="Arial" w:hAnsi="Arial"/>
                <w:sz w:val="18"/>
                <w:szCs w:val="18"/>
                <w:color w:val="auto"/>
              </w:rPr>
              <w:t>•</w:t>
            </w:r>
          </w:p>
        </w:tc>
        <w:tc>
          <w:tcPr>
            <w:tcW w:w="3160" w:type="dxa"/>
            <w:vAlign w:val="bottom"/>
          </w:tcPr>
          <w:p>
            <w:pPr>
              <w:ind w:left="100"/>
              <w:spacing w:after="0"/>
              <w:rPr>
                <w:sz w:val="20"/>
                <w:szCs w:val="20"/>
                <w:color w:val="auto"/>
              </w:rPr>
            </w:pPr>
            <w:r>
              <w:rPr>
                <w:rFonts w:ascii="Arial" w:cs="Arial" w:eastAsia="Arial" w:hAnsi="Arial"/>
                <w:sz w:val="18"/>
                <w:szCs w:val="18"/>
                <w:color w:val="auto"/>
              </w:rPr>
              <w:t>Victory Capital Holdings</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980" w:type="dxa"/>
            <w:vAlign w:val="bottom"/>
          </w:tcPr>
          <w:p>
            <w:pPr>
              <w:ind w:left="80"/>
              <w:spacing w:after="0"/>
              <w:rPr>
                <w:sz w:val="20"/>
                <w:szCs w:val="20"/>
                <w:color w:val="auto"/>
              </w:rPr>
            </w:pPr>
            <w:r>
              <w:rPr>
                <w:rFonts w:ascii="Arial" w:cs="Arial" w:eastAsia="Arial" w:hAnsi="Arial"/>
                <w:sz w:val="18"/>
                <w:szCs w:val="18"/>
                <w:color w:val="auto"/>
              </w:rPr>
              <w:t>Hennessy Advisors, Inc.</w:t>
            </w:r>
          </w:p>
        </w:tc>
        <w:tc>
          <w:tcPr>
            <w:tcW w:w="4500" w:type="dxa"/>
            <w:vAlign w:val="bottom"/>
            <w:gridSpan w:val="2"/>
          </w:tcPr>
          <w:p>
            <w:pPr>
              <w:ind w:left="1200"/>
              <w:spacing w:after="0"/>
              <w:rPr>
                <w:sz w:val="20"/>
                <w:szCs w:val="20"/>
                <w:color w:val="auto"/>
              </w:rPr>
            </w:pPr>
            <w:r>
              <w:rPr>
                <w:rFonts w:ascii="Arial" w:cs="Arial" w:eastAsia="Arial" w:hAnsi="Arial"/>
                <w:sz w:val="18"/>
                <w:szCs w:val="18"/>
                <w:color w:val="auto"/>
              </w:rPr>
              <w:t>•  Virtus Investment Partners, Inc.</w:t>
            </w:r>
          </w:p>
        </w:tc>
      </w:tr>
    </w:tbl>
    <w:p>
      <w:pPr>
        <w:spacing w:after="0" w:line="9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peer companies were selected primarily based upon their (i) industry (asset management or financial advisory services), (ii) equity market capitalization and (iii) assets under management, all based on publicly available information during 2017 to 2019. The Compensation Committee believes the relative size, nature and operations and assets under management provide meaningful compensation and performance information.</w:t>
      </w:r>
    </w:p>
    <w:p>
      <w:pPr>
        <w:spacing w:after="0" w:line="57" w:lineRule="exact"/>
        <w:rPr>
          <w:sz w:val="20"/>
          <w:szCs w:val="20"/>
          <w:color w:val="auto"/>
        </w:rPr>
      </w:pPr>
    </w:p>
    <w:p>
      <w:pPr>
        <w:ind w:right="460" w:firstLine="405"/>
        <w:spacing w:after="0" w:line="259" w:lineRule="auto"/>
        <w:rPr>
          <w:sz w:val="20"/>
          <w:szCs w:val="20"/>
          <w:color w:val="auto"/>
        </w:rPr>
      </w:pPr>
      <w:r>
        <w:rPr>
          <w:rFonts w:ascii="Arial" w:cs="Arial" w:eastAsia="Arial" w:hAnsi="Arial"/>
          <w:sz w:val="18"/>
          <w:szCs w:val="18"/>
          <w:color w:val="auto"/>
        </w:rPr>
        <w:t>In 2019, we removed Cohen &amp; Steers, Inc. and WisdomTree Investments, Inc. from our Custom Peer Group. Cohen &amp; Steers, Inc. is no longer included in in our peer group as their business is specialized in real estate and infrastructure securities, which have different market dynamics. This, combined with their significantly higher assets under management and revenue base in those specialized sectors, makes them not a direct peer to Westwood.</w:t>
      </w:r>
    </w:p>
    <w:p>
      <w:pPr>
        <w:spacing w:after="0" w:line="79"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WisdomTree Investments, Inc. is no longer included in our peer group as they are specialized in exchange traded funds (“ETFs”) and have faced a number of challenges specific to independent ETF providers. Being a specialized ETF provider with unique challenges, they are not a direct peer to Westwood.</w:t>
      </w:r>
    </w:p>
    <w:p>
      <w:pPr>
        <w:spacing w:after="0" w:line="76"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have few direct peers that are public and are similar in size and complexity to us. As a result, most companies that comprise the Custom Peer Group are somewhat larger than us in terms of revenues and assets under management. The Compensation Committee considers this size disparity when looking at market compensation data derived from the Custom Peer Group in the context of evaluating and approving compensation for the named executive officers.</w:t>
      </w:r>
    </w:p>
    <w:p>
      <w:pPr>
        <w:spacing w:after="0" w:line="79"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The Compensation Committee considers the market compensation data derived from the McLagan Survey and the Custom Peer Group similarly relevant, with neither source of information being the determinative factor in setting executive compensation levels. The Compensation Committee uses both sources of information as a reference to ensure, in its subjective judgment, that individual pay components remain competitive. The Compensation Committee does not target any individual pay component of the named executive officers to fall within a specific range or percentile of the market compensation data derived from the McLagan Survey or the Custom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1003"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2019 Executive Compensation Components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2019, the principal components of compensation for the named executive officers were:</w:t>
      </w:r>
    </w:p>
    <w:p>
      <w:pPr>
        <w:spacing w:after="0" w:line="30" w:lineRule="exact"/>
        <w:rPr>
          <w:sz w:val="20"/>
          <w:szCs w:val="20"/>
          <w:color w:val="auto"/>
        </w:rPr>
      </w:pPr>
    </w:p>
    <w:tbl>
      <w:tblPr>
        <w:tblLayout w:type="fixed"/>
        <w:tblInd w:w="810" w:type="dxa"/>
        <w:tblCellMar>
          <w:top w:w="0" w:type="dxa"/>
          <w:left w:w="0" w:type="dxa"/>
          <w:bottom w:w="0" w:type="dxa"/>
          <w:right w:w="0" w:type="dxa"/>
        </w:tblCellMar>
      </w:tblPr>
      <w:tr>
        <w:trPr>
          <w:trHeight w:val="257"/>
        </w:trPr>
        <w:tc>
          <w:tcPr>
            <w:tcW w:w="4860" w:type="dxa"/>
            <w:vAlign w:val="bottom"/>
            <w:tcBorders>
              <w:top w:val="single" w:sz="8" w:color="auto"/>
              <w:left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Component of Pay</w:t>
            </w:r>
          </w:p>
        </w:tc>
        <w:tc>
          <w:tcPr>
            <w:tcW w:w="484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Purpose and Rationale</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22"/>
        </w:trPr>
        <w:tc>
          <w:tcPr>
            <w:tcW w:w="4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salary</w:t>
            </w: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4"/>
              </w:rPr>
              <w:t>Fixed portion of compensation to pay for executing primary day-</w:t>
            </w: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to-day duties and responsibilities</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22"/>
        </w:trPr>
        <w:tc>
          <w:tcPr>
            <w:tcW w:w="4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Annual cash incentive awards</w:t>
            </w: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Variable at-risk element of pay to reward for achieving specific</w:t>
            </w: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pre-established annual performance goals</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22"/>
        </w:trPr>
        <w:tc>
          <w:tcPr>
            <w:tcW w:w="4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Long-term equity awards</w:t>
            </w: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3"/>
              </w:rPr>
              <w:t>Variable at-risk element of pay to drive performance that delivers</w:t>
            </w: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long-term shareholder value and links the interests of our</w:t>
            </w: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executives and shareholders and retains critical talent</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22"/>
        </w:trPr>
        <w:tc>
          <w:tcPr>
            <w:tcW w:w="4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Employee and post-retirement benefits</w:t>
            </w: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Market-competitive form of compensation to underpin the</w:t>
            </w:r>
          </w:p>
        </w:tc>
      </w:tr>
      <w:tr>
        <w:trPr>
          <w:trHeight w:val="216"/>
        </w:trPr>
        <w:tc>
          <w:tcPr>
            <w:tcW w:w="4860" w:type="dxa"/>
            <w:vAlign w:val="bottom"/>
            <w:tcBorders>
              <w:left w:val="single" w:sz="8" w:color="auto"/>
              <w:righ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2"/>
              </w:rPr>
              <w:t>financial security and health and welfare of our executives during</w:t>
            </w:r>
          </w:p>
        </w:tc>
      </w:tr>
      <w:tr>
        <w:trPr>
          <w:trHeight w:val="230"/>
        </w:trPr>
        <w:tc>
          <w:tcPr>
            <w:tcW w:w="4860" w:type="dxa"/>
            <w:vAlign w:val="bottom"/>
            <w:tcBorders>
              <w:left w:val="single" w:sz="8" w:color="auto"/>
              <w:right w:val="single" w:sz="8" w:color="auto"/>
            </w:tcBorders>
          </w:tcPr>
          <w:p>
            <w:pPr>
              <w:spacing w:after="0"/>
              <w:rPr>
                <w:sz w:val="20"/>
                <w:szCs w:val="20"/>
                <w:color w:val="auto"/>
              </w:rPr>
            </w:pPr>
          </w:p>
        </w:tc>
        <w:tc>
          <w:tcPr>
            <w:tcW w:w="4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and after employment with Westwood</w:t>
            </w:r>
          </w:p>
        </w:tc>
      </w:tr>
      <w:tr>
        <w:trPr>
          <w:trHeight w:val="27"/>
        </w:trPr>
        <w:tc>
          <w:tcPr>
            <w:tcW w:w="4860" w:type="dxa"/>
            <w:vAlign w:val="bottom"/>
            <w:tcBorders>
              <w:left w:val="single" w:sz="8" w:color="auto"/>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There is no pre-established target for the allocation between (i) cash and equity-based compensation and (ii) short-term and long-term incentive compensation. The Compensation Committee considers, among other things, Company performance, individual performance, and market compensation data from the McLagan Survey and Custom Peer Group, as well as its own subjective judgment to determine the appropriate level and mix of each component of the executive compensation program.</w:t>
      </w:r>
    </w:p>
    <w:p>
      <w:pPr>
        <w:spacing w:after="0" w:line="7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As shown in the graph below, a significant portion of the named executive officers’ 2019 total direct compensation - ranging from approximately 52% to 59% - represented "at risk" compensation, delivered in the form of annual cash incentive awards and long-term equity awards. This range excludes Mr. Casey, who did not receive either a short-term compensation award or long-term equity award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-10795</wp:posOffset>
            </wp:positionV>
            <wp:extent cx="5572125" cy="4286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2125" cy="428625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89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jc w:val="both"/>
        <w:ind w:right="140" w:firstLine="405"/>
        <w:spacing w:after="0" w:line="342" w:lineRule="auto"/>
        <w:rPr>
          <w:sz w:val="20"/>
          <w:szCs w:val="20"/>
          <w:color w:val="auto"/>
        </w:rPr>
      </w:pPr>
      <w:r>
        <w:rPr>
          <w:rFonts w:ascii="Arial" w:cs="Arial" w:eastAsia="Arial" w:hAnsi="Arial"/>
          <w:sz w:val="16"/>
          <w:szCs w:val="16"/>
          <w:color w:val="auto"/>
        </w:rPr>
        <w:t>Base salary is the fixed component of the named executive officers’ annual cash compensation. The Company provides its named executive officers with a base salary to compensate them for services rendered during the fiscal year and in recognition of their expertise, skills, knowledge and experience.</w:t>
      </w:r>
    </w:p>
    <w:p>
      <w:pPr>
        <w:spacing w:after="0" w:line="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Salary levels are typically considered annually as part of our performance review process, as well as upon promotions, changes in job responsibilities, or in connection with the terms of initial employment.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Base salaries of the named executive officers as of the beginning and end of 2019, including any adjustments made during the year, were as follows: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Base Salary</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Base Salary</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4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Named Executive Officers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 of</w:t>
            </w:r>
          </w:p>
        </w:tc>
        <w:tc>
          <w:tcPr>
            <w:tcW w:w="10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7"/>
              </w:rPr>
              <w:t>1/1/19</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12/31/19</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President &amp; Chief Executive Officer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650,000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650,000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Senior Vice President, Chief Financial Officer &amp; Treasurer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225,000</w:t>
            </w:r>
          </w:p>
        </w:tc>
        <w:tc>
          <w:tcPr>
            <w:tcW w:w="100" w:type="dxa"/>
            <w:vAlign w:val="bottom"/>
          </w:tcPr>
          <w:p>
            <w:pPr>
              <w:spacing w:after="0"/>
              <w:rPr>
                <w:sz w:val="20"/>
                <w:szCs w:val="20"/>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&amp; Chief Operating Officer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260,000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260,000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Julie K. Gerron,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Senior Vice President, General Counsel, Chief Compliance Officer &amp; Corporate Secretary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0"/>
                <w:szCs w:val="20"/>
                <w:color w:val="auto"/>
              </w:rPr>
            </w:pPr>
          </w:p>
        </w:tc>
        <w:tc>
          <w:tcPr>
            <w:tcW w:w="1060" w:type="dxa"/>
            <w:vAlign w:val="bottom"/>
          </w:tcPr>
          <w:p>
            <w:pPr>
              <w:ind w:left="6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Vice President, Head of Institutional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10 %</w:t>
            </w:r>
          </w:p>
        </w:tc>
        <w:tc>
          <w:tcPr>
            <w:tcW w:w="0" w:type="dxa"/>
            <w:vAlign w:val="bottom"/>
          </w:tcPr>
          <w:p>
            <w:pPr>
              <w:spacing w:after="0"/>
              <w:rPr>
                <w:sz w:val="1"/>
                <w:szCs w:val="1"/>
                <w:color w:val="auto"/>
              </w:rPr>
            </w:pPr>
          </w:p>
        </w:tc>
      </w:tr>
      <w:tr>
        <w:trPr>
          <w:trHeight w:val="27"/>
        </w:trPr>
        <w:tc>
          <w:tcPr>
            <w:tcW w:w="7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Cash Incentive Awards</w:t>
      </w:r>
    </w:p>
    <w:p>
      <w:pPr>
        <w:spacing w:after="0" w:line="11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In general, the Compensation Committee approves annual cash incentive awards to each of the named executive officers. These awards are intended to focus named executive officers on achieving short-term business objectives and strategies and to enable them to participate in our growth and profitability.</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Annual Cash Incentive Award for Messrs. Forbes, Gomez and Paddon, and Ms. Gerron</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Compensation Committee reviews the bonus pool for executive officers annually to ensure that, in its subjective judgment, levels reflect industry practices, will adequately fund potential bonuses and will provide sufficient capacity to reward extraordinary performance, if and when earned. The amount and calculation of the bonus pool are subject to change at the discretion of the Compensation Committee.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2020 annual incentive payouts were payable from the 2019 bonus pool: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895"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2019 Annual</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Incentive Payout</w:t>
            </w:r>
          </w:p>
        </w:tc>
        <w:tc>
          <w:tcPr>
            <w:tcW w:w="0" w:type="dxa"/>
            <w:vAlign w:val="bottom"/>
          </w:tcPr>
          <w:p>
            <w:pPr>
              <w:spacing w:after="0"/>
              <w:rPr>
                <w:sz w:val="1"/>
                <w:szCs w:val="1"/>
                <w:color w:val="auto"/>
              </w:rPr>
            </w:pPr>
          </w:p>
        </w:tc>
      </w:tr>
      <w:tr>
        <w:trPr>
          <w:trHeight w:val="243"/>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Terry Forbes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62"/>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860" w:val="left"/>
          <w:tab w:leader="none" w:pos="2500" w:val="left"/>
        </w:tabs>
        <w:rPr>
          <w:sz w:val="20"/>
          <w:szCs w:val="20"/>
          <w:color w:val="auto"/>
        </w:rPr>
      </w:pPr>
      <w:r>
        <w:rPr>
          <w:rFonts w:ascii="Arial" w:cs="Arial" w:eastAsia="Arial" w:hAnsi="Arial"/>
          <w:sz w:val="18"/>
          <w:szCs w:val="18"/>
          <w:color w:val="auto"/>
        </w:rPr>
        <w:t>Fabian Gomez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tabs>
          <w:tab w:leader="none" w:pos="1860" w:val="left"/>
          <w:tab w:leader="none" w:pos="2500" w:val="left"/>
        </w:tabs>
        <w:rPr>
          <w:sz w:val="20"/>
          <w:szCs w:val="20"/>
          <w:color w:val="auto"/>
        </w:rPr>
      </w:pPr>
      <w:r>
        <w:rPr>
          <w:rFonts w:ascii="Arial" w:cs="Arial" w:eastAsia="Arial" w:hAnsi="Arial"/>
          <w:sz w:val="18"/>
          <w:szCs w:val="18"/>
          <w:color w:val="auto"/>
        </w:rPr>
        <w:t>Julie K. Gerron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1860" w:val="left"/>
          <w:tab w:leader="none" w:pos="2500" w:val="left"/>
        </w:tabs>
        <w:rPr>
          <w:sz w:val="20"/>
          <w:szCs w:val="20"/>
          <w:color w:val="auto"/>
        </w:rPr>
      </w:pPr>
      <w:r>
        <w:rPr>
          <w:rFonts w:ascii="Arial" w:cs="Arial" w:eastAsia="Arial" w:hAnsi="Arial"/>
          <w:sz w:val="18"/>
          <w:szCs w:val="18"/>
          <w:color w:val="auto"/>
        </w:rPr>
        <w:t>Steven Paddon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175,000</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Determining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23495</wp:posOffset>
            </wp:positionV>
            <wp:extent cx="7098030" cy="934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934085"/>
                    </a:xfrm>
                    <a:prstGeom prst="rect">
                      <a:avLst/>
                    </a:prstGeom>
                    <a:noFill/>
                  </pic:spPr>
                </pic:pic>
              </a:graphicData>
            </a:graphic>
          </wp:anchor>
        </w:drawing>
      </w:r>
    </w:p>
    <w:p>
      <w:pPr>
        <w:spacing w:after="0" w:line="43" w:lineRule="exact"/>
        <w:rPr>
          <w:sz w:val="20"/>
          <w:szCs w:val="20"/>
          <w:color w:val="auto"/>
        </w:rPr>
      </w:pPr>
    </w:p>
    <w:p>
      <w:pPr>
        <w:ind w:left="306"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Contributions to the Company’s strategic initiatives, including corporate development, financial and tax planning;</w:t>
      </w:r>
    </w:p>
    <w:p>
      <w:pPr>
        <w:spacing w:after="0" w:line="40" w:lineRule="exact"/>
        <w:rPr>
          <w:rFonts w:ascii="Arial" w:cs="Arial" w:eastAsia="Arial" w:hAnsi="Arial"/>
          <w:sz w:val="25"/>
          <w:szCs w:val="25"/>
          <w:color w:val="auto"/>
          <w:vertAlign w:val="superscript"/>
        </w:rPr>
      </w:pPr>
    </w:p>
    <w:p>
      <w:pPr>
        <w:ind w:left="306" w:right="72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Membership on the Company’s Information Technology Steering Committee, Enterprise Risk Management Committee and Disclosure Committee; and</w:t>
      </w:r>
    </w:p>
    <w:p>
      <w:pPr>
        <w:spacing w:after="0" w:line="40" w:lineRule="exact"/>
        <w:rPr>
          <w:rFonts w:ascii="Arial" w:cs="Arial" w:eastAsia="Arial" w:hAnsi="Arial"/>
          <w:sz w:val="25"/>
          <w:szCs w:val="25"/>
          <w:color w:val="auto"/>
          <w:vertAlign w:val="superscript"/>
        </w:rPr>
      </w:pPr>
    </w:p>
    <w:p>
      <w:pPr>
        <w:ind w:left="306" w:right="38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Firm-wide oversight and enhancements of our financial reporting process and internal control over financial reporting.</w:t>
      </w:r>
    </w:p>
    <w:p>
      <w:pPr>
        <w:spacing w:after="0" w:line="40" w:lineRule="exact"/>
        <w:rPr>
          <w:rFonts w:ascii="Arial" w:cs="Arial" w:eastAsia="Arial" w:hAnsi="Arial"/>
          <w:sz w:val="25"/>
          <w:szCs w:val="25"/>
          <w:color w:val="auto"/>
          <w:vertAlign w:val="superscript"/>
        </w:rPr>
      </w:pPr>
    </w:p>
    <w:p>
      <w:pPr>
        <w:ind w:left="306" w:right="74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Contributions to the Company's strategic initiatives, including strategic planning, information technology and investment operations;</w:t>
      </w:r>
    </w:p>
    <w:p>
      <w:pPr>
        <w:spacing w:after="0" w:line="40" w:lineRule="exact"/>
        <w:rPr>
          <w:rFonts w:ascii="Arial" w:cs="Arial" w:eastAsia="Arial" w:hAnsi="Arial"/>
          <w:sz w:val="25"/>
          <w:szCs w:val="25"/>
          <w:color w:val="auto"/>
          <w:vertAlign w:val="superscript"/>
        </w:rPr>
      </w:pPr>
    </w:p>
    <w:p>
      <w:pPr>
        <w:ind w:left="306" w:right="48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Membership on the Company's Information Technology Steering Committee and Enterprise Risk Management Committee;</w:t>
      </w:r>
    </w:p>
    <w:p>
      <w:pPr>
        <w:spacing w:after="0" w:line="1" w:lineRule="exact"/>
        <w:rPr>
          <w:rFonts w:ascii="Arial" w:cs="Arial" w:eastAsia="Arial" w:hAnsi="Arial"/>
          <w:sz w:val="25"/>
          <w:szCs w:val="25"/>
          <w:color w:val="auto"/>
          <w:vertAlign w:val="superscript"/>
        </w:rPr>
      </w:pPr>
    </w:p>
    <w:p>
      <w:pPr>
        <w:ind w:left="306" w:hanging="306"/>
        <w:spacing w:after="0" w:line="225"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Implementation of cost savings efforts utilizing technological efficiencies;</w:t>
      </w:r>
    </w:p>
    <w:p>
      <w:pPr>
        <w:spacing w:after="0" w:line="56" w:lineRule="exact"/>
        <w:rPr>
          <w:rFonts w:ascii="Arial" w:cs="Arial" w:eastAsia="Arial" w:hAnsi="Arial"/>
          <w:sz w:val="25"/>
          <w:szCs w:val="25"/>
          <w:color w:val="auto"/>
          <w:vertAlign w:val="superscript"/>
        </w:rPr>
      </w:pPr>
    </w:p>
    <w:p>
      <w:pPr>
        <w:ind w:left="306" w:right="360" w:hanging="306"/>
        <w:spacing w:after="0" w:line="208"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Implemented an operational digital platform with InvestCloud that has formed the backbone of our operating platforms for all our business lines; and</w:t>
      </w:r>
    </w:p>
    <w:p>
      <w:pPr>
        <w:spacing w:after="0" w:line="1" w:lineRule="exact"/>
        <w:rPr>
          <w:rFonts w:ascii="Arial" w:cs="Arial" w:eastAsia="Arial" w:hAnsi="Arial"/>
          <w:sz w:val="25"/>
          <w:szCs w:val="25"/>
          <w:color w:val="auto"/>
          <w:vertAlign w:val="superscript"/>
        </w:rPr>
      </w:pPr>
    </w:p>
    <w:p>
      <w:pPr>
        <w:ind w:left="306" w:hanging="306"/>
        <w:spacing w:after="0" w:line="225"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Management and oversight of our information technology and investment operations.</w:t>
      </w:r>
    </w:p>
    <w:p>
      <w:pPr>
        <w:spacing w:after="0" w:line="56" w:lineRule="exact"/>
        <w:rPr>
          <w:rFonts w:ascii="Arial" w:cs="Arial" w:eastAsia="Arial" w:hAnsi="Arial"/>
          <w:sz w:val="25"/>
          <w:szCs w:val="25"/>
          <w:color w:val="auto"/>
          <w:vertAlign w:val="superscript"/>
        </w:rPr>
      </w:pPr>
    </w:p>
    <w:p>
      <w:pPr>
        <w:ind w:left="306" w:hanging="306"/>
        <w:spacing w:after="0" w:line="186" w:lineRule="auto"/>
        <w:tabs>
          <w:tab w:leader="none" w:pos="306"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Management and oversight of our compliance with legal and regulatory requirements;</w:t>
      </w:r>
    </w:p>
    <w:p>
      <w:pPr>
        <w:spacing w:after="0" w:line="56" w:lineRule="exact"/>
        <w:rPr>
          <w:rFonts w:ascii="Arial" w:cs="Arial" w:eastAsia="Arial" w:hAnsi="Arial"/>
          <w:sz w:val="24"/>
          <w:szCs w:val="24"/>
          <w:color w:val="auto"/>
          <w:vertAlign w:val="superscript"/>
        </w:rPr>
      </w:pPr>
    </w:p>
    <w:p>
      <w:pPr>
        <w:ind w:left="306" w:right="520" w:hanging="306"/>
        <w:spacing w:after="0" w:line="219" w:lineRule="auto"/>
        <w:tabs>
          <w:tab w:leader="none" w:pos="306"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Management and oversight of risk management issues, including review and negotiation of legal agreements and participation in internal risk management committees;</w:t>
      </w:r>
    </w:p>
    <w:p>
      <w:pPr>
        <w:spacing w:after="0" w:line="39" w:lineRule="exact"/>
        <w:rPr>
          <w:rFonts w:ascii="Arial" w:cs="Arial" w:eastAsia="Arial" w:hAnsi="Arial"/>
          <w:sz w:val="24"/>
          <w:szCs w:val="24"/>
          <w:color w:val="auto"/>
          <w:vertAlign w:val="superscript"/>
        </w:rPr>
      </w:pPr>
    </w:p>
    <w:p>
      <w:pPr>
        <w:ind w:left="306" w:right="52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Oversight of external counsel with a goal toward timely resolution of legal issues (e.g. litigation, trademark issues, corporate governance, etc.); and</w:t>
      </w:r>
    </w:p>
    <w:p>
      <w:pPr>
        <w:spacing w:after="0" w:line="40" w:lineRule="exact"/>
        <w:rPr>
          <w:rFonts w:ascii="Arial" w:cs="Arial" w:eastAsia="Arial" w:hAnsi="Arial"/>
          <w:sz w:val="25"/>
          <w:szCs w:val="25"/>
          <w:color w:val="auto"/>
          <w:vertAlign w:val="superscript"/>
        </w:rPr>
      </w:pPr>
    </w:p>
    <w:p>
      <w:pPr>
        <w:ind w:left="306" w:right="420" w:hanging="306"/>
        <w:spacing w:after="0" w:line="216"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Effective representation of our legal and compliance program and processes to clients, investment consulting firms and other financial intermediaries.</w:t>
      </w:r>
    </w:p>
    <w:p>
      <w:pPr>
        <w:spacing w:after="0" w:line="1" w:lineRule="exact"/>
        <w:rPr>
          <w:rFonts w:ascii="Arial" w:cs="Arial" w:eastAsia="Arial" w:hAnsi="Arial"/>
          <w:sz w:val="25"/>
          <w:szCs w:val="25"/>
          <w:color w:val="auto"/>
          <w:vertAlign w:val="superscript"/>
        </w:rPr>
      </w:pPr>
    </w:p>
    <w:p>
      <w:pPr>
        <w:ind w:left="306" w:hanging="306"/>
        <w:spacing w:after="0" w:line="225" w:lineRule="auto"/>
        <w:tabs>
          <w:tab w:leader="none" w:pos="306"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Completed staffing and build-out of institutional and intermediary sales and distribution teams;</w:t>
      </w:r>
    </w:p>
    <w:p>
      <w:pPr>
        <w:spacing w:after="0" w:line="56" w:lineRule="exact"/>
        <w:rPr>
          <w:rFonts w:ascii="Arial" w:cs="Arial" w:eastAsia="Arial" w:hAnsi="Arial"/>
          <w:sz w:val="25"/>
          <w:szCs w:val="25"/>
          <w:color w:val="auto"/>
          <w:vertAlign w:val="superscript"/>
        </w:rPr>
      </w:pPr>
    </w:p>
    <w:p>
      <w:pPr>
        <w:ind w:left="306" w:hanging="306"/>
        <w:spacing w:after="0" w:line="203" w:lineRule="auto"/>
        <w:tabs>
          <w:tab w:leader="none" w:pos="306" w:val="left"/>
        </w:tabs>
        <w:numPr>
          <w:ilvl w:val="0"/>
          <w:numId w:val="50"/>
        </w:numPr>
        <w:rPr>
          <w:rFonts w:ascii="Arial" w:cs="Arial" w:eastAsia="Arial" w:hAnsi="Arial"/>
          <w:sz w:val="22"/>
          <w:szCs w:val="22"/>
          <w:color w:val="auto"/>
          <w:vertAlign w:val="superscript"/>
        </w:rPr>
      </w:pPr>
      <w:r>
        <w:rPr>
          <w:rFonts w:ascii="Arial" w:cs="Arial" w:eastAsia="Arial" w:hAnsi="Arial"/>
          <w:sz w:val="16"/>
          <w:szCs w:val="16"/>
          <w:color w:val="auto"/>
        </w:rPr>
        <w:t>Management and oversight of our institutional and intermediary sales teams and client service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-2136775</wp:posOffset>
            </wp:positionH>
            <wp:positionV relativeFrom="paragraph">
              <wp:posOffset>-1422400</wp:posOffset>
            </wp:positionV>
            <wp:extent cx="7098030" cy="1097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097280"/>
                    </a:xfrm>
                    <a:prstGeom prst="rect">
                      <a:avLst/>
                    </a:prstGeom>
                    <a:noFill/>
                  </pic:spPr>
                </pic:pic>
              </a:graphicData>
            </a:graphic>
          </wp:anchor>
        </w:drawing>
      </w:r>
    </w:p>
    <w:p>
      <w:pPr>
        <w:ind w:left="306"/>
        <w:spacing w:after="0"/>
        <w:rPr>
          <w:sz w:val="20"/>
          <w:szCs w:val="20"/>
          <w:color w:val="auto"/>
        </w:rPr>
      </w:pPr>
      <w:r>
        <w:rPr>
          <w:rFonts w:ascii="Arial" w:cs="Arial" w:eastAsia="Arial" w:hAnsi="Arial"/>
          <w:sz w:val="18"/>
          <w:szCs w:val="18"/>
          <w:color w:val="auto"/>
        </w:rPr>
        <w:t>and</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3"/>
          <w:szCs w:val="13"/>
          <w:color w:val="auto"/>
        </w:rPr>
        <w:t>●</w:t>
      </w:r>
    </w:p>
    <w:p>
      <w:pPr>
        <w:spacing w:after="0" w:line="18" w:lineRule="exact"/>
        <w:rPr>
          <w:sz w:val="20"/>
          <w:szCs w:val="20"/>
          <w:color w:val="auto"/>
        </w:rPr>
      </w:pPr>
    </w:p>
    <w:p>
      <w:pPr>
        <w:sectPr>
          <w:pgSz w:w="11900" w:h="16838" w:orient="portrait"/>
          <w:cols w:equalWidth="0" w:num="2">
            <w:col w:w="3240" w:space="134"/>
            <w:col w:w="7786"/>
          </w:cols>
          <w:pgMar w:left="320" w:top="995" w:right="419" w:bottom="1440" w:gutter="0" w:footer="0" w:header="0"/>
        </w:sectPr>
      </w:pPr>
    </w:p>
    <w:p>
      <w:pPr>
        <w:ind w:left="3680" w:right="480"/>
        <w:spacing w:after="0" w:line="235" w:lineRule="auto"/>
        <w:rPr>
          <w:sz w:val="20"/>
          <w:szCs w:val="20"/>
          <w:color w:val="auto"/>
        </w:rPr>
      </w:pPr>
      <w:r>
        <w:rPr>
          <w:rFonts w:ascii="Arial" w:cs="Arial" w:eastAsia="Arial" w:hAnsi="Arial"/>
          <w:sz w:val="18"/>
          <w:szCs w:val="18"/>
          <w:color w:val="auto"/>
        </w:rPr>
        <w:t>Membership on the Company's Information Technology Steering Committee and Enterprise Risk Management Committee.</w:t>
      </w:r>
    </w:p>
    <w:p>
      <w:pPr>
        <w:spacing w:after="0" w:line="8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Cash incentive awards earned in 2019 and paid in 2020 to Messrs. Forbes, Gomez and Paddon and Ms. Gerron are listed in column (d) in the "2019 Summary Compensation Table"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Awards</w:t>
      </w:r>
    </w:p>
    <w:p>
      <w:pPr>
        <w:spacing w:after="0" w:line="117"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Each year, the Compensation Committee grants long-term equity awards to our named executive officers under the Westwood Holdings Group, Inc. Stock Incentive Plan (the "Stock Incentive Plan"). These equity awards are intended to attract, retain and motivate our named executive officers as well as focus them on our long-term performance. The Compensation Committee determines long-term equity awards such that at-risk long-term equity compensation represents a significant portion of overall compensation and provides significant motivation for short- and long-term performance and financial results. The Compensation Committee also performs periodic benchmarking against our peers.</w:t>
      </w:r>
    </w:p>
    <w:p>
      <w:pPr>
        <w:spacing w:after="0" w:line="68"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While the Stock Incentive Plan authorizes the grant of several types of equity awards, the Compensation Committee awarded time-based and performance-based restricted stock awards to named executive officers in 2019.</w:t>
      </w:r>
    </w:p>
    <w:p>
      <w:pPr>
        <w:spacing w:after="0" w:line="62"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Unless the Compensation Committee determines otherwise, recipients of restricted stock awards will generally have the right to vote the underlying restricted shares. Dividends on restricted stock awards are accrued and payable to the recipient only when the underlying restricted shares vest. Any accrued dividends on forfeited shares are forfeited. No restricted shares may be sold, transferred, or pledged during the restricted period.</w:t>
      </w:r>
    </w:p>
    <w:p>
      <w:pPr>
        <w:spacing w:after="0" w:line="41"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does not have a formal policy on timing equity compensation grants in connection with the release of material non-public information that may affect the value of compensation. In the event that material non-public information becomes known to the Compensation Committee prior to granting equity awards, the Committee will take the existence of such information under advisement and make an assessment on whether or not to delay the grant of the equity award in order to avoid any impropriety or appearance of impropriety.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320" w:top="995" w:right="419" w:bottom="1440" w:gutter="0" w:footer="0" w:header="0"/>
          <w:type w:val="continuous"/>
        </w:sectPr>
      </w:pPr>
    </w:p>
    <w:bookmarkStart w:id="27" w:name="page28"/>
    <w:bookmarkEnd w:id="27"/>
    <w:p>
      <w:pPr>
        <w:ind w:left="420"/>
        <w:spacing w:after="0"/>
        <w:rPr>
          <w:sz w:val="20"/>
          <w:szCs w:val="20"/>
          <w:color w:val="auto"/>
        </w:rPr>
      </w:pPr>
      <w:r>
        <w:rPr>
          <w:rFonts w:ascii="Arial" w:cs="Arial" w:eastAsia="Arial" w:hAnsi="Arial"/>
          <w:sz w:val="17"/>
          <w:szCs w:val="17"/>
          <w:color w:val="auto"/>
        </w:rPr>
        <w:t>The Board has established stock ownership guidelines for the CEO and certain other executives requiring the following minimum holdings:</w:t>
      </w:r>
    </w:p>
    <w:p>
      <w:pPr>
        <w:spacing w:after="0" w:line="129" w:lineRule="exact"/>
        <w:rPr>
          <w:sz w:val="20"/>
          <w:szCs w:val="20"/>
          <w:color w:val="auto"/>
        </w:rPr>
      </w:pPr>
    </w:p>
    <w:p>
      <w:pPr>
        <w:ind w:left="1300" w:hanging="23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CEO holdings equal 6x base salary; and</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Officers reporting directly to the CEO holdings equal 3x base salary.</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For each of the above, those subject to the stock ownership guidelines are required to hold 50% of net shares acquired through vesting of equity-based compensation programs until the minimum guideline level is met. Messrs. Casey and Gomez, and Ms. Gerron had met the stock ownership holding requirement as of March 4, 2020.</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Time-Based Restricted Stock Awards</w:t>
      </w:r>
    </w:p>
    <w:p>
      <w:pPr>
        <w:spacing w:after="0" w:line="11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Compensation Committee believes that restricted stock awards align the interests of our named executive officers with those of our stockholders because the value of the awards is tied to the market value of our common stock. Time-based awards are generally subject to ratable vesting over four years based on the following vesting schedule:</w:t>
      </w:r>
    </w:p>
    <w:p>
      <w:pPr>
        <w:spacing w:after="0" w:line="76" w:lineRule="exact"/>
        <w:rPr>
          <w:sz w:val="20"/>
          <w:szCs w:val="20"/>
          <w:color w:val="auto"/>
        </w:rPr>
      </w:pPr>
    </w:p>
    <w:p>
      <w:pPr>
        <w:ind w:left="1300" w:hanging="23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of awards vest upon the second anniversary of the grant date;</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awards vest upon the third anniversary of the grant date; and</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25% of awards vest upon the fourth anniversary of the grant date.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February 2019, the Compensation Committee awarded the following time-based restricted stock grants to our named executive officers: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Number of Restricted Shares Granted (#)</w:t>
            </w:r>
          </w:p>
        </w:tc>
        <w:tc>
          <w:tcPr>
            <w:tcW w:w="1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Grant Date Fair Value of Shares ($) (1)</w:t>
            </w: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Terry Forbes</w:t>
            </w:r>
          </w:p>
        </w:tc>
        <w:tc>
          <w:tcPr>
            <w:tcW w:w="3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119,140</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Fabian Gomez</w:t>
            </w:r>
          </w:p>
        </w:tc>
        <w:tc>
          <w:tcPr>
            <w:tcW w:w="3660" w:type="dxa"/>
            <w:vAlign w:val="bottom"/>
          </w:tcPr>
          <w:p>
            <w:pPr>
              <w:jc w:val="right"/>
              <w:ind w:right="74"/>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1"/>
                <w:szCs w:val="21"/>
                <w:color w:val="auto"/>
              </w:rPr>
            </w:pPr>
          </w:p>
        </w:tc>
        <w:tc>
          <w:tcPr>
            <w:tcW w:w="3660" w:type="dxa"/>
            <w:vAlign w:val="bottom"/>
          </w:tcPr>
          <w:p>
            <w:pPr>
              <w:jc w:val="right"/>
              <w:ind w:right="74"/>
              <w:spacing w:after="0"/>
              <w:rPr>
                <w:sz w:val="20"/>
                <w:szCs w:val="20"/>
                <w:color w:val="auto"/>
              </w:rPr>
            </w:pPr>
            <w:r>
              <w:rPr>
                <w:rFonts w:ascii="Arial" w:cs="Arial" w:eastAsia="Arial" w:hAnsi="Arial"/>
                <w:sz w:val="18"/>
                <w:szCs w:val="18"/>
                <w:color w:val="auto"/>
              </w:rPr>
              <w:t>198,541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Julie K. Gerron</w:t>
            </w:r>
          </w:p>
        </w:tc>
        <w:tc>
          <w:tcPr>
            <w:tcW w:w="3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173,728</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Steve Paddon</w:t>
            </w:r>
          </w:p>
        </w:tc>
        <w:tc>
          <w:tcPr>
            <w:tcW w:w="3660" w:type="dxa"/>
            <w:vAlign w:val="bottom"/>
          </w:tcPr>
          <w:p>
            <w:pPr>
              <w:jc w:val="right"/>
              <w:ind w:right="74"/>
              <w:spacing w:after="0"/>
              <w:rPr>
                <w:sz w:val="20"/>
                <w:szCs w:val="20"/>
                <w:color w:val="auto"/>
              </w:rPr>
            </w:pPr>
            <w:r>
              <w:rPr>
                <w:rFonts w:ascii="Arial" w:cs="Arial" w:eastAsia="Arial" w:hAnsi="Arial"/>
                <w:sz w:val="18"/>
                <w:szCs w:val="18"/>
                <w:color w:val="auto"/>
              </w:rPr>
              <w:t>5,761</w:t>
            </w:r>
          </w:p>
        </w:tc>
        <w:tc>
          <w:tcPr>
            <w:tcW w:w="100" w:type="dxa"/>
            <w:vAlign w:val="bottom"/>
          </w:tcPr>
          <w:p>
            <w:pPr>
              <w:spacing w:after="0"/>
              <w:rPr>
                <w:sz w:val="21"/>
                <w:szCs w:val="21"/>
                <w:color w:val="auto"/>
              </w:rPr>
            </w:pPr>
          </w:p>
        </w:tc>
        <w:tc>
          <w:tcPr>
            <w:tcW w:w="3660" w:type="dxa"/>
            <w:vAlign w:val="bottom"/>
          </w:tcPr>
          <w:p>
            <w:pPr>
              <w:jc w:val="right"/>
              <w:ind w:right="74"/>
              <w:spacing w:after="0"/>
              <w:rPr>
                <w:sz w:val="20"/>
                <w:szCs w:val="20"/>
                <w:color w:val="auto"/>
              </w:rPr>
            </w:pPr>
            <w:r>
              <w:rPr>
                <w:rFonts w:ascii="Arial" w:cs="Arial" w:eastAsia="Arial" w:hAnsi="Arial"/>
                <w:sz w:val="18"/>
                <w:szCs w:val="18"/>
                <w:color w:val="auto"/>
              </w:rPr>
              <w:t>223,354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01" w:lineRule="exact"/>
        <w:rPr>
          <w:sz w:val="20"/>
          <w:szCs w:val="20"/>
          <w:color w:val="auto"/>
        </w:rPr>
      </w:pPr>
    </w:p>
    <w:p>
      <w:pPr>
        <w:ind w:left="200" w:hanging="192"/>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Amounts reflect the grant date fair value of time-vested restricted stock awards granted to Messrs. Forbes, Gomez and Paddon and Mse. Gerron in 2019, computed in accordance with ASC</w:t>
      </w:r>
    </w:p>
    <w:p>
      <w:pPr>
        <w:spacing w:after="0" w:line="24" w:lineRule="exact"/>
        <w:rPr>
          <w:rFonts w:ascii="Arial" w:cs="Arial" w:eastAsia="Arial" w:hAnsi="Arial"/>
          <w:sz w:val="13"/>
          <w:szCs w:val="13"/>
          <w:color w:val="auto"/>
        </w:rPr>
      </w:pPr>
    </w:p>
    <w:p>
      <w:pPr>
        <w:ind w:left="660" w:right="40" w:hanging="4"/>
        <w:spacing w:after="0" w:line="248" w:lineRule="auto"/>
        <w:tabs>
          <w:tab w:leader="none" w:pos="948" w:val="left"/>
        </w:tabs>
        <w:numPr>
          <w:ilvl w:val="1"/>
          <w:numId w:val="53"/>
        </w:numPr>
        <w:rPr>
          <w:rFonts w:ascii="Arial" w:cs="Arial" w:eastAsia="Arial" w:hAnsi="Arial"/>
          <w:sz w:val="14"/>
          <w:szCs w:val="14"/>
          <w:color w:val="auto"/>
        </w:rPr>
      </w:pPr>
      <w:r>
        <w:rPr>
          <w:rFonts w:ascii="Arial" w:cs="Arial" w:eastAsia="Arial" w:hAnsi="Arial"/>
          <w:sz w:val="14"/>
          <w:szCs w:val="14"/>
          <w:color w:val="auto"/>
        </w:rPr>
        <w:t>The assumptions used in the valuation of the restricted stock awards are discussed in Note 10 "Employee Benefits" of our audited financial statements, included in our 2019 Form 10-K. The grant date fair value for these time-vested awards was based on $38.77 per share, which was the closing price of our common stock on the grant date of February 22, 2019, adjusted for the accrual of dividends on unvested shares.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Employee Benefits</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offer employee and post-retirement benefits to all full-time employees, including the named executive officers, in order to provide them with financial support in the event of injury, illness or disability and to help them accumulate retirement savings on a tax-favored basis. All employees are generally eligible to participate in benefit programs including medical, dental and vision insurance coverage, disability insurance and life insurance. In addition, all U.S. employees are generally eligible to participate in applicable health savings or flexible spending accounts. The cost of health insurance and savings plans is partially borne by the Company, including costs for the named executive officers. We bear the cost of disability insurance and a set amount of term life insurance for all employees.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Savings Plan and Matching Contributions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Under the Company’s U.S. Westwood Holdings Group, Inc. Savings Plan (the "U.S. Savings Plan"), all U.S. based employees, including the named executive officers, are eligible to make 401(k) contributions to their plan accounts subject to annual IRS limits. We fully match employee contributions up to 6% of their eligible compensation (subject to IRS limits). Employees are vested immediately in their 401(k) contributions as well as in the Company match.</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Profit Sharing Contributions</w:t>
      </w:r>
    </w:p>
    <w:p>
      <w:pPr>
        <w:spacing w:after="0" w:line="11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Company’s U.S. Savings Plan also authorizes us to make discretionary annual contributions to U.S. employees’ Savings Plan accounts based on our profitability and performance. The profit sharing component of the Savings Plan is broad-based and all U.S. employees, including the named executive officers, are eligible for discretionary profit sharing contributions. Beginning with our 2017 discretionary contribution, profit sharing contributions are subject to a four-year graded vesting schedule based on an employee's years of service. Prior to 2017, profit sharing contributions were subject to a six-year graded vesting schedule based on an employee’s years of service.</w:t>
      </w:r>
    </w:p>
    <w:p>
      <w:pPr>
        <w:spacing w:after="0" w:line="68"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For 2019, the Company made 401(k) Company matching contributions and Company profit sharing contributions totaling $16,800 for each of Messrs. Casey, Forbes, Gomez and Paddon and Ms. Gerron.</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00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Perquisites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provide significant perquisites to our named executive officers during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Section 162(m) of the Internal Revenue Code</w:t>
      </w:r>
    </w:p>
    <w:p>
      <w:pPr>
        <w:spacing w:after="0" w:line="11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Section 162(m) of the Internal Revenue Code (“Code”) limits the U.S. federal income tax deduction for compensation paid to our Chief Executive Officer and certain other highly compensated executive officers. Beginning in 2018, the maximum U.S. federal income tax deduction that we may receive for annual compensation paid to any officer, including the Chief Financial Officer, covered by Section 162(m) of the Code is $1 million per such covered officer. For years prior to 2018, we also were permitted to receive a tax deduction for “performance-based” compensation as defined under Section 162(m) of the Code without regard to the $1 million limitation. However, recent U.S. tax legislation eliminated the performance-based exception. These new rules were effective starting in fiscal 2018, except that certain equity awards that we granted on or before November 2, 2017, might still qualify as performance-based compensation. To the extent that in 2018, or any later year, the aggregate amount of any covered officer’s salary, bonus, and amount realized from equity awards and certain other compensation amounts that are recognized as taxable income by the covered officer exceeds $1 million in any year, we will not be entitled to a U.S. federal income tax deduction for the amount over $1 million in that year.</w:t>
      </w:r>
    </w:p>
    <w:p>
      <w:pPr>
        <w:spacing w:after="0" w:line="12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Compensation Committee believes that, in establishing cash and equity incentive compensation plans and arrangements for our executive officers, the potential deductibility of the compensation payable under those plans and arrangements should be only one of the relevant factors taken into consideration. For that reason, the Compensation Committee may deem it appropriate to provide one or more executive officers with the opportunity to earn incentive compensation, whether through cash incentive awards or equity incentive awards, as well as other forms of compensation, even if all or part of that compensation may not be deductible under the provisions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003" w:right="379" w:bottom="1440" w:gutter="0" w:footer="0" w:header="0"/>
        </w:sectPr>
      </w:pPr>
    </w:p>
    <w:bookmarkStart w:id="29" w:name="page30"/>
    <w:bookmarkEnd w:id="29"/>
    <w:p>
      <w:pPr>
        <w:jc w:val="center"/>
        <w:ind w:right="-1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Richard M. Frank, Chairman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Ellen H. Masterson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45" w:right="4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compensation earned by our named executive officers for the years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Non-Equity</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Incentive</w:t>
            </w:r>
          </w:p>
        </w:tc>
        <w:tc>
          <w:tcPr>
            <w:tcW w:w="132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Name and</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Salary</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Bonus</w:t>
            </w:r>
          </w:p>
        </w:tc>
        <w:tc>
          <w:tcPr>
            <w:tcW w:w="1140" w:type="dxa"/>
            <w:vAlign w:val="bottom"/>
            <w:gridSpan w:val="2"/>
            <w:vMerge w:val="continue"/>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Position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(g)</w:t>
            </w:r>
          </w:p>
        </w:tc>
        <w:tc>
          <w:tcPr>
            <w:tcW w:w="1100" w:type="dxa"/>
            <w:vAlign w:val="bottom"/>
          </w:tcPr>
          <w:p>
            <w:pPr>
              <w:jc w:val="right"/>
              <w:ind w:right="374"/>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666,800</w:t>
            </w:r>
          </w:p>
        </w:tc>
        <w:tc>
          <w:tcPr>
            <w:tcW w:w="0" w:type="dxa"/>
            <w:vAlign w:val="bottom"/>
          </w:tcPr>
          <w:p>
            <w:pPr>
              <w:spacing w:after="0"/>
              <w:rPr>
                <w:sz w:val="1"/>
                <w:szCs w:val="1"/>
                <w:color w:val="auto"/>
              </w:rPr>
            </w:pPr>
          </w:p>
        </w:tc>
      </w:tr>
      <w:tr>
        <w:trPr>
          <w:trHeight w:val="270"/>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650,000</w:t>
            </w: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1,994,314</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1,066,500</w:t>
            </w:r>
          </w:p>
        </w:tc>
        <w:tc>
          <w:tcPr>
            <w:tcW w:w="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3,738,314</w:t>
            </w: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650,000</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1,996,368</w:t>
            </w:r>
          </w:p>
        </w:tc>
        <w:tc>
          <w:tcPr>
            <w:tcW w:w="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1,539,000</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4,215,068</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Terry Forbes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137,000</w:t>
            </w:r>
          </w:p>
        </w:tc>
        <w:tc>
          <w:tcPr>
            <w:tcW w:w="1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119,140</w:t>
            </w:r>
          </w:p>
        </w:tc>
        <w:tc>
          <w:tcPr>
            <w:tcW w:w="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497,940</w:t>
            </w:r>
          </w:p>
        </w:tc>
        <w:tc>
          <w:tcPr>
            <w:tcW w:w="0" w:type="dxa"/>
            <w:vAlign w:val="bottom"/>
          </w:tcPr>
          <w:p>
            <w:pPr>
              <w:spacing w:after="0"/>
              <w:rPr>
                <w:sz w:val="1"/>
                <w:szCs w:val="1"/>
                <w:color w:val="auto"/>
              </w:rPr>
            </w:pPr>
          </w:p>
        </w:tc>
      </w:tr>
      <w:tr>
        <w:trPr>
          <w:trHeight w:val="256"/>
        </w:trPr>
        <w:tc>
          <w:tcPr>
            <w:tcW w:w="3400" w:type="dxa"/>
            <w:vAlign w:val="bottom"/>
          </w:tcPr>
          <w:p>
            <w:pPr>
              <w:ind w:left="120"/>
              <w:spacing w:after="0"/>
              <w:rPr>
                <w:sz w:val="20"/>
                <w:szCs w:val="20"/>
                <w:color w:val="auto"/>
              </w:rPr>
            </w:pPr>
            <w:r>
              <w:rPr>
                <w:rFonts w:ascii="Arial" w:cs="Arial" w:eastAsia="Arial" w:hAnsi="Arial"/>
                <w:sz w:val="18"/>
                <w:szCs w:val="18"/>
                <w:color w:val="auto"/>
              </w:rPr>
              <w:t>Senior Vice President, Chief Financial</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120"/>
              <w:spacing w:after="0"/>
              <w:rPr>
                <w:sz w:val="20"/>
                <w:szCs w:val="20"/>
                <w:color w:val="auto"/>
              </w:rPr>
            </w:pPr>
            <w:r>
              <w:rPr>
                <w:rFonts w:ascii="Arial" w:cs="Arial" w:eastAsia="Arial" w:hAnsi="Arial"/>
                <w:sz w:val="18"/>
                <w:szCs w:val="18"/>
                <w:color w:val="auto"/>
              </w:rPr>
              <w:t>Officer &amp; Treasurer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191,633</w:t>
            </w:r>
          </w:p>
        </w:tc>
        <w:tc>
          <w:tcPr>
            <w:tcW w:w="80" w:type="dxa"/>
            <w:vAlign w:val="bottom"/>
          </w:tcPr>
          <w:p>
            <w:pPr>
              <w:spacing w:after="0"/>
              <w:rPr>
                <w:sz w:val="20"/>
                <w:szCs w:val="20"/>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20"/>
                <w:szCs w:val="20"/>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106,314</w:t>
            </w:r>
          </w:p>
        </w:tc>
        <w:tc>
          <w:tcPr>
            <w:tcW w:w="8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435,447</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Fabian Gomez</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260,000</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198,541</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675,341</w:t>
            </w:r>
          </w:p>
        </w:tc>
        <w:tc>
          <w:tcPr>
            <w:tcW w:w="0" w:type="dxa"/>
            <w:vAlign w:val="bottom"/>
          </w:tcPr>
          <w:p>
            <w:pPr>
              <w:spacing w:after="0"/>
              <w:rPr>
                <w:sz w:val="1"/>
                <w:szCs w:val="1"/>
                <w:color w:val="auto"/>
              </w:rPr>
            </w:pPr>
          </w:p>
        </w:tc>
      </w:tr>
      <w:tr>
        <w:trPr>
          <w:trHeight w:val="25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Vice President, Chief Operating</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Officer</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255,833</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259,098</w:t>
            </w:r>
          </w:p>
        </w:tc>
        <w:tc>
          <w:tcPr>
            <w:tcW w:w="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27,500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742,431</w:t>
            </w:r>
          </w:p>
        </w:tc>
        <w:tc>
          <w:tcPr>
            <w:tcW w:w="0" w:type="dxa"/>
            <w:vAlign w:val="bottom"/>
          </w:tcPr>
          <w:p>
            <w:pPr>
              <w:spacing w:after="0"/>
              <w:rPr>
                <w:sz w:val="1"/>
                <w:szCs w:val="1"/>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Julie K. Gerron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1"/>
                <w:szCs w:val="21"/>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173,728</w:t>
            </w:r>
          </w:p>
        </w:tc>
        <w:tc>
          <w:tcPr>
            <w:tcW w:w="8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16,800</w:t>
            </w:r>
          </w:p>
        </w:tc>
        <w:tc>
          <w:tcPr>
            <w:tcW w:w="10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615,528</w:t>
            </w:r>
          </w:p>
        </w:tc>
        <w:tc>
          <w:tcPr>
            <w:tcW w:w="0" w:type="dxa"/>
            <w:vAlign w:val="bottom"/>
          </w:tcPr>
          <w:p>
            <w:pPr>
              <w:spacing w:after="0"/>
              <w:rPr>
                <w:sz w:val="1"/>
                <w:szCs w:val="1"/>
                <w:color w:val="auto"/>
              </w:rPr>
            </w:pPr>
          </w:p>
        </w:tc>
      </w:tr>
      <w:tr>
        <w:trPr>
          <w:trHeight w:val="256"/>
        </w:trPr>
        <w:tc>
          <w:tcPr>
            <w:tcW w:w="3400" w:type="dxa"/>
            <w:vAlign w:val="bottom"/>
          </w:tcPr>
          <w:p>
            <w:pPr>
              <w:ind w:left="120"/>
              <w:spacing w:after="0"/>
              <w:rPr>
                <w:sz w:val="20"/>
                <w:szCs w:val="20"/>
                <w:color w:val="auto"/>
              </w:rPr>
            </w:pPr>
            <w:r>
              <w:rPr>
                <w:rFonts w:ascii="Arial" w:cs="Arial" w:eastAsia="Arial" w:hAnsi="Arial"/>
                <w:sz w:val="18"/>
                <w:szCs w:val="18"/>
                <w:color w:val="auto"/>
              </w:rPr>
              <w:t>Senior Vice President, General Counsel,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2"/>
                <w:szCs w:val="22"/>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22"/>
                <w:szCs w:val="22"/>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2"/>
                <w:szCs w:val="22"/>
                <w:color w:val="auto"/>
              </w:rPr>
            </w:pPr>
          </w:p>
        </w:tc>
        <w:tc>
          <w:tcPr>
            <w:tcW w:w="1060" w:type="dxa"/>
            <w:vAlign w:val="bottom"/>
          </w:tcPr>
          <w:p>
            <w:pPr>
              <w:jc w:val="right"/>
              <w:ind w:right="75"/>
              <w:spacing w:after="0"/>
              <w:rPr>
                <w:sz w:val="20"/>
                <w:szCs w:val="20"/>
                <w:color w:val="auto"/>
              </w:rPr>
            </w:pPr>
            <w:r>
              <w:rPr>
                <w:rFonts w:ascii="Arial" w:cs="Arial" w:eastAsia="Arial" w:hAnsi="Arial"/>
                <w:sz w:val="18"/>
                <w:szCs w:val="18"/>
                <w:color w:val="auto"/>
              </w:rPr>
              <w:t>199,310</w:t>
            </w:r>
          </w:p>
        </w:tc>
        <w:tc>
          <w:tcPr>
            <w:tcW w:w="8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27,500</w:t>
            </w:r>
          </w:p>
        </w:tc>
        <w:tc>
          <w:tcPr>
            <w:tcW w:w="10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616,810</w:t>
            </w:r>
          </w:p>
        </w:tc>
        <w:tc>
          <w:tcPr>
            <w:tcW w:w="0" w:type="dxa"/>
            <w:vAlign w:val="bottom"/>
          </w:tcPr>
          <w:p>
            <w:pPr>
              <w:spacing w:after="0"/>
              <w:rPr>
                <w:sz w:val="1"/>
                <w:szCs w:val="1"/>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Chief Compliance Officer and Corporate</w:t>
            </w: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960" w:type="dxa"/>
            <w:vAlign w:val="bottom"/>
            <w:vMerge w:val="restart"/>
          </w:tcPr>
          <w:p>
            <w:pPr>
              <w:jc w:val="right"/>
              <w:ind w:right="75"/>
              <w:spacing w:after="0"/>
              <w:rPr>
                <w:sz w:val="20"/>
                <w:szCs w:val="20"/>
                <w:color w:val="auto"/>
              </w:rPr>
            </w:pPr>
            <w:r>
              <w:rPr>
                <w:rFonts w:ascii="Arial" w:cs="Arial" w:eastAsia="Arial" w:hAnsi="Arial"/>
                <w:sz w:val="18"/>
                <w:szCs w:val="18"/>
                <w:color w:val="auto"/>
              </w:rPr>
              <w:t>225,000</w:t>
            </w:r>
          </w:p>
        </w:tc>
        <w:tc>
          <w:tcPr>
            <w:tcW w:w="80" w:type="dxa"/>
            <w:vAlign w:val="bottom"/>
          </w:tcPr>
          <w:p>
            <w:pPr>
              <w:spacing w:after="0"/>
              <w:rPr>
                <w:sz w:val="18"/>
                <w:szCs w:val="18"/>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75"/>
              <w:spacing w:after="0"/>
              <w:rPr>
                <w:sz w:val="20"/>
                <w:szCs w:val="20"/>
                <w:color w:val="auto"/>
              </w:rPr>
            </w:pPr>
            <w:r>
              <w:rPr>
                <w:rFonts w:ascii="Arial" w:cs="Arial" w:eastAsia="Arial" w:hAnsi="Arial"/>
                <w:sz w:val="18"/>
                <w:szCs w:val="18"/>
                <w:color w:val="auto"/>
              </w:rPr>
              <w:t>199,824</w:t>
            </w:r>
          </w:p>
        </w:tc>
        <w:tc>
          <w:tcPr>
            <w:tcW w:w="80" w:type="dxa"/>
            <w:vAlign w:val="bottom"/>
          </w:tcPr>
          <w:p>
            <w:pPr>
              <w:spacing w:after="0"/>
              <w:rPr>
                <w:sz w:val="18"/>
                <w:szCs w:val="18"/>
                <w:color w:val="auto"/>
              </w:rPr>
            </w:pPr>
          </w:p>
        </w:tc>
        <w:tc>
          <w:tcPr>
            <w:tcW w:w="1200" w:type="dxa"/>
            <w:vAlign w:val="bottom"/>
            <w:vMerge w:val="restart"/>
          </w:tcPr>
          <w:p>
            <w:pPr>
              <w:jc w:val="right"/>
              <w:ind w:right="77"/>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1220" w:type="dxa"/>
            <w:vAlign w:val="bottom"/>
            <w:vMerge w:val="restart"/>
          </w:tcPr>
          <w:p>
            <w:pPr>
              <w:jc w:val="right"/>
              <w:ind w:right="56"/>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18"/>
                <w:szCs w:val="18"/>
                <w:color w:val="auto"/>
              </w:rPr>
            </w:pPr>
          </w:p>
        </w:tc>
        <w:tc>
          <w:tcPr>
            <w:tcW w:w="1100" w:type="dxa"/>
            <w:vAlign w:val="bottom"/>
            <w:vMerge w:val="restart"/>
          </w:tcPr>
          <w:p>
            <w:pPr>
              <w:jc w:val="right"/>
              <w:ind w:right="54"/>
              <w:spacing w:after="0"/>
              <w:rPr>
                <w:sz w:val="20"/>
                <w:szCs w:val="20"/>
                <w:color w:val="auto"/>
              </w:rPr>
            </w:pPr>
            <w:r>
              <w:rPr>
                <w:rFonts w:ascii="Arial" w:cs="Arial" w:eastAsia="Arial" w:hAnsi="Arial"/>
                <w:sz w:val="18"/>
                <w:szCs w:val="18"/>
                <w:color w:val="auto"/>
              </w:rPr>
              <w:t>654,524</w:t>
            </w:r>
          </w:p>
        </w:tc>
        <w:tc>
          <w:tcPr>
            <w:tcW w:w="0" w:type="dxa"/>
            <w:vAlign w:val="bottom"/>
          </w:tcPr>
          <w:p>
            <w:pPr>
              <w:spacing w:after="0"/>
              <w:rPr>
                <w:sz w:val="1"/>
                <w:szCs w:val="1"/>
                <w:color w:val="auto"/>
              </w:rPr>
            </w:pPr>
          </w:p>
        </w:tc>
      </w:tr>
      <w:tr>
        <w:trPr>
          <w:trHeight w:val="149"/>
        </w:trPr>
        <w:tc>
          <w:tcPr>
            <w:tcW w:w="3400" w:type="dxa"/>
            <w:vAlign w:val="bottom"/>
            <w:vMerge w:val="restart"/>
          </w:tcPr>
          <w:p>
            <w:pPr>
              <w:ind w:left="120"/>
              <w:spacing w:after="0"/>
              <w:rPr>
                <w:sz w:val="20"/>
                <w:szCs w:val="20"/>
                <w:color w:val="auto"/>
              </w:rPr>
            </w:pPr>
            <w:r>
              <w:rPr>
                <w:rFonts w:ascii="Arial" w:cs="Arial" w:eastAsia="Arial" w:hAnsi="Arial"/>
                <w:sz w:val="18"/>
                <w:szCs w:val="18"/>
                <w:color w:val="auto"/>
              </w:rPr>
              <w:t>Secretary</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Steven Paddon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270,833</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223,354</w:t>
            </w:r>
          </w:p>
        </w:tc>
        <w:tc>
          <w:tcPr>
            <w:tcW w:w="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16,800</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685,987</w:t>
            </w:r>
          </w:p>
        </w:tc>
        <w:tc>
          <w:tcPr>
            <w:tcW w:w="0" w:type="dxa"/>
            <w:vAlign w:val="bottom"/>
          </w:tcPr>
          <w:p>
            <w:pPr>
              <w:spacing w:after="0"/>
              <w:rPr>
                <w:sz w:val="1"/>
                <w:szCs w:val="1"/>
                <w:color w:val="auto"/>
              </w:rPr>
            </w:pPr>
          </w:p>
        </w:tc>
      </w:tr>
      <w:tr>
        <w:trPr>
          <w:trHeight w:val="25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Senior Vice President, Head of Institutional</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158,173</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29,669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412,842</w:t>
            </w: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11" w:lineRule="exact"/>
        <w:rPr>
          <w:sz w:val="20"/>
          <w:szCs w:val="20"/>
          <w:color w:val="auto"/>
        </w:rPr>
      </w:pPr>
    </w:p>
    <w:p>
      <w:pPr>
        <w:ind w:left="660" w:hanging="652"/>
        <w:spacing w:after="0" w:line="249" w:lineRule="auto"/>
        <w:tabs>
          <w:tab w:leader="none" w:pos="213"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column represents base compensation earned during each of the fiscal years presented. Since a significant portion of the reported compensation of Mr. Casey represents potential pay, we believe it is useful to supplement the information provided in the above table by also looking at the pay that Mr. Casey actually realized during the year. See "Compensation Discussion and Analysis - CEO Realized Pay."</w:t>
      </w: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2019, the amounts for Messrs. Forbes, Gomez and Paddon and Ms. Gerron reflect the cash payments made under our employee bonus pool.</w:t>
      </w:r>
    </w:p>
    <w:p>
      <w:pPr>
        <w:spacing w:after="0" w:line="21" w:lineRule="exact"/>
        <w:rPr>
          <w:rFonts w:ascii="Arial" w:cs="Arial" w:eastAsia="Arial" w:hAnsi="Arial"/>
          <w:sz w:val="14"/>
          <w:szCs w:val="14"/>
          <w:color w:val="auto"/>
        </w:rPr>
      </w:pPr>
    </w:p>
    <w:p>
      <w:pPr>
        <w:ind w:left="660" w:hanging="652"/>
        <w:spacing w:after="0" w:line="249" w:lineRule="auto"/>
        <w:tabs>
          <w:tab w:leader="none" w:pos="2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2019, the amounts contained in column (e) reflect (i) no restricted stock award granted for Mr. Casey in 2019 (ii) for Mr. Forbes, the grant date fair value of his time-vested restricted stock award granted in 2019 (3,073 shares), (iii) for Mr. Gomez, the grant date fair value of his time-vested restricted stock award granted in 2019 (5,121 shares), (iv) for Ms. Gerron, the grant date fair value of her time-vested restricted stock award granted in 2019 (4,481 shares) and (v) for Mr. Paddon, the grant date fair value of his time-vested restricted stock award granted in 2019 (5,761 shares).</w:t>
      </w:r>
    </w:p>
    <w:p>
      <w:pPr>
        <w:ind w:left="660" w:right="40"/>
        <w:spacing w:after="0" w:line="246" w:lineRule="auto"/>
        <w:rPr>
          <w:rFonts w:ascii="Arial" w:cs="Arial" w:eastAsia="Arial" w:hAnsi="Arial"/>
          <w:sz w:val="14"/>
          <w:szCs w:val="14"/>
          <w:color w:val="auto"/>
        </w:rPr>
      </w:pPr>
      <w:r>
        <w:rPr>
          <w:rFonts w:ascii="Arial" w:cs="Arial" w:eastAsia="Arial" w:hAnsi="Arial"/>
          <w:sz w:val="14"/>
          <w:szCs w:val="14"/>
          <w:color w:val="auto"/>
        </w:rPr>
        <w:t>For 2018, the amounts contained in column (e) reflect (i) for Mr. Casey, the grant date fair value of his 2018 performance-based restricted stock awards based on target performance (35,966 shares), whereby the maximum threshold is 51,252 shares, or $2,841,923, (ii) for Mr. Forbes, the grant date fair value of his time-vested restricted stock award granted in 2018 (1,908 shares), (iii) for Mr. Gomez, the grant date fair value of his time-vested restricted stock award granted in 2018 (4,650 shares), and (iv) for Ms. Gerron, the grant date fair value of her time-vested restricted stock award granted in 2018 (3,577 shares).</w:t>
      </w:r>
    </w:p>
    <w:p>
      <w:pPr>
        <w:spacing w:after="0" w:line="1" w:lineRule="exact"/>
        <w:rPr>
          <w:rFonts w:ascii="Arial" w:cs="Arial" w:eastAsia="Arial" w:hAnsi="Arial"/>
          <w:sz w:val="14"/>
          <w:szCs w:val="14"/>
          <w:color w:val="auto"/>
        </w:rPr>
      </w:pPr>
    </w:p>
    <w:p>
      <w:pPr>
        <w:ind w:left="660" w:right="80"/>
        <w:spacing w:after="0" w:line="251" w:lineRule="auto"/>
        <w:rPr>
          <w:rFonts w:ascii="Arial" w:cs="Arial" w:eastAsia="Arial" w:hAnsi="Arial"/>
          <w:sz w:val="14"/>
          <w:szCs w:val="14"/>
          <w:color w:val="auto"/>
        </w:rPr>
      </w:pPr>
      <w:r>
        <w:rPr>
          <w:rFonts w:ascii="Arial" w:cs="Arial" w:eastAsia="Arial" w:hAnsi="Arial"/>
          <w:sz w:val="14"/>
          <w:szCs w:val="14"/>
          <w:color w:val="auto"/>
        </w:rPr>
        <w:t>For 2017, the amounts contained in column (e) reflect (i) for Mr. Casey, the grant date fair value of his 2017 performance-based restricted stock awards based on target performance (36,490 shares), whereby the maximum threshold is 51,998 shares, or $2,844,811, (ii) and for Ms. Gerron, the grant date fair value of her time-vested restricted stock award granted in 2017 (3,246 shares).</w:t>
      </w:r>
    </w:p>
    <w:p>
      <w:pPr>
        <w:spacing w:after="0" w:line="1" w:lineRule="exact"/>
        <w:rPr>
          <w:rFonts w:ascii="Arial" w:cs="Arial" w:eastAsia="Arial" w:hAnsi="Arial"/>
          <w:sz w:val="14"/>
          <w:szCs w:val="14"/>
          <w:color w:val="auto"/>
        </w:rPr>
      </w:pPr>
    </w:p>
    <w:p>
      <w:pPr>
        <w:ind w:left="660" w:right="140"/>
        <w:spacing w:after="0" w:line="270" w:lineRule="auto"/>
        <w:rPr>
          <w:rFonts w:ascii="Arial" w:cs="Arial" w:eastAsia="Arial" w:hAnsi="Arial"/>
          <w:sz w:val="14"/>
          <w:szCs w:val="14"/>
          <w:color w:val="auto"/>
        </w:rPr>
      </w:pPr>
      <w:r>
        <w:rPr>
          <w:rFonts w:ascii="Arial" w:cs="Arial" w:eastAsia="Arial" w:hAnsi="Arial"/>
          <w:sz w:val="13"/>
          <w:szCs w:val="13"/>
          <w:color w:val="auto"/>
        </w:rPr>
        <w:t>The above grant date fair values reported in column (e) were calculated in accordance with Accounting Standards Codification Topic 718 ("ASC 718"), "Stock Compensation." The assumptions used in the valuation of the performance-based and time-vested restricted stock awards are discussed in Note 9 "Employee Benefits" of our audited financial statements, which are included in our 2019 Form 10-K. See the "Compensation Discussion and Analysis" section above for a further description of these restricted stock awards.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2018, the amounts in column (f) reflect the cash payment to Mr. Casey, in accordance with his annual cash incentive award.</w:t>
      </w:r>
    </w:p>
    <w:p>
      <w:pPr>
        <w:spacing w:after="0" w:line="15" w:lineRule="exact"/>
        <w:rPr>
          <w:sz w:val="20"/>
          <w:szCs w:val="20"/>
          <w:color w:val="auto"/>
        </w:rPr>
      </w:pPr>
    </w:p>
    <w:p>
      <w:pPr>
        <w:ind w:left="660" w:right="580"/>
        <w:spacing w:after="0" w:line="256" w:lineRule="auto"/>
        <w:rPr>
          <w:sz w:val="20"/>
          <w:szCs w:val="20"/>
          <w:color w:val="auto"/>
        </w:rPr>
      </w:pPr>
      <w:r>
        <w:rPr>
          <w:rFonts w:ascii="Arial" w:cs="Arial" w:eastAsia="Arial" w:hAnsi="Arial"/>
          <w:sz w:val="14"/>
          <w:szCs w:val="14"/>
          <w:color w:val="auto"/>
        </w:rPr>
        <w:t>For 2017, the amounts in column (f) reflect the cash payment to Mr. Casey, in accordance with his annual cash incentive award. The amounts for Ms. Gerron reflects the cash payments made under our Umbrella Bonus Pool.</w:t>
      </w:r>
    </w:p>
    <w:p>
      <w:pPr>
        <w:spacing w:after="0" w:line="1" w:lineRule="exact"/>
        <w:rPr>
          <w:sz w:val="20"/>
          <w:szCs w:val="20"/>
          <w:color w:val="auto"/>
        </w:rPr>
      </w:pPr>
    </w:p>
    <w:p>
      <w:pPr>
        <w:ind w:left="660" w:right="660" w:hanging="652"/>
        <w:spacing w:after="0" w:line="273" w:lineRule="auto"/>
        <w:tabs>
          <w:tab w:leader="none" w:pos="213"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in column (g) reflect each named executive officer’s 401(k) Company matching contribution and Company profit sharing contribution under the Savings Plan. See the "Compensation Discussion and Analysis" section above for a further description of the plan contributions in 2019.</w:t>
      </w:r>
    </w:p>
    <w:p>
      <w:pPr>
        <w:spacing w:after="0" w:line="7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currently have an employment agreement with Mr. Casey. Under his agreement, Mr. Casey receives a minimum base salary, is eligible to receive performance-based and discretionary bonuses, receives service-based and performance-based restricted shares, could become fully vested in his unvested equity compensation (depending on the cause of termination of employment), and could receive salary and benefits for up to two years after the termination of his employment (depending on the cause of termination of employment). In accordance with the terms of his employment agreement, Mr. Casey was paid an annual salary of $650,000 in 2019 and was eligible to receive an annual cash incentive award. The Compensation Committee agreed with Mr. Casey declining to accept participation in any short- or long-term incentive awards based on the Company's financial position as of December 31, 2018 and the outlook for 2019. Mr. Casey's agreement renewed automatically on January 1, 2019 for a term through December 31, 2019 and is auto-renewable for subsequent one-year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945" w:right="339" w:bottom="1440" w:gutter="0" w:footer="0" w:header="0"/>
        </w:sectPr>
      </w:pPr>
    </w:p>
    <w:bookmarkStart w:id="31" w:name="page32"/>
    <w:bookmarkEnd w:id="31"/>
    <w:p>
      <w:pPr>
        <w:ind w:right="40" w:firstLine="405"/>
        <w:spacing w:after="0" w:line="273" w:lineRule="auto"/>
        <w:rPr>
          <w:sz w:val="20"/>
          <w:szCs w:val="20"/>
          <w:color w:val="auto"/>
        </w:rPr>
      </w:pPr>
      <w:r>
        <w:rPr>
          <w:rFonts w:ascii="Arial" w:cs="Arial" w:eastAsia="Arial" w:hAnsi="Arial"/>
          <w:sz w:val="17"/>
          <w:szCs w:val="17"/>
          <w:color w:val="auto"/>
        </w:rPr>
        <w:t>In October 2018, we entered into an Offer Letter with Mr. Forbes in connection with his promotion to Chief Financial Officer. The Company will pay Mr. Forbes an annual base salary of $225,000, and he is eligible for a target annual variable compensation bonus opportunity of $300,000 split between cash and shares of Company stock. Mr. Forbes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70"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In May 2018, we entered into an Offer Letter with Mr. Paddon in connection with his hire as our Head of Institutional Sales. The Company paid Mr. Paddon $13,852 in relocation expenses and will pay him an annual base salary of $250,000. He is eligible for a target annual variable compensation bonus opportunity of $550,000 split between cash and shares of Company stock beginning in 2019. For 2018, the Company agreed to pay Mr. Paddon a minimum of $321,000, split between cash and shares of Company stock. Mr. Paddon is eligible to participate in all compensation and incentive plans generally available to Company employees, including (i) annual cash incentive awards as approved by the Compensation Committee, (ii) long-term equity incentive awards granted pursuant to the Stock Incentive Plan, and (iii) employee and post-retirement benefits, including those under the Savings Plan. Future cash bonus awards and future restricted stock awards are subject to the approval of the Compensation Committee.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220" w:firstLine="405"/>
        <w:spacing w:after="0" w:line="273" w:lineRule="auto"/>
        <w:rPr>
          <w:sz w:val="20"/>
          <w:szCs w:val="20"/>
          <w:color w:val="auto"/>
        </w:rPr>
      </w:pPr>
      <w:r>
        <w:rPr>
          <w:rFonts w:ascii="Arial" w:cs="Arial" w:eastAsia="Arial" w:hAnsi="Arial"/>
          <w:sz w:val="17"/>
          <w:szCs w:val="17"/>
          <w:color w:val="auto"/>
        </w:rPr>
        <w:t>We believe our executive compensation program must be consistent and equitable to motivate our employees to perform in ways that enhance shareholder value. We are committed to internal pay equity, and the Compensation Committee carefully monitors the relationship between the pay of our executive officers and the pay of our non-executive employees. The Compensation Committee reviewed a comparison of our CEO’s annual total compensation in 2019 to that of all other Company employees for the same period. The calculation of annual total compensation of all employees was determined in the same manner as the total compensation shown for our CEO in the "2019 Summary Compensation Table" above. The pay elements included in the annual total compensation for each employee are:</w:t>
      </w:r>
    </w:p>
    <w:p>
      <w:pPr>
        <w:spacing w:after="0" w:line="70" w:lineRule="exact"/>
        <w:rPr>
          <w:sz w:val="20"/>
          <w:szCs w:val="20"/>
          <w:color w:val="auto"/>
        </w:rPr>
      </w:pPr>
    </w:p>
    <w:p>
      <w:pPr>
        <w:ind w:left="1300" w:hanging="23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Salary and overtime received in 2019;</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2019;</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 date fair value of restricted stock awards granted in 2019; and</w:t>
      </w:r>
    </w:p>
    <w:p>
      <w:pPr>
        <w:spacing w:after="0" w:line="117" w:lineRule="exact"/>
        <w:rPr>
          <w:rFonts w:ascii="Arial" w:cs="Arial" w:eastAsia="Arial" w:hAnsi="Arial"/>
          <w:sz w:val="18"/>
          <w:szCs w:val="18"/>
          <w:color w:val="auto"/>
        </w:rPr>
      </w:pPr>
    </w:p>
    <w:p>
      <w:pPr>
        <w:ind w:left="1060" w:firstLine="1"/>
        <w:spacing w:after="0" w:line="277" w:lineRule="auto"/>
        <w:tabs>
          <w:tab w:leader="none" w:pos="12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Company matching contributions and Company profit sharing contributions under our 401(k) Plan or Registered Retirement Savings Plan in 2019.</w:t>
      </w:r>
    </w:p>
    <w:p>
      <w:pPr>
        <w:spacing w:after="0" w:line="62"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calculation includes all employees as of December 31, 2019. We applied a Canadian dollar to U.S. dollar exchange rate to the compensation elements paid in Canadian dollars.</w:t>
      </w:r>
    </w:p>
    <w:p>
      <w:pPr>
        <w:spacing w:after="0" w:line="62"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We determined the compensation of our median employee as follows: (i) calculated the consistently applied compensation measure ("CACM") for each of our employees; (ii) ranked the CACM of all employees except the CEO from lowest to highest (a list of 182 employees); and (iii) determined the CACM of the employee ranked 92nd on the list ("Median Employee").</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pay elements included in the CACM are:</w:t>
      </w:r>
    </w:p>
    <w:p>
      <w:pPr>
        <w:spacing w:after="0" w:line="117" w:lineRule="exact"/>
        <w:rPr>
          <w:sz w:val="20"/>
          <w:szCs w:val="20"/>
          <w:color w:val="auto"/>
        </w:rPr>
      </w:pPr>
    </w:p>
    <w:p>
      <w:pPr>
        <w:ind w:left="1300" w:hanging="239"/>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Salary and overtime received in 2019;</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cash incentive and commission payments received for performance in 2019; and</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 date fair value of restricted stock awards earned in 2019.</w:t>
      </w:r>
    </w:p>
    <w:p>
      <w:pPr>
        <w:spacing w:after="0" w:line="11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annual total compensation for 2019 for our CEO was $666,800 and for our Median Employee was $169,000, resulting in a ratio of our CEO's pay to the pay of our Median Employee of 4 to 1. This ratio was significantly reduced in 2019 due to the CEO's decision to forego cash and long-term incentive compensation.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88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Grants of Plan-Based Awards in 2019</w:t>
      </w:r>
    </w:p>
    <w:p>
      <w:pPr>
        <w:spacing w:after="0" w:line="81"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summarizes all grants of plan-based awards made to our named executive officers in 2019. The equity plan-based awards set forth below consisted solely of restricted shares of our common stock granted under the Stock Incentive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8"/>
              </w:rPr>
              <w:t>Estimated Future Payouts Under Non-Equity</w:t>
            </w:r>
          </w:p>
        </w:tc>
        <w:tc>
          <w:tcPr>
            <w:tcW w:w="32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4"/>
              </w:rPr>
              <w:t>Estimated Future Payouts Under Equity</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9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Incentive Plan Awards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Incentive Plan Awards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center"/>
              <w:ind w:right="120"/>
              <w:spacing w:after="0" w:line="126"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4"/>
                <w:szCs w:val="4"/>
                <w:color w:val="auto"/>
              </w:rPr>
            </w:pPr>
          </w:p>
        </w:tc>
        <w:tc>
          <w:tcPr>
            <w:tcW w:w="920" w:type="dxa"/>
            <w:vAlign w:val="bottom"/>
            <w:vMerge w:val="restart"/>
          </w:tcPr>
          <w:p>
            <w:pPr>
              <w:jc w:val="center"/>
              <w:ind w:right="80"/>
              <w:spacing w:after="0" w:line="126"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2"/>
        </w:trPr>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84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7"/>
              </w:rPr>
              <w:t>Threshold</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Maximum</w:t>
            </w:r>
          </w:p>
        </w:tc>
        <w:tc>
          <w:tcPr>
            <w:tcW w:w="84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1"/>
              </w:rPr>
              <w:t>Threshold</w:t>
            </w: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Maximum</w:t>
            </w:r>
          </w:p>
        </w:tc>
        <w:tc>
          <w:tcPr>
            <w:tcW w:w="11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of Stock</w:t>
            </w: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of Stock ($)</w:t>
            </w:r>
          </w:p>
        </w:tc>
        <w:tc>
          <w:tcPr>
            <w:tcW w:w="0" w:type="dxa"/>
            <w:vAlign w:val="bottom"/>
          </w:tcPr>
          <w:p>
            <w:pPr>
              <w:spacing w:after="0"/>
              <w:rPr>
                <w:sz w:val="1"/>
                <w:szCs w:val="1"/>
                <w:color w:val="auto"/>
              </w:rPr>
            </w:pPr>
          </w:p>
        </w:tc>
      </w:tr>
      <w:tr>
        <w:trPr>
          <w:trHeight w:val="148"/>
        </w:trPr>
        <w:tc>
          <w:tcPr>
            <w:tcW w:w="162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Date</w:t>
            </w:r>
          </w:p>
        </w:tc>
        <w:tc>
          <w:tcPr>
            <w:tcW w:w="84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40" w:type="dxa"/>
            <w:vAlign w:val="bottom"/>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3"/>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 (i)</w:t>
            </w:r>
          </w:p>
        </w:tc>
        <w:tc>
          <w:tcPr>
            <w:tcW w:w="140" w:type="dxa"/>
            <w:vAlign w:val="bottom"/>
          </w:tcPr>
          <w:p>
            <w:pPr>
              <w:spacing w:after="0"/>
              <w:rPr>
                <w:sz w:val="12"/>
                <w:szCs w:val="12"/>
                <w:color w:val="auto"/>
              </w:rPr>
            </w:pPr>
          </w:p>
        </w:tc>
        <w:tc>
          <w:tcPr>
            <w:tcW w:w="9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154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(a)</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w w:val="99"/>
              </w:rPr>
              <w:t>(f)</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(h)</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3,073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119,140</w:t>
            </w: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920" w:type="dxa"/>
            <w:vAlign w:val="bottom"/>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tcPr>
          <w:p>
            <w:pPr>
              <w:spacing w:after="0"/>
              <w:rPr>
                <w:sz w:val="21"/>
                <w:szCs w:val="21"/>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1"/>
              <w:spacing w:after="0"/>
              <w:rPr>
                <w:sz w:val="20"/>
                <w:szCs w:val="20"/>
                <w:color w:val="auto"/>
              </w:rPr>
            </w:pPr>
            <w:r>
              <w:rPr>
                <w:rFonts w:ascii="Arial" w:cs="Arial" w:eastAsia="Arial" w:hAnsi="Arial"/>
                <w:sz w:val="18"/>
                <w:szCs w:val="18"/>
                <w:color w:val="auto"/>
              </w:rPr>
              <w:t>5,121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198,541</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4,481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173,728</w:t>
            </w:r>
          </w:p>
        </w:tc>
        <w:tc>
          <w:tcPr>
            <w:tcW w:w="0" w:type="dxa"/>
            <w:vAlign w:val="bottom"/>
          </w:tcPr>
          <w:p>
            <w:pPr>
              <w:spacing w:after="0"/>
              <w:rPr>
                <w:sz w:val="1"/>
                <w:szCs w:val="1"/>
                <w:color w:val="auto"/>
              </w:rPr>
            </w:pPr>
          </w:p>
        </w:tc>
      </w:tr>
      <w:tr>
        <w:trPr>
          <w:trHeight w:val="243"/>
        </w:trPr>
        <w:tc>
          <w:tcPr>
            <w:tcW w:w="1620" w:type="dxa"/>
            <w:vAlign w:val="bottom"/>
            <w:gridSpan w:val="2"/>
          </w:tcPr>
          <w:p>
            <w:pPr>
              <w:ind w:left="180"/>
              <w:spacing w:after="0"/>
              <w:rPr>
                <w:sz w:val="20"/>
                <w:szCs w:val="20"/>
                <w:color w:val="auto"/>
              </w:rPr>
            </w:pPr>
            <w:r>
              <w:rPr>
                <w:rFonts w:ascii="Arial" w:cs="Arial" w:eastAsia="Arial" w:hAnsi="Arial"/>
                <w:sz w:val="18"/>
                <w:szCs w:val="18"/>
                <w:color w:val="auto"/>
              </w:rPr>
              <w:t>Steven Paddon</w:t>
            </w:r>
          </w:p>
        </w:tc>
        <w:tc>
          <w:tcPr>
            <w:tcW w:w="920" w:type="dxa"/>
            <w:vAlign w:val="bottom"/>
          </w:tcPr>
          <w:p>
            <w:pPr>
              <w:jc w:val="right"/>
              <w:spacing w:after="0"/>
              <w:rPr>
                <w:sz w:val="20"/>
                <w:szCs w:val="20"/>
                <w:color w:val="auto"/>
              </w:rPr>
            </w:pPr>
            <w:r>
              <w:rPr>
                <w:rFonts w:ascii="Arial" w:cs="Arial" w:eastAsia="Arial" w:hAnsi="Arial"/>
                <w:sz w:val="18"/>
                <w:szCs w:val="18"/>
                <w:color w:val="auto"/>
              </w:rPr>
              <w:t>2/22/19</w:t>
            </w:r>
          </w:p>
        </w:tc>
        <w:tc>
          <w:tcPr>
            <w:tcW w:w="100" w:type="dxa"/>
            <w:vAlign w:val="bottom"/>
          </w:tcPr>
          <w:p>
            <w:pPr>
              <w:spacing w:after="0"/>
              <w:rPr>
                <w:sz w:val="21"/>
                <w:szCs w:val="21"/>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1"/>
              <w:spacing w:after="0"/>
              <w:rPr>
                <w:sz w:val="20"/>
                <w:szCs w:val="20"/>
                <w:color w:val="auto"/>
              </w:rPr>
            </w:pPr>
            <w:r>
              <w:rPr>
                <w:rFonts w:ascii="Arial" w:cs="Arial" w:eastAsia="Arial" w:hAnsi="Arial"/>
                <w:sz w:val="18"/>
                <w:szCs w:val="18"/>
                <w:color w:val="auto"/>
              </w:rPr>
              <w:t>5,761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223,354</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20" w:lineRule="exact"/>
        <w:rPr>
          <w:sz w:val="20"/>
          <w:szCs w:val="20"/>
          <w:color w:val="auto"/>
        </w:rPr>
      </w:pPr>
    </w:p>
    <w:p>
      <w:pPr>
        <w:ind w:left="660" w:right="60" w:hanging="652"/>
        <w:spacing w:after="0" w:line="250" w:lineRule="auto"/>
        <w:tabs>
          <w:tab w:leader="none" w:pos="213"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 in column (i) reflects time-vested restricted stock award granted to Messrs. Forbes, Gomez, and Paddon and Ms. Gerron in 2019. The shares vest as follows: 50% after two years; 75% after three years; and 100% after four years.</w:t>
      </w:r>
    </w:p>
    <w:p>
      <w:pPr>
        <w:ind w:left="660" w:right="200" w:hanging="652"/>
        <w:spacing w:after="0" w:line="244" w:lineRule="auto"/>
        <w:tabs>
          <w:tab w:leader="none" w:pos="213"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amounts in column (j) reflect the grant date fair value of (i) the tranche of Mr. Casey’s performance-based restricted stock award subject to vesting, and (ii) Messrs. Forbes, Gomez and Paddon and Ms. Gerron’s time-vested restricted stock awards granted in 2019, computed in accordance with ASC 718. The assumptions used in the valuation of the restricted stock awards are discussed in Note 10 "Employee Benefits" of our audited financial statements, included in our 2019 Form 10-K. The grant date fair value for Messrs. Forbes and Gomez and Mse. Gerron’s time–vested awards was based on $38.77 per share, which was the closing price of our common stock on the grant date of 2/22/2019, adjusted for the accrual of dividends on unvested shares.</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12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All equity-based incentive awards, except those granted under the Share Award Plan of Westwood Holdings Group, Inc. for Service Provided in Canada to its Subsidiaries, are governed by the Stock Incentive Plan.</w:t>
      </w:r>
    </w:p>
    <w:p>
      <w:pPr>
        <w:spacing w:after="0" w:line="62"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In 2019, equity awards under the Stock Incentive Plan consisted of our authorized restricted common stock. Awards under the Stock Incentive Plan may be made to employees, including officers and directors who may be employees, non-employee directors, and consultants. Any shares issued under the Stock Incentive Plan may consist of authorized but unissued shares or forfeited shares or a combination thereof.</w:t>
      </w:r>
    </w:p>
    <w:p>
      <w:pPr>
        <w:spacing w:after="0" w:line="5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Stock Incentive Plan authorizes the grant of several types of equity-based awards, including incentive stock options ("ISOs"), nonstatutory stock options ("NSOs"), restricted stock, stock purchase rights, stock appreciation rights ("SARS"), restricted stock units ("RSU") and performance shares (in the form of deferred stock awards). The Stock Incentive Plan also authorizes cash awards in the form of annual incentive awards, performance-based awards, and discretionary bonus awards. The various types of awards authorized under the Stock Incentive Plan may be utilized in the future if determined to be appropriate by the Compensation Committee. To date, the Compensation Committee has limited its equity-based awards under the Stock Incentive Plan to NSOs and restricted stock. The Compensation Committee believes that restricted stock awards are the most effective vehicle to align the interests of employees with stockholders and clients. Unless the Compensation Committee determines otherwise, the recipient of restricted shares will generally have the right to vote the restricted shares. No dividends are payable with respect to unvested restricted stock. The Compensation Committee has determined that dividends payable on unvested restricted stock will be accrued, and therefore dividends are subject to forfeiture conditions and payable to the recipient only when the underlying shares of restricted stock vest. The Compensation Committee believes that these terms and conditions for restricted stock awards offer the best balance of providing value to the employee if we succeed as a company as well as providing a mechanism to retain key employees over the long-term as they build a meaningful portion of their wealth in the form of Company equity.</w:t>
      </w:r>
    </w:p>
    <w:p>
      <w:pPr>
        <w:spacing w:after="0" w:line="6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Board or the Compensation Committee administers the Stock Incentive Plan with respect to all eligible individuals. Cash incentive awards earned in a given year are typically communicated to employees and paid in the first quarter of the following year to coincide with year-end performance reviews. Annual time-vested restricted stock awards have generally been awarded in the first quarter of the year in order to align with performance in the prior year.</w:t>
      </w:r>
    </w:p>
    <w:p>
      <w:pPr>
        <w:spacing w:after="0" w:line="4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Time-vested restricted stock awards are generally subject to the following four-year vesting schedule: 50% after two years, 75% after three years and 100% after four years. The Compensation Committee believes that this long-term vesting schedule is effective in acting as a retention tool for Messrs. Forbes, Gomez and Paddon, Ms. Gerron and other non-executive employees. All employees are eligible to receive time-vested restricted stock awards.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594" w:right="339" w:bottom="1440" w:gutter="0" w:footer="0" w:header="0"/>
        </w:sectPr>
      </w:pPr>
    </w:p>
    <w:bookmarkStart w:id="33" w:name="page34"/>
    <w:bookmarkEnd w:id="33"/>
    <w:p>
      <w:pPr>
        <w:ind w:right="60" w:firstLine="405"/>
        <w:spacing w:after="0" w:line="259" w:lineRule="auto"/>
        <w:rPr>
          <w:sz w:val="20"/>
          <w:szCs w:val="20"/>
          <w:color w:val="auto"/>
        </w:rPr>
      </w:pPr>
      <w:r>
        <w:rPr>
          <w:rFonts w:ascii="Arial" w:cs="Arial" w:eastAsia="Arial" w:hAnsi="Arial"/>
          <w:sz w:val="18"/>
          <w:szCs w:val="18"/>
          <w:color w:val="auto"/>
        </w:rPr>
        <w:t>During 2019, the Compensation Committee made all determinations involving awards to "covered employees" within the meaning of Section 162(m) of the Code. Determinations of the Compensation Committee are final, conclusive, and binding upon all persons having an interest in the Stock Incentive Plan. However, any action or determination by the Compensation Committee specifically affecting or relating to an award to a non-employee director will be approved and ratified by the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Related Agreements</w:t>
      </w:r>
    </w:p>
    <w:p>
      <w:pPr>
        <w:spacing w:after="0" w:line="121"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The Compensation Committee has determined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As a result, in December 2015, the Compensation Committee entered into a new employment agreement with Mr. Casey, which auto-renewed for an additional one-year period on January 1, 2020 and is subject to potential automatic renewals for subsequent one-year periods.</w:t>
      </w:r>
    </w:p>
    <w:p>
      <w:pPr>
        <w:spacing w:after="0" w:line="68"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Mr. Casey's employment agreement broadly addresses the term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57" w:lineRule="exact"/>
        <w:rPr>
          <w:sz w:val="20"/>
          <w:szCs w:val="20"/>
          <w:color w:val="auto"/>
        </w:rPr>
      </w:pPr>
    </w:p>
    <w:p>
      <w:pPr>
        <w:ind w:right="120" w:firstLine="405"/>
        <w:spacing w:after="0" w:line="286" w:lineRule="auto"/>
        <w:rPr>
          <w:sz w:val="20"/>
          <w:szCs w:val="20"/>
          <w:color w:val="auto"/>
        </w:rPr>
      </w:pPr>
      <w:r>
        <w:rPr>
          <w:rFonts w:ascii="Arial" w:cs="Arial" w:eastAsia="Arial" w:hAnsi="Arial"/>
          <w:sz w:val="16"/>
          <w:szCs w:val="16"/>
          <w:color w:val="auto"/>
        </w:rPr>
        <w:t>There is no written employment agreement with Mr. Forbes; however, Mr. Forbes and the Company entered into an employee confidentiality and non-compete agreement effective November 1, 2018 providing that Mr. Forbes may terminate his employment with the Company upon six months' prior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In addition, the agreement contains a non-competition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66"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There is no written employment agreement with Mr. Gomez; however, in connection with his appointment as Chief Operating Officer on February 9, 2018, the Company and Mr. Gomez entered into a severance benefit agreement providing for continued vesting of Mr. Gomez’s outstanding unvested restricted stock awards upon his involuntary termination of employment by the Company without “cause” (as defined in the agreement) or his voluntary termination of employment with the Company for “good reason” (as defined in the agreement), provided he (a) complies fully with all obligations under his agreement and the employee confidentiality and non-compete agreement between the Company and Mr. Gomez dated February 8, 2018, and (b) executes and does not revoke a general release of all claims arising out of or related to his employment with the Company.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outstanding equity awards held by our named executive officers as of December 31,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Stock Awards</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8"/>
              </w:rPr>
              <w:t>Equity</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Number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Value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2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vMerge w:val="continue"/>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Name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Date</w:t>
            </w: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(g)</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(i)</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49"/>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38,993</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1,154,973</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2"/>
              <w:spacing w:after="0"/>
              <w:rPr>
                <w:sz w:val="20"/>
                <w:szCs w:val="20"/>
                <w:color w:val="auto"/>
              </w:rPr>
            </w:pPr>
            <w:r>
              <w:rPr>
                <w:rFonts w:ascii="Arial" w:cs="Arial" w:eastAsia="Arial" w:hAnsi="Arial"/>
                <w:sz w:val="18"/>
                <w:szCs w:val="18"/>
                <w:color w:val="auto"/>
              </w:rPr>
              <w:t>6,301</w:t>
            </w:r>
          </w:p>
        </w:tc>
        <w:tc>
          <w:tcPr>
            <w:tcW w:w="120" w:type="dxa"/>
            <w:vAlign w:val="bottom"/>
          </w:tcPr>
          <w:p>
            <w:pPr>
              <w:spacing w:after="0"/>
              <w:rPr>
                <w:sz w:val="21"/>
                <w:szCs w:val="21"/>
                <w:color w:val="auto"/>
              </w:rPr>
            </w:pPr>
          </w:p>
        </w:tc>
        <w:tc>
          <w:tcPr>
            <w:tcW w:w="1120" w:type="dxa"/>
            <w:vAlign w:val="bottom"/>
          </w:tcPr>
          <w:p>
            <w:pPr>
              <w:jc w:val="right"/>
              <w:ind w:right="83"/>
              <w:spacing w:after="0"/>
              <w:rPr>
                <w:sz w:val="20"/>
                <w:szCs w:val="20"/>
                <w:color w:val="auto"/>
              </w:rPr>
            </w:pPr>
            <w:r>
              <w:rPr>
                <w:rFonts w:ascii="Arial" w:cs="Arial" w:eastAsia="Arial" w:hAnsi="Arial"/>
                <w:sz w:val="18"/>
                <w:szCs w:val="18"/>
                <w:color w:val="auto"/>
              </w:rPr>
              <w:t>186,636</w:t>
            </w:r>
          </w:p>
        </w:tc>
        <w:tc>
          <w:tcPr>
            <w:tcW w:w="12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12,874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381,328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2"/>
              <w:spacing w:after="0"/>
              <w:rPr>
                <w:sz w:val="20"/>
                <w:szCs w:val="20"/>
                <w:color w:val="auto"/>
              </w:rPr>
            </w:pPr>
            <w:r>
              <w:rPr>
                <w:rFonts w:ascii="Arial" w:cs="Arial" w:eastAsia="Arial" w:hAnsi="Arial"/>
                <w:sz w:val="18"/>
                <w:szCs w:val="18"/>
                <w:color w:val="auto"/>
              </w:rPr>
              <w:t>11,128</w:t>
            </w:r>
          </w:p>
        </w:tc>
        <w:tc>
          <w:tcPr>
            <w:tcW w:w="120" w:type="dxa"/>
            <w:vAlign w:val="bottom"/>
          </w:tcPr>
          <w:p>
            <w:pPr>
              <w:spacing w:after="0"/>
              <w:rPr>
                <w:sz w:val="21"/>
                <w:szCs w:val="21"/>
                <w:color w:val="auto"/>
              </w:rPr>
            </w:pPr>
          </w:p>
        </w:tc>
        <w:tc>
          <w:tcPr>
            <w:tcW w:w="1120" w:type="dxa"/>
            <w:vAlign w:val="bottom"/>
          </w:tcPr>
          <w:p>
            <w:pPr>
              <w:jc w:val="right"/>
              <w:ind w:right="83"/>
              <w:spacing w:after="0"/>
              <w:rPr>
                <w:sz w:val="20"/>
                <w:szCs w:val="20"/>
                <w:color w:val="auto"/>
              </w:rPr>
            </w:pPr>
            <w:r>
              <w:rPr>
                <w:rFonts w:ascii="Arial" w:cs="Arial" w:eastAsia="Arial" w:hAnsi="Arial"/>
                <w:sz w:val="18"/>
                <w:szCs w:val="18"/>
                <w:color w:val="auto"/>
              </w:rPr>
              <w:t>329,611</w:t>
            </w:r>
          </w:p>
        </w:tc>
        <w:tc>
          <w:tcPr>
            <w:tcW w:w="12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Steve Paddon</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5,761</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170,641</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47" w:lineRule="exact"/>
        <w:rPr>
          <w:sz w:val="20"/>
          <w:szCs w:val="20"/>
          <w:color w:val="auto"/>
        </w:rPr>
      </w:pPr>
    </w:p>
    <w:p>
      <w:pPr>
        <w:ind w:left="200" w:hanging="192"/>
        <w:spacing w:after="0"/>
        <w:tabs>
          <w:tab w:leader="none" w:pos="2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shares in column (g) will vest in late February of each year according to the following schedule provided that the individual is still employed by us on the vesting date.</w:t>
      </w:r>
    </w:p>
    <w:p>
      <w:pPr>
        <w:spacing w:after="0" w:line="51" w:lineRule="exact"/>
        <w:rPr>
          <w:rFonts w:ascii="Arial" w:cs="Arial" w:eastAsia="Arial" w:hAnsi="Arial"/>
          <w:sz w:val="14"/>
          <w:szCs w:val="14"/>
          <w:color w:val="auto"/>
        </w:rPr>
      </w:pPr>
    </w:p>
    <w:p>
      <w:pPr>
        <w:ind w:left="7900"/>
        <w:spacing w:after="0"/>
        <w:rPr>
          <w:rFonts w:ascii="Arial" w:cs="Arial" w:eastAsia="Arial" w:hAnsi="Arial"/>
          <w:sz w:val="14"/>
          <w:szCs w:val="14"/>
          <w:color w:val="auto"/>
        </w:rPr>
      </w:pPr>
      <w:r>
        <w:rPr>
          <w:rFonts w:ascii="Arial" w:cs="Arial" w:eastAsia="Arial" w:hAnsi="Arial"/>
          <w:sz w:val="14"/>
          <w:szCs w:val="14"/>
          <w:b w:val="1"/>
          <w:bCs w:val="1"/>
          <w:color w:val="auto"/>
        </w:rPr>
        <w:t>Shares scheduled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23495</wp:posOffset>
            </wp:positionV>
            <wp:extent cx="3137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2023</w:t>
            </w:r>
          </w:p>
        </w:tc>
      </w:tr>
      <w:tr>
        <w:trPr>
          <w:trHeight w:val="250"/>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1,878</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2,410</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1,245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768</w:t>
            </w:r>
          </w:p>
        </w:tc>
      </w:tr>
      <w:tr>
        <w:trPr>
          <w:trHeight w:val="24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4,495</w:t>
            </w:r>
          </w:p>
        </w:tc>
        <w:tc>
          <w:tcPr>
            <w:tcW w:w="140" w:type="dxa"/>
            <w:vAlign w:val="bottom"/>
          </w:tcPr>
          <w:p>
            <w:pPr>
              <w:spacing w:after="0"/>
              <w:rPr>
                <w:sz w:val="21"/>
                <w:szCs w:val="21"/>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4,656</w:t>
            </w:r>
          </w:p>
        </w:tc>
        <w:tc>
          <w:tcPr>
            <w:tcW w:w="160" w:type="dxa"/>
            <w:vAlign w:val="bottom"/>
          </w:tcPr>
          <w:p>
            <w:pPr>
              <w:spacing w:after="0"/>
              <w:rPr>
                <w:sz w:val="21"/>
                <w:szCs w:val="21"/>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2,443</w:t>
            </w:r>
          </w:p>
        </w:tc>
        <w:tc>
          <w:tcPr>
            <w:tcW w:w="140" w:type="dxa"/>
            <w:vAlign w:val="bottom"/>
          </w:tcPr>
          <w:p>
            <w:pPr>
              <w:spacing w:after="0"/>
              <w:rPr>
                <w:sz w:val="21"/>
                <w:szCs w:val="21"/>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1,280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Julie K. Gerron</w:t>
            </w: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4,047</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3,946</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2,015</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1,120</w:t>
            </w:r>
          </w:p>
        </w:tc>
      </w:tr>
      <w:tr>
        <w:trPr>
          <w:trHeight w:val="243"/>
        </w:trPr>
        <w:tc>
          <w:tcPr>
            <w:tcW w:w="6180" w:type="dxa"/>
            <w:vAlign w:val="bottom"/>
            <w:gridSpan w:val="2"/>
          </w:tcPr>
          <w:p>
            <w:pPr>
              <w:ind w:left="180"/>
              <w:spacing w:after="0"/>
              <w:rPr>
                <w:sz w:val="20"/>
                <w:szCs w:val="20"/>
                <w:color w:val="auto"/>
              </w:rPr>
            </w:pPr>
            <w:r>
              <w:rPr>
                <w:rFonts w:ascii="Arial" w:cs="Arial" w:eastAsia="Arial" w:hAnsi="Arial"/>
                <w:sz w:val="18"/>
                <w:szCs w:val="18"/>
                <w:color w:val="auto"/>
              </w:rPr>
              <w:t>Steve Paddon</w:t>
            </w:r>
          </w:p>
        </w:tc>
        <w:tc>
          <w:tcPr>
            <w:tcW w:w="12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2,881</w:t>
            </w:r>
          </w:p>
        </w:tc>
        <w:tc>
          <w:tcPr>
            <w:tcW w:w="160" w:type="dxa"/>
            <w:vAlign w:val="bottom"/>
          </w:tcPr>
          <w:p>
            <w:pPr>
              <w:spacing w:after="0"/>
              <w:rPr>
                <w:sz w:val="21"/>
                <w:szCs w:val="21"/>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1,440</w:t>
            </w:r>
          </w:p>
        </w:tc>
        <w:tc>
          <w:tcPr>
            <w:tcW w:w="140" w:type="dxa"/>
            <w:vAlign w:val="bottom"/>
          </w:tcPr>
          <w:p>
            <w:pPr>
              <w:spacing w:after="0"/>
              <w:rPr>
                <w:sz w:val="21"/>
                <w:szCs w:val="21"/>
                <w:color w:val="auto"/>
              </w:rPr>
            </w:pP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1,440</w:t>
            </w:r>
          </w:p>
        </w:tc>
      </w:tr>
    </w:tbl>
    <w:p>
      <w:pPr>
        <w:spacing w:after="0" w:line="200" w:lineRule="exact"/>
        <w:rPr>
          <w:sz w:val="20"/>
          <w:szCs w:val="20"/>
          <w:color w:val="auto"/>
        </w:rPr>
      </w:pPr>
    </w:p>
    <w:p>
      <w:pPr>
        <w:spacing w:after="0" w:line="240" w:lineRule="exact"/>
        <w:rPr>
          <w:sz w:val="20"/>
          <w:szCs w:val="20"/>
          <w:color w:val="auto"/>
        </w:rPr>
      </w:pPr>
    </w:p>
    <w:p>
      <w:pPr>
        <w:ind w:left="660" w:hanging="612"/>
        <w:spacing w:after="0" w:line="277" w:lineRule="auto"/>
        <w:tabs>
          <w:tab w:leader="none" w:pos="254"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shares in column (i) represent an unearned, performance-based restricted stock incentive award granted to Mr. Casey in 2016, 2017 and 2018, which will vest according to the following schedule, provided that Mr. Casey is, generally, still employed by us on the vesting date. Each year, the Compensation Committee establishes a specific goal for that year’s restricted shares grant. The performance goals are based upon criteria set forth in the Stock Incentive Plan. The specific performance goals for each year were established no later than March 31 of the grant year. See the "Compensation Discussion and Analysis" section above for a further description of this performance-based restricted stock incentive award.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87"/>
              </w:rPr>
              <w:t>Shares scheduled to vest</w:t>
            </w:r>
          </w:p>
        </w:tc>
        <w:tc>
          <w:tcPr>
            <w:tcW w:w="840" w:type="dxa"/>
            <w:vAlign w:val="bottom"/>
            <w:tcBorders>
              <w:bottom w:val="single" w:sz="8" w:color="auto"/>
            </w:tcBorders>
          </w:tcPr>
          <w:p>
            <w:pPr>
              <w:spacing w:after="0"/>
              <w:rPr>
                <w:sz w:val="16"/>
                <w:szCs w:val="16"/>
                <w:color w:val="auto"/>
              </w:rPr>
            </w:pPr>
          </w:p>
        </w:tc>
      </w:tr>
      <w:tr>
        <w:trPr>
          <w:trHeight w:val="196"/>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r>
      <w:tr>
        <w:trPr>
          <w:trHeight w:val="243"/>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O. Casey</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26,764</w:t>
            </w:r>
          </w:p>
        </w:tc>
        <w:tc>
          <w:tcPr>
            <w:tcW w:w="1300" w:type="dxa"/>
            <w:vAlign w:val="bottom"/>
            <w:gridSpan w:val="3"/>
            <w:shd w:val="clear" w:color="auto" w:fill="CCEEFF"/>
          </w:tcPr>
          <w:p>
            <w:pPr>
              <w:jc w:val="right"/>
              <w:ind w:right="88"/>
              <w:spacing w:after="0"/>
              <w:rPr>
                <w:sz w:val="20"/>
                <w:szCs w:val="20"/>
                <w:color w:val="auto"/>
              </w:rPr>
            </w:pPr>
            <w:r>
              <w:rPr>
                <w:rFonts w:ascii="Arial" w:cs="Arial" w:eastAsia="Arial" w:hAnsi="Arial"/>
                <w:sz w:val="16"/>
                <w:szCs w:val="16"/>
                <w:color w:val="auto"/>
              </w:rPr>
              <w:t>12,229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w:t>
            </w:r>
          </w:p>
        </w:tc>
      </w:tr>
      <w:tr>
        <w:trPr>
          <w:trHeight w:val="27"/>
        </w:trPr>
        <w:tc>
          <w:tcPr>
            <w:tcW w:w="7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660" w:right="400" w:hanging="616"/>
        <w:spacing w:after="0" w:line="273" w:lineRule="auto"/>
        <w:tabs>
          <w:tab w:leader="none" w:pos="249"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amounts in columns (h) and (j) reflect the value of the shares shown in columns (g) and (i), respectively, multiplied by $29.62, the closing market price of our common stock as of December 31, 2019, the last business day in 2019.</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1026"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Stock Vested in 2019</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all shares vested by our named executive officers for the year ended December 31,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auto"/>
            </w:tcBorders>
            <w:gridSpan w:val="3"/>
          </w:tcPr>
          <w:p>
            <w:pPr>
              <w:ind w:left="1600"/>
              <w:spacing w:after="0"/>
              <w:rPr>
                <w:sz w:val="20"/>
                <w:szCs w:val="20"/>
                <w:color w:val="auto"/>
              </w:rPr>
            </w:pPr>
            <w:r>
              <w:rPr>
                <w:rFonts w:ascii="Arial" w:cs="Arial" w:eastAsia="Arial" w:hAnsi="Arial"/>
                <w:sz w:val="14"/>
                <w:szCs w:val="14"/>
                <w:b w:val="1"/>
                <w:bCs w:val="1"/>
                <w:color w:val="auto"/>
                <w:w w:val="97"/>
              </w:rPr>
              <w:t>Stock Awards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3"/>
          </w:tcPr>
          <w:p>
            <w:pPr>
              <w:jc w:val="center"/>
              <w:ind w:right="56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520" w:type="dxa"/>
            <w:vAlign w:val="bottom"/>
          </w:tcPr>
          <w:p>
            <w:pPr>
              <w:jc w:val="center"/>
              <w:ind w:right="359"/>
              <w:spacing w:after="0" w:line="153"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52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0"/>
              </w:rPr>
              <w:t>on Vesting ($)</w:t>
            </w:r>
          </w:p>
        </w:tc>
        <w:tc>
          <w:tcPr>
            <w:tcW w:w="0" w:type="dxa"/>
            <w:vAlign w:val="bottom"/>
          </w:tcPr>
          <w:p>
            <w:pPr>
              <w:spacing w:after="0"/>
              <w:rPr>
                <w:sz w:val="1"/>
                <w:szCs w:val="1"/>
                <w:color w:val="auto"/>
              </w:rPr>
            </w:pPr>
          </w:p>
        </w:tc>
      </w:tr>
      <w:tr>
        <w:trPr>
          <w:trHeight w:val="149"/>
        </w:trPr>
        <w:tc>
          <w:tcPr>
            <w:tcW w:w="7020" w:type="dxa"/>
            <w:vAlign w:val="bottom"/>
            <w:vMerge w:val="restart"/>
          </w:tcPr>
          <w:p>
            <w:pPr>
              <w:ind w:left="33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5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Vesting (#)</w:t>
            </w:r>
          </w:p>
        </w:tc>
        <w:tc>
          <w:tcPr>
            <w:tcW w:w="152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89"/>
              </w:rPr>
              <w:t>(b)</w:t>
            </w:r>
          </w:p>
        </w:tc>
        <w:tc>
          <w:tcPr>
            <w:tcW w:w="0" w:type="dxa"/>
            <w:vAlign w:val="bottom"/>
          </w:tcPr>
          <w:p>
            <w:pPr>
              <w:spacing w:after="0"/>
              <w:rPr>
                <w:sz w:val="1"/>
                <w:szCs w:val="1"/>
                <w:color w:val="auto"/>
              </w:rPr>
            </w:pPr>
          </w:p>
        </w:tc>
      </w:tr>
      <w:tr>
        <w:trPr>
          <w:trHeight w:val="192"/>
        </w:trPr>
        <w:tc>
          <w:tcPr>
            <w:tcW w:w="7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Brian O. Casey</w:t>
            </w:r>
          </w:p>
        </w:tc>
        <w:tc>
          <w:tcPr>
            <w:tcW w:w="1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38,686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1,429,835</w:t>
            </w:r>
          </w:p>
        </w:tc>
        <w:tc>
          <w:tcPr>
            <w:tcW w:w="0" w:type="dxa"/>
            <w:vAlign w:val="bottom"/>
          </w:tcPr>
          <w:p>
            <w:pPr>
              <w:spacing w:after="0"/>
              <w:rPr>
                <w:sz w:val="1"/>
                <w:szCs w:val="1"/>
                <w:color w:val="auto"/>
              </w:rPr>
            </w:pPr>
          </w:p>
        </w:tc>
      </w:tr>
      <w:tr>
        <w:trPr>
          <w:trHeight w:val="243"/>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Terry Forbes</w:t>
            </w:r>
          </w:p>
        </w:tc>
        <w:tc>
          <w:tcPr>
            <w:tcW w:w="1960" w:type="dxa"/>
            <w:vAlign w:val="bottom"/>
          </w:tcPr>
          <w:p>
            <w:pPr>
              <w:jc w:val="right"/>
              <w:ind w:right="60"/>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67,418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Fabian Gomez</w:t>
            </w:r>
          </w:p>
        </w:tc>
        <w:tc>
          <w:tcPr>
            <w:tcW w:w="1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5,603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218,853</w:t>
            </w:r>
          </w:p>
        </w:tc>
        <w:tc>
          <w:tcPr>
            <w:tcW w:w="0" w:type="dxa"/>
            <w:vAlign w:val="bottom"/>
          </w:tcPr>
          <w:p>
            <w:pPr>
              <w:spacing w:after="0"/>
              <w:rPr>
                <w:sz w:val="1"/>
                <w:szCs w:val="1"/>
                <w:color w:val="auto"/>
              </w:rPr>
            </w:pPr>
          </w:p>
        </w:tc>
      </w:tr>
      <w:tr>
        <w:trPr>
          <w:trHeight w:val="243"/>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960" w:type="dxa"/>
            <w:vAlign w:val="bottom"/>
          </w:tcPr>
          <w:p>
            <w:pPr>
              <w:jc w:val="right"/>
              <w:ind w:right="60"/>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159,404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220" w:firstLine="8"/>
        <w:spacing w:after="0" w:line="257" w:lineRule="auto"/>
        <w:tabs>
          <w:tab w:leader="none" w:pos="201" w:val="left"/>
        </w:tabs>
        <w:numPr>
          <w:ilvl w:val="0"/>
          <w:numId w:val="62"/>
        </w:numPr>
        <w:rPr>
          <w:rFonts w:ascii="Arial" w:cs="Arial" w:eastAsia="Arial" w:hAnsi="Arial"/>
          <w:sz w:val="14"/>
          <w:szCs w:val="14"/>
          <w:color w:val="auto"/>
        </w:rPr>
      </w:pPr>
      <w:r>
        <w:rPr>
          <w:rFonts w:ascii="Arial" w:cs="Arial" w:eastAsia="Arial" w:hAnsi="Arial"/>
          <w:sz w:val="14"/>
          <w:szCs w:val="14"/>
          <w:color w:val="auto"/>
        </w:rPr>
        <w:t>Values in column (b) reflect shares that vested as of February 22, 2019 at a market value of $39.06 per share, except for Mr. Casey's, which vested as of March 8, 2019 at a market value of $36.96 per share. Shares vested for Mr. Casey represent performance-based restricted stock and shares vested for Messrs. Forbes and Gomez and Ms. Gerron represent time-vested restricted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Set forth below is a summary of the compensation and benefits payable to Messrs. Casey, Forbes, Gomez and Paddon and Ms. Gerron in the event their employment is terminated. For purposes of this disclosure, we have calculated benefits assuming a December 31, 2019 termination date. As of December 31, 2019, executive employment agreements were in effect with Mr. Casey. For further information on the employment agreements, see "Employment and Related Agreements" above.</w:t>
      </w:r>
    </w:p>
    <w:p>
      <w:pPr>
        <w:spacing w:after="0" w:line="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Under the terms of our Stock Incentive Plan, in the event of their death or a "change in control" of the Company, unvested time-vested restricted stock awards would vest for Messrs. Forbes and Gomez and Ms. Gerron. These shares had a value of $186,636 for Mr. Forbes, $381,328 for Mr. Gomez and $329,611 for Ms. Gerron as of December 31, 2019. Other than the terms of Mr. Forbes's employee confidentiality and non-compete agreement and Mr. Gomez's severance benefit agreement discussed in "Employment and Related Agreements" above and the acceleration of restricted stock awards for Messrs. Forbes, Gomez and Paddon and Ms. Gerron upon death or a "change in control," they are not contractually entitled to any other severance payments upon their termination or a "change in control" of the Company.</w:t>
      </w:r>
    </w:p>
    <w:p>
      <w:pPr>
        <w:spacing w:after="0" w:line="7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the employment agreement in place, payments to Mr. Casey could vary depending on the cause of termination and whether or not the Board of Directors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 The various payment scenarios for Mr. Casey are described immediately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various payment scenarios for Mr. Casey are:</w:t>
      </w:r>
    </w:p>
    <w:p>
      <w:pPr>
        <w:spacing w:after="0" w:line="11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Payments upon termination without cause, by the executive for good reason or non-renewal by the Company (the non-compete agreement is automatically enforced)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300" w:hanging="158"/>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00" w:right="700" w:hanging="158"/>
        <w:spacing w:after="0" w:line="277" w:lineRule="auto"/>
        <w:tabs>
          <w:tab w:leader="none" w:pos="12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amount equal to 1.5 times the sum of one year's worth of salary and the annual bonus paid to Mr. Casey for the most recently completed year, to be paid in monthly installments over eighteen months;</w:t>
      </w:r>
    </w:p>
    <w:p>
      <w:pPr>
        <w:spacing w:after="0" w:line="62" w:lineRule="exact"/>
        <w:rPr>
          <w:rFonts w:ascii="Arial" w:cs="Arial" w:eastAsia="Arial" w:hAnsi="Arial"/>
          <w:sz w:val="18"/>
          <w:szCs w:val="18"/>
          <w:color w:val="auto"/>
        </w:rPr>
      </w:pPr>
    </w:p>
    <w:p>
      <w:pPr>
        <w:ind w:left="1300" w:hanging="158"/>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eighteen months following termination; and</w:t>
      </w:r>
    </w:p>
    <w:p>
      <w:pPr>
        <w:spacing w:after="0" w:line="117" w:lineRule="exact"/>
        <w:rPr>
          <w:rFonts w:ascii="Arial" w:cs="Arial" w:eastAsia="Arial" w:hAnsi="Arial"/>
          <w:sz w:val="18"/>
          <w:szCs w:val="18"/>
          <w:color w:val="auto"/>
        </w:rPr>
      </w:pPr>
    </w:p>
    <w:p>
      <w:pPr>
        <w:ind w:left="1300" w:right="80" w:hanging="158"/>
        <w:spacing w:after="0" w:line="270" w:lineRule="auto"/>
        <w:tabs>
          <w:tab w:leader="none" w:pos="12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unvested stock options and unvested restricted shares shall be fully vested; provided, however, that to the extent that any such awards are subject to performance-based vesting conditions that are intended to qualify for the performance-based compensation exemption under Section 162(m) of the Internal Revenue Code,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702" w:right="359" w:bottom="1440" w:gutter="0" w:footer="0" w:header="0"/>
        </w:sectPr>
      </w:pPr>
    </w:p>
    <w:bookmarkStart w:id="36" w:name="page37"/>
    <w:bookmarkEnd w:id="36"/>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enforced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00" w:right="220" w:hanging="158"/>
        <w:spacing w:after="0" w:line="277" w:lineRule="auto"/>
        <w:tabs>
          <w:tab w:leader="none" w:pos="12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year's worth of salary paid in monthly installments, less the amount of medical insurance premiums the executive would have paid had he remained employed;</w:t>
      </w:r>
    </w:p>
    <w:p>
      <w:pPr>
        <w:spacing w:after="0" w:line="62" w:lineRule="exact"/>
        <w:rPr>
          <w:rFonts w:ascii="Arial" w:cs="Arial" w:eastAsia="Arial" w:hAnsi="Arial"/>
          <w:sz w:val="18"/>
          <w:szCs w:val="18"/>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medical benefits for the executive and his eligible dependents for twelve months following termination.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Payments upon termination with cause, by the executive without good reason or non-renewal by the executive where the non-compete agreement is not enforced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300" w:hanging="158"/>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 and</w:t>
      </w:r>
    </w:p>
    <w:p>
      <w:pPr>
        <w:spacing w:after="0" w:line="117" w:lineRule="exact"/>
        <w:rPr>
          <w:rFonts w:ascii="Arial" w:cs="Arial" w:eastAsia="Arial" w:hAnsi="Arial"/>
          <w:sz w:val="18"/>
          <w:szCs w:val="18"/>
          <w:color w:val="auto"/>
        </w:rPr>
      </w:pPr>
    </w:p>
    <w:p>
      <w:pPr>
        <w:ind w:left="420" w:right="2460" w:firstLine="722"/>
        <w:spacing w:after="0" w:line="440" w:lineRule="auto"/>
        <w:tabs>
          <w:tab w:leader="none" w:pos="1306" w:val="left"/>
        </w:tabs>
        <w:numPr>
          <w:ilvl w:val="0"/>
          <w:numId w:val="65"/>
        </w:numPr>
        <w:rPr>
          <w:rFonts w:ascii="Arial" w:cs="Arial" w:eastAsia="Arial" w:hAnsi="Arial"/>
          <w:sz w:val="17"/>
          <w:szCs w:val="17"/>
          <w:color w:val="auto"/>
        </w:rPr>
      </w:pPr>
      <w:r>
        <w:rPr>
          <w:rFonts w:ascii="Arial" w:cs="Arial" w:eastAsia="Arial" w:hAnsi="Arial"/>
          <w:sz w:val="17"/>
          <w:szCs w:val="17"/>
          <w:color w:val="auto"/>
        </w:rPr>
        <w:t>medical benefits for the executive and his eligible dependents for twelve months following termination. All unvested stock options and all unvested restricted shares shall be forfeited under this scenario.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300" w:hanging="158"/>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00" w:right="660" w:hanging="158"/>
        <w:spacing w:after="0" w:line="277" w:lineRule="auto"/>
        <w:tabs>
          <w:tab w:leader="none" w:pos="12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amount equal to two times the sum of one year's worth of salary and the annual bonus paid to Mr. Casey for the most recently completed year, to be paid in monthly installments over twenty-four months;</w:t>
      </w:r>
    </w:p>
    <w:p>
      <w:pPr>
        <w:spacing w:after="0" w:line="62" w:lineRule="exact"/>
        <w:rPr>
          <w:rFonts w:ascii="Arial" w:cs="Arial" w:eastAsia="Arial" w:hAnsi="Arial"/>
          <w:sz w:val="18"/>
          <w:szCs w:val="18"/>
          <w:color w:val="auto"/>
        </w:rPr>
      </w:pPr>
    </w:p>
    <w:p>
      <w:pPr>
        <w:ind w:left="1300" w:hanging="158"/>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7" w:lineRule="exact"/>
        <w:rPr>
          <w:rFonts w:ascii="Arial" w:cs="Arial" w:eastAsia="Arial" w:hAnsi="Arial"/>
          <w:sz w:val="18"/>
          <w:szCs w:val="18"/>
          <w:color w:val="auto"/>
        </w:rPr>
      </w:pPr>
    </w:p>
    <w:p>
      <w:pPr>
        <w:ind w:left="1300" w:hanging="158"/>
        <w:spacing w:after="0" w:line="291" w:lineRule="auto"/>
        <w:tabs>
          <w:tab w:leader="none" w:pos="1295"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 In March 2018, we entered into a Performance Share Agreement with Mr. Casey that provides the unvested restricted shares subject to the award will vest upon a change in control as follows: (a) if the change in control occurs before the last day of the one-year performance cycle, 50% of the shares covered by the award (the "Category 1 Shares") will vest and the remaining 50% (the "Category 2 Shares") will vest assuming target level performance or (b) if the change in control occurs after the end of the performance cycle, all Category 1 Shares and Category 2 Shares will fully vest to the extent then earned based on the Company's actual performance for the performance cycle.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300" w:hanging="15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earned by the executive during his employment;</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eighteen months following termination;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under this scenario include the following to the extent they have not been already paid:</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amounts earned by the executive during his employment;</w:t>
      </w:r>
    </w:p>
    <w:p>
      <w:pPr>
        <w:sectPr>
          <w:pgSz w:w="11900" w:h="16838" w:orient="portrait"/>
          <w:cols w:equalWidth="0" w:num="1">
            <w:col w:w="11220"/>
          </w:cols>
          <w:pgMar w:left="320" w:top="553"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20"/>
          </w:cols>
          <w:pgMar w:left="320" w:top="553" w:right="359" w:bottom="1440" w:gutter="0" w:footer="0" w:header="0"/>
          <w:type w:val="continuous"/>
        </w:sectPr>
      </w:pPr>
    </w:p>
    <w:bookmarkStart w:id="37" w:name="page38"/>
    <w:bookmarkEnd w:id="37"/>
    <w:p>
      <w:pPr>
        <w:ind w:left="1300" w:hanging="158"/>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bonus and incentive compensation earned by the executive as of the termination date;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vacation time that was earned and unused by the executive;</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disability benefits, if any, at least equal to those then provided by the Company to disabled executives and their families;</w:t>
      </w:r>
    </w:p>
    <w:p>
      <w:pPr>
        <w:spacing w:after="0" w:line="140" w:lineRule="exact"/>
        <w:rPr>
          <w:rFonts w:ascii="Arial" w:cs="Arial" w:eastAsia="Arial" w:hAnsi="Arial"/>
          <w:sz w:val="16"/>
          <w:szCs w:val="16"/>
          <w:color w:val="auto"/>
        </w:rPr>
      </w:pPr>
    </w:p>
    <w:p>
      <w:pPr>
        <w:ind w:left="1300" w:hanging="158"/>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medical benefits for the executive's eligible dependents for twelve months following termination; and</w:t>
      </w:r>
    </w:p>
    <w:p>
      <w:pPr>
        <w:spacing w:after="0" w:line="117" w:lineRule="exact"/>
        <w:rPr>
          <w:rFonts w:ascii="Arial" w:cs="Arial" w:eastAsia="Arial" w:hAnsi="Arial"/>
          <w:sz w:val="18"/>
          <w:szCs w:val="18"/>
          <w:color w:val="auto"/>
        </w:rPr>
      </w:pPr>
    </w:p>
    <w:p>
      <w:pPr>
        <w:ind w:left="1300" w:hanging="158"/>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unvested stock options and all unvested restricted shares shall be fully 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amounts that Mr. Casey would receive under different severance and change in control scenarios: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Benefits/payments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2348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Non-compete enforced?</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Base salary for an additional period</w:t>
      </w:r>
      <w:r>
        <w:rPr>
          <w:rFonts w:ascii="Arial" w:cs="Arial" w:eastAsia="Arial" w:hAnsi="Arial"/>
          <w:sz w:val="22"/>
          <w:szCs w:val="22"/>
          <w:color w:val="auto"/>
          <w:vertAlign w:val="superscript"/>
        </w:rPr>
        <w:t>(1)</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Annual bonus for an additional period</w:t>
      </w:r>
      <w:r>
        <w:rPr>
          <w:rFonts w:ascii="Arial" w:cs="Arial" w:eastAsia="Arial" w:hAnsi="Arial"/>
          <w:sz w:val="20"/>
          <w:szCs w:val="20"/>
          <w:color w:val="auto"/>
          <w:vertAlign w:val="superscript"/>
        </w:rPr>
        <w:t>(2)</w:t>
      </w:r>
    </w:p>
    <w:p>
      <w:pPr>
        <w:spacing w:after="0" w:line="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Performance shares</w:t>
      </w:r>
      <w:r>
        <w:rPr>
          <w:rFonts w:ascii="Arial" w:cs="Arial" w:eastAsia="Arial" w:hAnsi="Arial"/>
          <w:sz w:val="23"/>
          <w:szCs w:val="23"/>
          <w:color w:val="auto"/>
          <w:vertAlign w:val="superscript"/>
        </w:rPr>
        <w:t>(3)</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Medical benefits</w:t>
      </w:r>
      <w:r>
        <w:rPr>
          <w:rFonts w:ascii="Arial" w:cs="Arial" w:eastAsia="Arial" w:hAnsi="Arial"/>
          <w:sz w:val="23"/>
          <w:szCs w:val="23"/>
          <w:color w:val="auto"/>
          <w:vertAlign w:val="superscript"/>
        </w:rPr>
        <w:t>(4)</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43"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3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For cause, voluntary</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Without cause,</w:t>
            </w: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Terminated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3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termination without</w:t>
            </w:r>
          </w:p>
        </w:tc>
        <w:tc>
          <w:tcPr>
            <w:tcW w:w="12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good reason</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due to</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3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good reason or non-renewal by the</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or non-renewal</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2"/>
                <w:szCs w:val="12"/>
                <w:color w:val="auto"/>
              </w:rPr>
            </w:pPr>
          </w:p>
        </w:tc>
        <w:tc>
          <w:tcPr>
            <w:tcW w:w="94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Death</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92"/>
        </w:trPr>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87"/>
              </w:rPr>
              <w:t>executive</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by the Company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in control</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Y</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rPr>
              <w:t>Y</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color w:val="auto"/>
              </w:rPr>
              <w:t>Y</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629,993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975,000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w w:val="99"/>
              </w:rPr>
              <w:t>1,300,000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1,154,963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w w:val="99"/>
              </w:rPr>
              <w:t>1,154,963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1,154,963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1,154,963</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20,007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30,011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30,011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30,011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20,007</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2,159,974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w w:val="99"/>
              </w:rPr>
              <w:t>2,484,974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1,184,974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w w:val="97"/>
              </w:rPr>
              <w:t>1,174,970</w:t>
            </w:r>
          </w:p>
        </w:tc>
        <w:tc>
          <w:tcPr>
            <w:tcW w:w="0" w:type="dxa"/>
            <w:vAlign w:val="bottom"/>
          </w:tcPr>
          <w:p>
            <w:pPr>
              <w:spacing w:after="0"/>
              <w:rPr>
                <w:sz w:val="1"/>
                <w:szCs w:val="1"/>
                <w:color w:val="auto"/>
              </w:rPr>
            </w:pPr>
          </w:p>
        </w:tc>
      </w:tr>
      <w:tr>
        <w:trPr>
          <w:trHeight w:val="27"/>
        </w:trPr>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-908050</wp:posOffset>
            </wp:positionV>
            <wp:extent cx="707199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7970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-556895</wp:posOffset>
            </wp:positionV>
            <wp:extent cx="70719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-213995</wp:posOffset>
            </wp:positionV>
            <wp:extent cx="7071995"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197485"/>
                    </a:xfrm>
                    <a:prstGeom prst="rect">
                      <a:avLst/>
                    </a:prstGeom>
                    <a:noFill/>
                  </pic:spPr>
                </pic:pic>
              </a:graphicData>
            </a:graphic>
          </wp:anchor>
        </w:drawing>
      </w:r>
    </w:p>
    <w:p>
      <w:pPr>
        <w:spacing w:after="0" w:line="358" w:lineRule="exact"/>
        <w:rPr>
          <w:sz w:val="20"/>
          <w:szCs w:val="20"/>
          <w:color w:val="auto"/>
        </w:rPr>
      </w:pPr>
    </w:p>
    <w:p>
      <w:pPr>
        <w:sectPr>
          <w:pgSz w:w="11900" w:h="16838" w:orient="portrait"/>
          <w:cols w:equalWidth="0" w:num="2">
            <w:col w:w="3100" w:space="720"/>
            <w:col w:w="7420"/>
          </w:cols>
          <w:pgMar w:left="320" w:top="557" w:right="339" w:bottom="1440" w:gutter="0" w:footer="0" w:header="0"/>
          <w:type w:val="continuous"/>
        </w:sectPr>
      </w:pPr>
    </w:p>
    <w:p>
      <w:pPr>
        <w:ind w:left="660" w:hanging="652"/>
        <w:spacing w:after="0" w:line="249" w:lineRule="auto"/>
        <w:tabs>
          <w:tab w:leader="none" w:pos="20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reflect one year’s base salary, less the amount of medical insurance premiums Mr. Casey would have paid had he remained employed with the Company, for termination for cause, voluntary termination without good reason or non-renewal by Mr. Casey. Amounts reflect 1.5 times Mr. Casey's annual base salary, less the amount of medical insurance premiums Mr. Casey would have paid had he remained employed with the Company, for termination without cause, for good reason or non-renewal by the Company. Amounts reflect 2 times Mr. Casey's annual base salary, less the amount of medical insurance premiums Mr. Casey would have paid had he remained employed with the Company, for termination due to change in control.</w:t>
      </w:r>
    </w:p>
    <w:p>
      <w:pPr>
        <w:spacing w:after="0" w:line="82" w:lineRule="exact"/>
        <w:rPr>
          <w:rFonts w:ascii="Arial" w:cs="Arial" w:eastAsia="Arial" w:hAnsi="Arial"/>
          <w:sz w:val="14"/>
          <w:szCs w:val="14"/>
          <w:color w:val="auto"/>
        </w:rPr>
      </w:pPr>
    </w:p>
    <w:p>
      <w:pPr>
        <w:ind w:left="660" w:hanging="652"/>
        <w:spacing w:after="0" w:line="273" w:lineRule="auto"/>
        <w:tabs>
          <w:tab w:leader="none" w:pos="20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reflect 1.5 times Mr. Casey's annual bonus paid for the most recently completed year for termination without cause, for good reason or non-renewal by the Company. Amounts reflect two times Mr. Casey's annual bonus paid for the most recently completed year for termination due to change in control.</w:t>
      </w:r>
    </w:p>
    <w:p>
      <w:pPr>
        <w:spacing w:after="0" w:line="65" w:lineRule="exact"/>
        <w:rPr>
          <w:rFonts w:ascii="Arial" w:cs="Arial" w:eastAsia="Arial" w:hAnsi="Arial"/>
          <w:sz w:val="14"/>
          <w:szCs w:val="14"/>
          <w:color w:val="auto"/>
        </w:rPr>
      </w:pPr>
    </w:p>
    <w:p>
      <w:pPr>
        <w:ind w:left="660" w:right="20" w:hanging="652"/>
        <w:spacing w:after="0" w:line="257" w:lineRule="auto"/>
        <w:tabs>
          <w:tab w:leader="none" w:pos="20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reflect the estimated value of the acceleration of Mr. Casey’s outstanding performance-based restricted stock awards (38,993 shares, which are equal to the number of outstanding performance-based restricted stock shares that are reported in the "Outstanding Equity Awards at December 31, 2019" table), using our closing stock price of $29.62 per share as of the last day of business in 2019.</w:t>
      </w:r>
    </w:p>
    <w:p>
      <w:pPr>
        <w:spacing w:after="0" w:line="76" w:lineRule="exact"/>
        <w:rPr>
          <w:rFonts w:ascii="Arial" w:cs="Arial" w:eastAsia="Arial" w:hAnsi="Arial"/>
          <w:sz w:val="14"/>
          <w:szCs w:val="14"/>
          <w:color w:val="auto"/>
        </w:rPr>
      </w:pPr>
    </w:p>
    <w:p>
      <w:pPr>
        <w:ind w:left="660" w:right="240" w:hanging="652"/>
        <w:spacing w:after="0" w:line="257" w:lineRule="auto"/>
        <w:tabs>
          <w:tab w:leader="none" w:pos="208"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reflect the Company’s estimated premiums to continue medical benefits for Mr. Casey and his dependents, as applicable, for twelve months after termination for cause, voluntary termination without good reason, non-renewal by the executive or disability, or for eighteen months after termination without cause, for good reason, non-renewal by the Company, change in control or death.</w:t>
      </w:r>
    </w:p>
    <w:p>
      <w:pPr>
        <w:spacing w:after="0" w:line="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amounts shown in the preceding table do not include payments and benefits to the extent they are paid to all employees upon termination of employment, including:</w:t>
      </w:r>
    </w:p>
    <w:p>
      <w:pPr>
        <w:spacing w:after="0" w:line="62" w:lineRule="exact"/>
        <w:rPr>
          <w:sz w:val="20"/>
          <w:szCs w:val="20"/>
          <w:color w:val="auto"/>
        </w:rPr>
      </w:pPr>
    </w:p>
    <w:p>
      <w:pPr>
        <w:ind w:left="1300" w:hanging="23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accrued salary and vacation pay;</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distribution of the balance held by the individual under our Savings Plan; and</w:t>
      </w:r>
    </w:p>
    <w:p>
      <w:pPr>
        <w:spacing w:after="0" w:line="117" w:lineRule="exact"/>
        <w:rPr>
          <w:rFonts w:ascii="Arial" w:cs="Arial" w:eastAsia="Arial" w:hAnsi="Arial"/>
          <w:sz w:val="18"/>
          <w:szCs w:val="18"/>
          <w:color w:val="auto"/>
        </w:rPr>
      </w:pPr>
    </w:p>
    <w:p>
      <w:pPr>
        <w:ind w:left="1300" w:hanging="239"/>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amounts paid under other benefit plans, including our family and medical leave of absence and long-term disability programs.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7" w:lineRule="exact"/>
        <w:rPr>
          <w:sz w:val="20"/>
          <w:szCs w:val="20"/>
          <w:color w:val="auto"/>
        </w:rPr>
      </w:pPr>
    </w:p>
    <w:p>
      <w:pPr>
        <w:jc w:val="both"/>
        <w:ind w:left="1300" w:right="120" w:hanging="239"/>
        <w:spacing w:after="0" w:line="311" w:lineRule="auto"/>
        <w:tabs>
          <w:tab w:leader="none" w:pos="12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merger or consolidation of the Company with or into another corporation in which the 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w:t>
      </w:r>
    </w:p>
    <w:p>
      <w:pPr>
        <w:spacing w:after="0" w:line="40" w:lineRule="exact"/>
        <w:rPr>
          <w:rFonts w:ascii="Arial" w:cs="Arial" w:eastAsia="Arial" w:hAnsi="Arial"/>
          <w:sz w:val="16"/>
          <w:szCs w:val="16"/>
          <w:color w:val="auto"/>
        </w:rPr>
      </w:pPr>
    </w:p>
    <w:p>
      <w:pPr>
        <w:ind w:left="1300" w:hanging="239"/>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117" w:lineRule="exact"/>
        <w:rPr>
          <w:rFonts w:ascii="Arial" w:cs="Arial" w:eastAsia="Arial" w:hAnsi="Arial"/>
          <w:sz w:val="18"/>
          <w:szCs w:val="18"/>
          <w:color w:val="auto"/>
        </w:rPr>
      </w:pPr>
    </w:p>
    <w:p>
      <w:pPr>
        <w:ind w:left="1300" w:right="100" w:hanging="239"/>
        <w:spacing w:after="0" w:line="277" w:lineRule="auto"/>
        <w:tabs>
          <w:tab w:leader="none" w:pos="12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transaction or a series of related transactions to one or more other persons or entities; or</w:t>
      </w:r>
    </w:p>
    <w:p>
      <w:pPr>
        <w:spacing w:after="0" w:line="62" w:lineRule="exact"/>
        <w:rPr>
          <w:rFonts w:ascii="Arial" w:cs="Arial" w:eastAsia="Arial" w:hAnsi="Arial"/>
          <w:sz w:val="18"/>
          <w:szCs w:val="18"/>
          <w:color w:val="auto"/>
        </w:rPr>
      </w:pPr>
    </w:p>
    <w:p>
      <w:pPr>
        <w:ind w:left="1300" w:right="140" w:hanging="239"/>
        <w:spacing w:after="0" w:line="263" w:lineRule="auto"/>
        <w:tabs>
          <w:tab w:leader="none" w:pos="12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 during any period of two consecutive years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type w:val="continuous"/>
        </w:sectPr>
      </w:pPr>
    </w:p>
    <w:bookmarkStart w:id="38" w:name="page39"/>
    <w:bookmarkEnd w:id="38"/>
    <w:p>
      <w:pPr>
        <w:ind w:left="1300" w:right="60"/>
        <w:spacing w:after="0" w:line="290" w:lineRule="auto"/>
        <w:rPr>
          <w:sz w:val="20"/>
          <w:szCs w:val="20"/>
          <w:color w:val="auto"/>
        </w:rPr>
      </w:pPr>
      <w:r>
        <w:rPr>
          <w:rFonts w:ascii="Arial" w:cs="Arial" w:eastAsia="Arial" w:hAnsi="Arial"/>
          <w:sz w:val="16"/>
          <w:szCs w:val="16"/>
          <w:color w:val="auto"/>
        </w:rPr>
        <w:t>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under the terms of the Executive 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could occur due to any of the following events:</w:t>
      </w:r>
    </w:p>
    <w:p>
      <w:pPr>
        <w:spacing w:after="0" w:line="117" w:lineRule="exact"/>
        <w:rPr>
          <w:sz w:val="20"/>
          <w:szCs w:val="20"/>
          <w:color w:val="auto"/>
        </w:rPr>
      </w:pPr>
    </w:p>
    <w:p>
      <w:pPr>
        <w:ind w:left="1300" w:hanging="239"/>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executive’s conviction of any felony or other serious crimes;</w:t>
      </w:r>
    </w:p>
    <w:p>
      <w:pPr>
        <w:spacing w:after="0" w:line="117" w:lineRule="exact"/>
        <w:rPr>
          <w:rFonts w:ascii="Arial" w:cs="Arial" w:eastAsia="Arial" w:hAnsi="Arial"/>
          <w:sz w:val="18"/>
          <w:szCs w:val="18"/>
          <w:color w:val="auto"/>
        </w:rPr>
      </w:pPr>
    </w:p>
    <w:p>
      <w:pPr>
        <w:jc w:val="both"/>
        <w:ind w:left="1300" w:right="20" w:hanging="239"/>
        <w:spacing w:after="0" w:line="263"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executive’s material breach of any of the terms of the employment agreement or any other written agreement or material company policy to which the executive and the Company are parties or are bound, if such breach shall be willful and shall continue beyond a period of 30 days immediately after written notice thereof by the Company to the executive;</w:t>
      </w:r>
    </w:p>
    <w:p>
      <w:pPr>
        <w:spacing w:after="0" w:line="75" w:lineRule="exact"/>
        <w:rPr>
          <w:rFonts w:ascii="Arial" w:cs="Arial" w:eastAsia="Arial" w:hAnsi="Arial"/>
          <w:sz w:val="18"/>
          <w:szCs w:val="18"/>
          <w:color w:val="auto"/>
        </w:rPr>
      </w:pPr>
    </w:p>
    <w:p>
      <w:pPr>
        <w:ind w:left="1300" w:hanging="239"/>
        <w:spacing w:after="0"/>
        <w:tabs>
          <w:tab w:leader="none" w:pos="13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wrongful misappropriation by the executive of any money, assets, or other property of the Company or of a client of the Company;</w:t>
      </w:r>
    </w:p>
    <w:p>
      <w:pPr>
        <w:spacing w:after="0" w:line="128" w:lineRule="exact"/>
        <w:rPr>
          <w:rFonts w:ascii="Arial" w:cs="Arial" w:eastAsia="Arial" w:hAnsi="Arial"/>
          <w:sz w:val="17"/>
          <w:szCs w:val="17"/>
          <w:color w:val="auto"/>
        </w:rPr>
      </w:pPr>
    </w:p>
    <w:p>
      <w:pPr>
        <w:ind w:left="1300" w:right="100" w:hanging="239"/>
        <w:spacing w:after="0" w:line="259"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willful actions or failures to act by the executive which subject the executive or the Company to censure by the Securities and Exchange Commission as described in and pursuant to Section 203(e) or 203(f) of the Investment Advisers Act of 1940 or Section 9(b) of the Investment Company Act of 1940 or to censure by a state securities administrator pursuant to applicable state securities laws or regulations;</w:t>
      </w:r>
    </w:p>
    <w:p>
      <w:pPr>
        <w:spacing w:after="0" w:line="78" w:lineRule="exact"/>
        <w:rPr>
          <w:rFonts w:ascii="Arial" w:cs="Arial" w:eastAsia="Arial" w:hAnsi="Arial"/>
          <w:sz w:val="18"/>
          <w:szCs w:val="18"/>
          <w:color w:val="auto"/>
        </w:rPr>
      </w:pPr>
    </w:p>
    <w:p>
      <w:pPr>
        <w:ind w:left="1300" w:hanging="239"/>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executive’s commission of fraud or gross moral turpitude; or</w:t>
      </w:r>
    </w:p>
    <w:p>
      <w:pPr>
        <w:spacing w:after="0" w:line="117" w:lineRule="exact"/>
        <w:rPr>
          <w:rFonts w:ascii="Arial" w:cs="Arial" w:eastAsia="Arial" w:hAnsi="Arial"/>
          <w:sz w:val="18"/>
          <w:szCs w:val="18"/>
          <w:color w:val="auto"/>
        </w:rPr>
      </w:pPr>
    </w:p>
    <w:p>
      <w:pPr>
        <w:ind w:left="1300" w:right="240" w:hanging="239"/>
        <w:spacing w:after="0" w:line="277" w:lineRule="auto"/>
        <w:tabs>
          <w:tab w:leader="none" w:pos="12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executive’s continued willful failure to substantially perform executive’s duties under the applicable agreement after receipt of written notice thereof and an opportunity to so perform.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Termination for good reason </w:t>
      </w:r>
      <w:r>
        <w:rPr>
          <w:rFonts w:ascii="Arial" w:cs="Arial" w:eastAsia="Arial" w:hAnsi="Arial"/>
          <w:sz w:val="18"/>
          <w:szCs w:val="18"/>
          <w:color w:val="auto"/>
        </w:rPr>
        <w:t>could occur due to the occurrence of any of the following events without the written consent of the executive:</w:t>
      </w:r>
    </w:p>
    <w:p>
      <w:pPr>
        <w:spacing w:after="0" w:line="117" w:lineRule="exact"/>
        <w:rPr>
          <w:sz w:val="20"/>
          <w:szCs w:val="20"/>
          <w:color w:val="auto"/>
        </w:rPr>
      </w:pPr>
    </w:p>
    <w:p>
      <w:pPr>
        <w:ind w:left="1300" w:hanging="239"/>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material breach by the Company of the employment agreement (including any reduction in the executive’s base salary);</w:t>
      </w:r>
    </w:p>
    <w:p>
      <w:pPr>
        <w:spacing w:after="0" w:line="117" w:lineRule="exact"/>
        <w:rPr>
          <w:rFonts w:ascii="Arial" w:cs="Arial" w:eastAsia="Arial" w:hAnsi="Arial"/>
          <w:sz w:val="18"/>
          <w:szCs w:val="18"/>
          <w:color w:val="auto"/>
        </w:rPr>
      </w:pPr>
    </w:p>
    <w:p>
      <w:pPr>
        <w:ind w:left="1300" w:hanging="239"/>
        <w:spacing w:after="0" w:line="259"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material adverse change in the status, position or responsibilities of the executive including, in the case of Mr. Casey, a change in the executive’s reporting relationship so that he no longer reports to the Board of Directors, the removal from or failure to re-elect the executive as a member of the Board or if the Company becomes a wholly-owned subsidiary of another company and the executive serves only as an officer of the subsidiary company;</w:t>
      </w:r>
    </w:p>
    <w:p>
      <w:pPr>
        <w:spacing w:after="0" w:line="78" w:lineRule="exact"/>
        <w:rPr>
          <w:rFonts w:ascii="Arial" w:cs="Arial" w:eastAsia="Arial" w:hAnsi="Arial"/>
          <w:sz w:val="18"/>
          <w:szCs w:val="18"/>
          <w:color w:val="auto"/>
        </w:rPr>
      </w:pPr>
    </w:p>
    <w:p>
      <w:pPr>
        <w:ind w:left="1300" w:right="260" w:hanging="239"/>
        <w:spacing w:after="0" w:line="277"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the executive’s position and responsibilities described in his employment agreement;</w:t>
      </w:r>
    </w:p>
    <w:p>
      <w:pPr>
        <w:spacing w:after="0" w:line="62" w:lineRule="exact"/>
        <w:rPr>
          <w:rFonts w:ascii="Arial" w:cs="Arial" w:eastAsia="Arial" w:hAnsi="Arial"/>
          <w:sz w:val="18"/>
          <w:szCs w:val="18"/>
          <w:color w:val="auto"/>
        </w:rPr>
      </w:pPr>
    </w:p>
    <w:p>
      <w:pPr>
        <w:ind w:left="1300" w:right="80" w:hanging="239"/>
        <w:spacing w:after="0" w:line="277"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failure of the Company to assign the employment agreement to a successor to the Company or failure of a successor to the Company to explicitly assume and agree to be bound by the employment agreement; or</w:t>
      </w:r>
    </w:p>
    <w:p>
      <w:pPr>
        <w:spacing w:after="0" w:line="62" w:lineRule="exact"/>
        <w:rPr>
          <w:rFonts w:ascii="Arial" w:cs="Arial" w:eastAsia="Arial" w:hAnsi="Arial"/>
          <w:sz w:val="18"/>
          <w:szCs w:val="18"/>
          <w:color w:val="auto"/>
        </w:rPr>
      </w:pPr>
    </w:p>
    <w:p>
      <w:pPr>
        <w:ind w:left="1300" w:right="240" w:hanging="239"/>
        <w:spacing w:after="0" w:line="277" w:lineRule="auto"/>
        <w:tabs>
          <w:tab w:leader="none" w:pos="12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more than 40 miles from the current offices of the Company in Dallas, Texas.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Mr. Casey may terminate his employment </w:t>
      </w:r>
      <w:r>
        <w:rPr>
          <w:rFonts w:ascii="Arial" w:cs="Arial" w:eastAsia="Arial" w:hAnsi="Arial"/>
          <w:sz w:val="18"/>
          <w:szCs w:val="18"/>
          <w:i w:val="1"/>
          <w:iCs w:val="1"/>
          <w:color w:val="auto"/>
        </w:rPr>
        <w:t>without good reason</w:t>
      </w:r>
      <w:r>
        <w:rPr>
          <w:rFonts w:ascii="Arial" w:cs="Arial" w:eastAsia="Arial" w:hAnsi="Arial"/>
          <w:sz w:val="18"/>
          <w:szCs w:val="18"/>
          <w:color w:val="auto"/>
        </w:rPr>
        <w:t xml:space="preserve"> at any time by giving at least 30 days' notice.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may terminate the executive’s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at any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shall mean:</w:t>
      </w:r>
    </w:p>
    <w:p>
      <w:pPr>
        <w:spacing w:after="0" w:line="117" w:lineRule="exact"/>
        <w:rPr>
          <w:sz w:val="20"/>
          <w:szCs w:val="20"/>
          <w:color w:val="auto"/>
        </w:rPr>
      </w:pPr>
    </w:p>
    <w:p>
      <w:pPr>
        <w:ind w:left="1300" w:right="40" w:hanging="239"/>
        <w:spacing w:after="0" w:line="257" w:lineRule="auto"/>
        <w:tabs>
          <w:tab w:leader="none" w:pos="12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merger or consolidation of the Company with or into another corporation (other than a merger undertaken solely in order to reincorporate in another state) immediately following which the beneficial holders of the voting stock of the Company immediately prior to such transaction or series of transactions do not continue to hold 50% or more of the voting stock (based upon voting power) of the Company or (A) any entity that owns, directly or indirectly, the stock of the Company, (B) any entity with which the Company has merged, or (C) any entity that owns an entity with which the Company has merged;</w:t>
      </w:r>
    </w:p>
    <w:p>
      <w:pPr>
        <w:spacing w:after="0" w:line="79" w:lineRule="exact"/>
        <w:rPr>
          <w:rFonts w:ascii="Arial" w:cs="Arial" w:eastAsia="Arial" w:hAnsi="Arial"/>
          <w:sz w:val="18"/>
          <w:szCs w:val="18"/>
          <w:color w:val="auto"/>
        </w:rPr>
      </w:pPr>
    </w:p>
    <w:p>
      <w:pPr>
        <w:ind w:left="1300" w:hanging="239"/>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dissolution of the Company;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557" w:right="379" w:bottom="1440" w:gutter="0" w:footer="0" w:header="0"/>
        </w:sectPr>
      </w:pPr>
    </w:p>
    <w:bookmarkStart w:id="39" w:name="page40"/>
    <w:bookmarkEnd w:id="39"/>
    <w:p>
      <w:pPr>
        <w:ind w:left="1300" w:right="460" w:hanging="239"/>
        <w:spacing w:after="0" w:line="277"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transfer of all or substantially all of the assets of the Company in one or more related transactions to one or more other persons or entities;</w:t>
      </w:r>
    </w:p>
    <w:p>
      <w:pPr>
        <w:spacing w:after="0" w:line="62" w:lineRule="exact"/>
        <w:rPr>
          <w:rFonts w:ascii="Arial" w:cs="Arial" w:eastAsia="Arial" w:hAnsi="Arial"/>
          <w:sz w:val="18"/>
          <w:szCs w:val="18"/>
          <w:color w:val="auto"/>
        </w:rPr>
      </w:pPr>
    </w:p>
    <w:p>
      <w:pPr>
        <w:jc w:val="both"/>
        <w:ind w:left="1300" w:hanging="239"/>
        <w:spacing w:after="0" w:line="342" w:lineRule="auto"/>
        <w:tabs>
          <w:tab w:leader="none" w:pos="129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transaction or series of transactions that results in any entity, "Person" or "Group" becoming the beneficial owner, directly or indirectly, of securities of the Company representing more than 50% of the combined voting power of the Company’s then outstanding securities; or</w:t>
      </w:r>
    </w:p>
    <w:p>
      <w:pPr>
        <w:spacing w:after="0" w:line="15" w:lineRule="exact"/>
        <w:rPr>
          <w:rFonts w:ascii="Arial" w:cs="Arial" w:eastAsia="Arial" w:hAnsi="Arial"/>
          <w:sz w:val="16"/>
          <w:szCs w:val="16"/>
          <w:color w:val="auto"/>
        </w:rPr>
      </w:pPr>
    </w:p>
    <w:p>
      <w:pPr>
        <w:ind w:left="1300" w:right="20" w:hanging="239"/>
        <w:spacing w:after="0" w:line="253" w:lineRule="auto"/>
        <w:tabs>
          <w:tab w:leader="none" w:pos="1295" w:val="left"/>
        </w:tabs>
        <w:numPr>
          <w:ilvl w:val="0"/>
          <w:numId w:val="75"/>
        </w:numPr>
        <w:rPr>
          <w:rFonts w:ascii="Arial" w:cs="Arial" w:eastAsia="Arial" w:hAnsi="Arial"/>
          <w:sz w:val="18"/>
          <w:szCs w:val="18"/>
          <w:color w:val="auto"/>
        </w:rPr>
      </w:pPr>
      <w:r>
        <w:rPr>
          <w:rFonts w:ascii="Arial" w:cs="Arial" w:eastAsia="Arial" w:hAnsi="Arial"/>
          <w:sz w:val="18"/>
          <w:szCs w:val="18"/>
          <w:color w:val="auto"/>
        </w:rPr>
        <w:t>during any period of two consecutive years commencing on or after January 1, 2016 (in the case of Mr. Casey),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provided, however,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or (B) one or more of the "executive officers" of the Company that held such positions prior to the transaction or series of transactions, or any entity, Person or Group under their control.</w:t>
      </w:r>
    </w:p>
    <w:p>
      <w:pPr>
        <w:spacing w:after="0" w:line="88"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 xml:space="preserve">Disability </w:t>
      </w:r>
      <w:r>
        <w:rPr>
          <w:rFonts w:ascii="Arial" w:cs="Arial" w:eastAsia="Arial" w:hAnsi="Arial"/>
          <w:sz w:val="17"/>
          <w:szCs w:val="17"/>
          <w:color w:val="auto"/>
        </w:rPr>
        <w:t>shall mean any medically determinable physical or mental impairment that has lasted for a period of not less than six months in any 12-month</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and that renders the executive unable to perform the duties or essential functions required under the employment agreement.</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557" w:right="37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Deloitte &amp; Touche LLP as Independent Auditors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Audit Committee has appointed Deloitte as our independent auditors for 2020. Representatives of Deloitte will attend the annual meeting to answer questions and may make a statement if they so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Billed by Deloitte</w:t>
      </w:r>
    </w:p>
    <w:p>
      <w:pPr>
        <w:spacing w:after="0" w:line="121"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Deloitte has served as independent auditor for the Company since 2015. In addition to performing the audit of the Company's consolidated financial statements, Deloitte also provides various other services to the Company and to common trust funds sponsored by Westwood Trust. The following table presents aggregate fees billed to the Company and the common trust funds in 2019 and 2018.</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6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575,725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479,068</w:t>
            </w:r>
          </w:p>
        </w:tc>
      </w:tr>
      <w:tr>
        <w:trPr>
          <w:trHeight w:val="270"/>
        </w:trPr>
        <w:tc>
          <w:tcPr>
            <w:tcW w:w="8240" w:type="dxa"/>
            <w:vAlign w:val="bottom"/>
          </w:tcPr>
          <w:p>
            <w:pPr>
              <w:ind w:left="2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350,000</w:t>
            </w:r>
          </w:p>
        </w:tc>
      </w:tr>
      <w:tr>
        <w:trPr>
          <w:trHeight w:val="27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456,476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459,700</w:t>
            </w:r>
          </w:p>
        </w:tc>
      </w:tr>
      <w:tr>
        <w:trPr>
          <w:trHeight w:val="263"/>
        </w:trPr>
        <w:tc>
          <w:tcPr>
            <w:tcW w:w="8240" w:type="dxa"/>
            <w:vAlign w:val="bottom"/>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1,352,201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1,288,768</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both"/>
        <w:ind w:left="740" w:right="40" w:firstLine="78"/>
        <w:spacing w:after="0" w:line="312" w:lineRule="auto"/>
        <w:tabs>
          <w:tab w:leader="none" w:pos="1025"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spacing w:after="0" w:line="2" w:lineRule="exact"/>
        <w:rPr>
          <w:rFonts w:ascii="Arial" w:cs="Arial" w:eastAsia="Arial" w:hAnsi="Arial"/>
          <w:sz w:val="13"/>
          <w:szCs w:val="13"/>
          <w:color w:val="auto"/>
        </w:rPr>
      </w:pPr>
    </w:p>
    <w:p>
      <w:pPr>
        <w:ind w:left="1380" w:right="280" w:hanging="562"/>
        <w:spacing w:after="0" w:line="273" w:lineRule="auto"/>
        <w:tabs>
          <w:tab w:leader="none" w:pos="1017"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the aggregate fees billed for financial audit services to common trust funds sponsored by Westwood Trust. These fees are not paid by Westwood but are paid by the common trust funds.</w:t>
      </w:r>
    </w:p>
    <w:p>
      <w:pPr>
        <w:spacing w:after="0" w:line="25" w:lineRule="exact"/>
        <w:rPr>
          <w:rFonts w:ascii="Arial" w:cs="Arial" w:eastAsia="Arial" w:hAnsi="Arial"/>
          <w:sz w:val="14"/>
          <w:szCs w:val="14"/>
          <w:color w:val="auto"/>
        </w:rPr>
      </w:pPr>
    </w:p>
    <w:p>
      <w:pPr>
        <w:ind w:left="1380" w:right="140" w:hanging="562"/>
        <w:spacing w:after="0" w:line="273" w:lineRule="auto"/>
        <w:tabs>
          <w:tab w:leader="none" w:pos="1017"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the aggregate fees billed for tax services provided to the common trust funds for the year ended December 31, 2018. These fees were partly paid by the common trust funds.</w:t>
      </w:r>
    </w:p>
    <w:p>
      <w:pPr>
        <w:spacing w:after="0" w:line="7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i w:val="1"/>
          <w:iCs w:val="1"/>
          <w:color w:val="auto"/>
        </w:rPr>
        <w:t xml:space="preserve">Pre-approval policies and procedures for audit and non-audit services. </w:t>
      </w:r>
      <w:r>
        <w:rPr>
          <w:rFonts w:ascii="Arial" w:cs="Arial" w:eastAsia="Arial" w:hAnsi="Arial"/>
          <w:sz w:val="16"/>
          <w:szCs w:val="16"/>
          <w:color w:val="auto"/>
        </w:rPr>
        <w:t>The Audit Committee has established a policy regarding pre-approval of all</w:t>
      </w:r>
      <w:r>
        <w:rPr>
          <w:rFonts w:ascii="Arial" w:cs="Arial" w:eastAsia="Arial" w:hAnsi="Arial"/>
          <w:sz w:val="16"/>
          <w:szCs w:val="16"/>
          <w:i w:val="1"/>
          <w:iCs w:val="1"/>
          <w:color w:val="auto"/>
        </w:rPr>
        <w:t xml:space="preserve"> </w:t>
      </w:r>
      <w:r>
        <w:rPr>
          <w:rFonts w:ascii="Arial" w:cs="Arial" w:eastAsia="Arial" w:hAnsi="Arial"/>
          <w:sz w:val="16"/>
          <w:szCs w:val="16"/>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5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Audit Committee or the chairperson acting on its behalf pre-approved all services provided by Deloitte for the years ended December 31, 2019 and 2018.</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Although stockholder action on this matter is not required, the appointment of Deloitte is being recommended to the stockholders for ratification. The affirmative "FOR" vote of a majority of the votes cast at the annual meeting is needed to ratify the appointment of Deloitte as independent auditors for 2020. Abstentions will not affect the outcome of a vote on this proposal.</w:t>
      </w:r>
    </w:p>
    <w:p>
      <w:pPr>
        <w:spacing w:after="0" w:line="72" w:lineRule="exact"/>
        <w:rPr>
          <w:sz w:val="20"/>
          <w:szCs w:val="20"/>
          <w:color w:val="auto"/>
        </w:rPr>
      </w:pPr>
    </w:p>
    <w:p>
      <w:pPr>
        <w:jc w:val="center"/>
        <w:ind w:left="360" w:right="28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DELOITTE AS OUR INDEPENDENT AUDITORS FOR 2020.</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45" w:right="3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Seventh Amended and Restated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Westwood Holdings Group, Inc. Stock Incentive Plan</w:t>
      </w:r>
    </w:p>
    <w:p>
      <w:pPr>
        <w:spacing w:after="0" w:line="121"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The Compensation Committee and the Board of Directors of Westwood have approved and have proposed that our shareholders approve the Seventh Amended and Restated Westwood Holdings Group, Inc. Stock Incentive Plan (the "Plan") at the annual meeting. Westwood originally adopted the Plan on February 1, 2002. On April 24, 2019, our stockholders approved the Sixth Amended and Restated Plan (effective as of March 8, 2019 (the "Prior Plan"), with a reserve of 5,048,100 shares of common stock. The plan amends the Prior Plan to increase the maximum number of shares available for issuance by 350,000 shares to 5,398,100 shares.</w:t>
      </w:r>
    </w:p>
    <w:p>
      <w:pPr>
        <w:spacing w:after="0" w:line="8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Westwood is seeking stockholder approval for the Plan. Stockholder approval is required under the requirements of the NYSE Corporate Governance Listing Standards, which are applicable to Westwood.</w:t>
      </w:r>
    </w:p>
    <w:p>
      <w:pPr>
        <w:spacing w:after="0" w:line="6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Awards under the Plan are a major component of our long-term incentive program for our employees, consultants and members of our Board. As noted in the "Compensation Discussion and Analysis," we recognize that having an ownership interest in the Company is critical to aligning the financial interests of our employees and shareholders. The Compensation Committee believes it is important to authorize an additional 350,000 shares for grant under the Plan. As of March 4, 2020, approximately 4,761,380 shares had been issued under the Plan, leaving 286,720 shares available under the Plan for issuance. The Compensation Committee does not believe that this amount is sufficient to meet the Company's anticipated grants of awards through the date of our 2021 Annual Meeting of Shareholders. If shareholders do not approve the Plan, it will remain in effect; however, we anticipate the shares available for equity-based compensation will be quickly depleted, and we will lose our ability to use equity as a compensation tool. Although the Compensation Committee anticipates that the additional shares requested will enable the Company to maintain its current equity compensation program for at least two years, the Compensation Committee plans to request additional shares on an annual basis to accommodate anticipated grants related to the hiring, retention and promotion of employees. In 2019, 2018 and 2017, the number of shares of common stock underlying equity awards granted was approximately 220,000, 245,000, and 246,000, respectively. The Compensation Committee expects to continue to grant awards under the Plan consistent with the Company's historical share utilization rates.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Description of the Seventh Amended and Restated Plan</w:t>
      </w:r>
    </w:p>
    <w:p>
      <w:pPr>
        <w:spacing w:after="0" w:line="117"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 xml:space="preserve">A summary of the material features of the Plan is set forth below. This description and summary are qualified in their entirety by the full text of the Plan included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62"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i w:val="1"/>
          <w:iCs w:val="1"/>
          <w:color w:val="auto"/>
        </w:rPr>
        <w:t>Key Features of the Plan</w:t>
      </w:r>
      <w:r>
        <w:rPr>
          <w:rFonts w:ascii="Arial" w:cs="Arial" w:eastAsia="Arial" w:hAnsi="Arial"/>
          <w:sz w:val="16"/>
          <w:szCs w:val="16"/>
          <w:color w:val="auto"/>
        </w:rPr>
        <w:t>. Awards under the Plan will consist of cash or Westwood's authorized common stock. The fair market value of Westwood's</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as of March 2, 2020 was $25.37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consultants or advisors. There are currently 167 employees of Westwood who may be eligible to receive awards under the Plan, and there are five non-employee directors who may be eligible to receive awards under the Plan. The total number of shares of common stock available for delivery pursuant to awards under the Plan over its entire term is 5,398,100 plus any shares of common stock that are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again be available for issuance under the Plan. Subject to adjustment, no more than 316,033 shares of common stock may be covered by stock-based awards granted to any participant under the Plan in a calendar year.</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No awards may be made under the Plan after March 10, 2027.</w:t>
      </w:r>
    </w:p>
    <w:p>
      <w:pPr>
        <w:spacing w:after="0" w:line="117" w:lineRule="exact"/>
        <w:rPr>
          <w:sz w:val="20"/>
          <w:szCs w:val="20"/>
          <w:color w:val="auto"/>
        </w:rPr>
      </w:pPr>
    </w:p>
    <w:p>
      <w:pPr>
        <w:ind w:right="240" w:firstLine="445"/>
        <w:spacing w:after="0" w:line="255"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The Plan authorizes the grant of several types of stock-based awards, including, without limitation,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("ISOs"), 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Committee. However, to date the Compensation Committee has only granted stock-based awards under the Plan in the form of NSOs and restricted stock.</w:t>
      </w:r>
    </w:p>
    <w:p>
      <w:pPr>
        <w:spacing w:after="0" w:line="84" w:lineRule="exact"/>
        <w:rPr>
          <w:sz w:val="20"/>
          <w:szCs w:val="20"/>
          <w:color w:val="auto"/>
        </w:rPr>
      </w:pPr>
    </w:p>
    <w:p>
      <w:pPr>
        <w:ind w:right="60" w:firstLine="445"/>
        <w:spacing w:after="0" w:line="277" w:lineRule="auto"/>
        <w:rPr>
          <w:sz w:val="20"/>
          <w:szCs w:val="20"/>
          <w:color w:val="auto"/>
        </w:rPr>
      </w:pPr>
      <w:r>
        <w:rPr>
          <w:rFonts w:ascii="Arial" w:cs="Arial" w:eastAsia="Arial" w:hAnsi="Arial"/>
          <w:sz w:val="18"/>
          <w:szCs w:val="18"/>
          <w:i w:val="1"/>
          <w:iCs w:val="1"/>
          <w:color w:val="auto"/>
        </w:rPr>
        <w:t>Award Vesting Limitations</w:t>
      </w:r>
      <w:r>
        <w:rPr>
          <w:rFonts w:ascii="Arial" w:cs="Arial" w:eastAsia="Arial" w:hAnsi="Arial"/>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769" w:right="359" w:bottom="1440" w:gutter="0" w:footer="0" w:header="0"/>
        </w:sectPr>
      </w:pPr>
    </w:p>
    <w:bookmarkStart w:id="42" w:name="page43"/>
    <w:bookmarkEnd w:id="42"/>
    <w:p>
      <w:pPr>
        <w:ind w:right="100" w:firstLine="445"/>
        <w:spacing w:after="0" w:line="277" w:lineRule="auto"/>
        <w:rPr>
          <w:sz w:val="20"/>
          <w:szCs w:val="20"/>
          <w:color w:val="auto"/>
        </w:rPr>
      </w:pPr>
      <w:r>
        <w:rPr>
          <w:rFonts w:ascii="Arial" w:cs="Arial" w:eastAsia="Arial" w:hAnsi="Arial"/>
          <w:sz w:val="18"/>
          <w:szCs w:val="18"/>
          <w:i w:val="1"/>
          <w:iCs w:val="1"/>
          <w:color w:val="auto"/>
        </w:rPr>
        <w:t>No Discount Stock Options</w:t>
      </w:r>
      <w:r>
        <w:rPr>
          <w:rFonts w:ascii="Arial" w:cs="Arial" w:eastAsia="Arial" w:hAnsi="Arial"/>
          <w:sz w:val="18"/>
          <w:szCs w:val="18"/>
          <w:color w:val="auto"/>
        </w:rPr>
        <w:t>. The Plan prohibits the grant of a stock option with an exercise price less than the fair market value of Westwood's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of grant.</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i w:val="1"/>
          <w:iCs w:val="1"/>
          <w:color w:val="auto"/>
        </w:rPr>
        <w:t>Share Counting Rules</w:t>
      </w:r>
      <w:r>
        <w:rPr>
          <w:rFonts w:ascii="Arial" w:cs="Arial" w:eastAsia="Arial" w:hAnsi="Arial"/>
          <w:sz w:val="18"/>
          <w:szCs w:val="18"/>
          <w:color w:val="auto"/>
        </w:rPr>
        <w:t>. Any shares subject to an award under the Plan that are forfeited, settled for cash, expire, or otherwise are terminated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such shares, are available for awards under the Plan. In addition, cash awards do not reduce the shares available under the Plan or to a participant in any calendar year.</w:t>
      </w:r>
    </w:p>
    <w:p>
      <w:pPr>
        <w:spacing w:after="0" w:line="76"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Unless our Board of Directors determines otherwise, the Plan will be administered by the Compensation Committee, whose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determinations will be final and binding on any interested person. Such determinations include selecting participants, determining the awards that will be made under the Plan, interpreting plan provisions, and deciding the terms and conditions of any award.</w:t>
      </w:r>
    </w:p>
    <w:p>
      <w:pPr>
        <w:spacing w:after="0" w:line="76"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Plan may be amended by the Board of Directors or by the Compensation Committee. Amendments will be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if and to the extent required by applicable law, regulations or rules. Any amendment that would increase the aggregate number of shares of stock that may be issued under the Plan must be approved by our stockholders.</w:t>
      </w:r>
    </w:p>
    <w:p>
      <w:pPr>
        <w:spacing w:after="0" w:line="76"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i w:val="1"/>
          <w:iCs w:val="1"/>
          <w:color w:val="auto"/>
        </w:rPr>
        <w:t>Antidilution</w:t>
      </w:r>
      <w:r>
        <w:rPr>
          <w:rFonts w:ascii="Arial" w:cs="Arial" w:eastAsia="Arial" w:hAnsi="Arial"/>
          <w:sz w:val="18"/>
          <w:szCs w:val="18"/>
          <w:color w:val="auto"/>
        </w:rPr>
        <w:t>. In the event of any stock dividend, stock split, reverse stock split, recapitalization, combination, reclassification or similar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Compensation Committee or the Board of Directors determines fair and equitable.</w:t>
      </w:r>
    </w:p>
    <w:p>
      <w:pPr>
        <w:spacing w:after="0" w:line="79"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i w:val="1"/>
          <w:iCs w:val="1"/>
          <w:color w:val="auto"/>
        </w:rPr>
        <w:t>Persons Eligible for Grants</w:t>
      </w:r>
      <w:r>
        <w:rPr>
          <w:rFonts w:ascii="Arial" w:cs="Arial" w:eastAsia="Arial" w:hAnsi="Arial"/>
          <w:sz w:val="18"/>
          <w:szCs w:val="18"/>
          <w:color w:val="auto"/>
        </w:rPr>
        <w:t>. Any employee, consultant or non-employee director of Westwood or any of its parents or subsidiaries will be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be selected as a participant and receive an award under the Plan by the Compensation Committee, acting in its discretion. However, ISOs will be granted only to participants who are employees of Westwood or a subsidiary thereof.</w:t>
      </w:r>
    </w:p>
    <w:p>
      <w:pPr>
        <w:spacing w:after="0" w:line="7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each outstanding award under the Plan shall become 100% vested and exercisable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ten (10) days prior to the date of the change in control.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Types of Awards</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ISOs and NSOs are both stock options allowing the recipient to purchase a fixed number of shares of common stock at a fixed price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Compensation Committee and set forth in the option agreement evidencing such option; provided, however, that (i) no option shall be exercisable after the expiration of 10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Compensation Committee in the grant of an option, any option granted hereunder shall terminate ten years after the effective date of grant of the option, unless earlier terminated in accordance with its provisions.</w:t>
      </w:r>
    </w:p>
    <w:p>
      <w:pPr>
        <w:spacing w:after="0" w:line="73"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 as may be approved by the Compensation Committee from time to time to the extent permitted by applicable law, or (v) by any combination thereof.</w:t>
      </w:r>
    </w:p>
    <w:p>
      <w:pPr>
        <w:spacing w:after="0" w:line="63"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The Compensation Committee may also make awards of restricted shares of our stock. The vesting of restricted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conditioned upon the lapse of time and/or the satisfaction of other factors determined by the Compensation Committee. Unless the Compensation Committee determines otherwise, the recipient of restricted shares will generally have the right to vote the shares. Dividends and dividend equivalents will not be payable with respect to restricted stock. However, the Compensation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Compensation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58"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The Compensation Committee may also make awards of SARs. SARs allow the recipient to exercise all or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SAR to receive from the Company an amount equal to the product of (i) the excess of (A) the fair market value of the shares of our stock on the date the SAR is exercised over (B) the grant price of the SAR and (ii)</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881" w:right="379" w:bottom="1440" w:gutter="0" w:footer="0" w:header="0"/>
        </w:sectPr>
      </w:pPr>
    </w:p>
    <w:bookmarkStart w:id="43" w:name="page44"/>
    <w:bookmarkEnd w:id="43"/>
    <w:p>
      <w:pPr>
        <w:ind w:right="220"/>
        <w:spacing w:after="0" w:line="308" w:lineRule="auto"/>
        <w:rPr>
          <w:sz w:val="20"/>
          <w:szCs w:val="20"/>
          <w:color w:val="auto"/>
        </w:rPr>
      </w:pPr>
      <w:r>
        <w:rPr>
          <w:rFonts w:ascii="Arial" w:cs="Arial" w:eastAsia="Arial" w:hAnsi="Arial"/>
          <w:sz w:val="17"/>
          <w:szCs w:val="17"/>
          <w:color w:val="auto"/>
        </w:rPr>
        <w:t>the number of shares of our stock with respect to which the SAR was exercised. Payment will be in cash, shares of our stock or a combination thereof, as determined by the Compensation Committee. Dividends and dividend equivalents will not be payable with respect to SARs.</w:t>
      </w:r>
    </w:p>
    <w:p>
      <w:pPr>
        <w:spacing w:after="0" w:line="38" w:lineRule="exact"/>
        <w:rPr>
          <w:sz w:val="20"/>
          <w:szCs w:val="20"/>
          <w:color w:val="auto"/>
        </w:rPr>
      </w:pPr>
    </w:p>
    <w:p>
      <w:pPr>
        <w:ind w:right="80" w:firstLine="445"/>
        <w:spacing w:after="0" w:line="27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Compensation Committee may also make awards of RSUs. The settlement of RSUs may be satisfied by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stock, cash in an amount equal to the fair market value of the specified number of shares of our stock or a combination thereof, as determined by the Compensation Committee. Dividends and dividend equivalents will not be payable with respect to RSUs. However, the Compensation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68"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The Compensation Committee may also make awards that may be denominated or payable in, valued in whole or in part</w:t>
      </w:r>
      <w:r>
        <w:rPr>
          <w:rFonts w:ascii="Arial" w:cs="Arial" w:eastAsia="Arial" w:hAnsi="Arial"/>
          <w:sz w:val="18"/>
          <w:szCs w:val="18"/>
          <w:i w:val="1"/>
          <w:iCs w:val="1"/>
          <w:color w:val="auto"/>
        </w:rPr>
        <w:t xml:space="preserve"> </w:t>
      </w:r>
      <w:r>
        <w:rPr>
          <w:rFonts w:ascii="Arial" w:cs="Arial" w:eastAsia="Arial" w:hAnsi="Arial"/>
          <w:sz w:val="18"/>
          <w:szCs w:val="18"/>
          <w:color w:val="auto"/>
        </w:rPr>
        <w:t>by reference to, or otherwise based on, or related to, shares of our stock, including without limitation purchase rights for shares of our stock, awards with value and payment contingent upon performance of the Company or any other factors designated by the Compensation Committee, and awards valued by reference to the book value of a share of our stock.</w:t>
      </w:r>
    </w:p>
    <w:p>
      <w:pPr>
        <w:spacing w:after="0" w:line="79"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i w:val="1"/>
          <w:iCs w:val="1"/>
          <w:color w:val="auto"/>
        </w:rPr>
        <w:t xml:space="preserve">Awards to Non-Employee Directors. </w:t>
      </w:r>
      <w:r>
        <w:rPr>
          <w:rFonts w:ascii="Arial" w:cs="Arial" w:eastAsia="Arial" w:hAnsi="Arial"/>
          <w:sz w:val="16"/>
          <w:szCs w:val="16"/>
          <w:color w:val="auto"/>
        </w:rPr>
        <w:t>Non-employee directors are eligible to receive any type of award under the Plan other than ISOs. The grant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to a non-employee director, acting in his or her capacity as director, taken together with the cash fees paid to the non-employee director, cannot exceed $350,000 in the case of a non-employee director other than the Chairman of the Board or $500,000 in the case of the Chairman of the Board.</w:t>
      </w:r>
    </w:p>
    <w:p>
      <w:pPr>
        <w:spacing w:after="0" w:line="41" w:lineRule="exact"/>
        <w:rPr>
          <w:sz w:val="20"/>
          <w:szCs w:val="20"/>
          <w:color w:val="auto"/>
        </w:rPr>
      </w:pPr>
    </w:p>
    <w:p>
      <w:pPr>
        <w:ind w:right="40" w:firstLine="445"/>
        <w:spacing w:after="0" w:line="301" w:lineRule="auto"/>
        <w:rPr>
          <w:sz w:val="20"/>
          <w:szCs w:val="20"/>
          <w:color w:val="auto"/>
        </w:rPr>
      </w:pPr>
      <w:r>
        <w:rPr>
          <w:rFonts w:ascii="Arial" w:cs="Arial" w:eastAsia="Arial" w:hAnsi="Arial"/>
          <w:sz w:val="16"/>
          <w:szCs w:val="16"/>
          <w:i w:val="1"/>
          <w:iCs w:val="1"/>
          <w:color w:val="auto"/>
        </w:rPr>
        <w:t>Annual Incentive Awards</w:t>
      </w:r>
      <w:r>
        <w:rPr>
          <w:rFonts w:ascii="Arial" w:cs="Arial" w:eastAsia="Arial" w:hAnsi="Arial"/>
          <w:sz w:val="16"/>
          <w:szCs w:val="16"/>
          <w:color w:val="auto"/>
        </w:rPr>
        <w:t>. The Compensation Committee may also grant annual incentive awards of stock, cash or any combination of stock and cash</w:t>
      </w:r>
      <w:r>
        <w:rPr>
          <w:rFonts w:ascii="Arial" w:cs="Arial" w:eastAsia="Arial" w:hAnsi="Arial"/>
          <w:sz w:val="16"/>
          <w:szCs w:val="16"/>
          <w:i w:val="1"/>
          <w:iCs w:val="1"/>
          <w:color w:val="auto"/>
        </w:rPr>
        <w:t xml:space="preserve"> </w:t>
      </w:r>
      <w:r>
        <w:rPr>
          <w:rFonts w:ascii="Arial" w:cs="Arial" w:eastAsia="Arial" w:hAnsi="Arial"/>
          <w:sz w:val="16"/>
          <w:szCs w:val="16"/>
          <w:color w:val="auto"/>
        </w:rPr>
        <w:t>to our employees and other eligible persons, in such amounts and subject to such terms and conditions as the Compensation Committee may determine. The Compensation Committee shall establish the maximum level of annual incentive awards that may be granted for each year. The Compensation Committee may, in its sole discretion, reduce, but not increase, the annual incentive award payable to any participating employee during a year.</w:t>
      </w:r>
    </w:p>
    <w:p>
      <w:pPr>
        <w:spacing w:after="0" w:line="49"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i w:val="1"/>
          <w:iCs w:val="1"/>
          <w:color w:val="auto"/>
        </w:rPr>
        <w:t>Performance-Based Awards</w:t>
      </w:r>
      <w:r>
        <w:rPr>
          <w:rFonts w:ascii="Arial" w:cs="Arial" w:eastAsia="Arial" w:hAnsi="Arial"/>
          <w:sz w:val="16"/>
          <w:szCs w:val="16"/>
          <w:color w:val="auto"/>
        </w:rPr>
        <w:t>. The Plan allows the Compensation Committee to grant awards the vesting, exercise or settlement of which is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satisfaction of one or more performance conditions. The list of performance measures upon which performance goals may be based currently includes: (i) net earnings or net income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 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Compensation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74" w:lineRule="exact"/>
        <w:rPr>
          <w:sz w:val="20"/>
          <w:szCs w:val="20"/>
          <w:color w:val="auto"/>
        </w:rPr>
      </w:pPr>
    </w:p>
    <w:p>
      <w:pPr>
        <w:ind w:right="260" w:firstLine="405"/>
        <w:spacing w:after="0" w:line="342" w:lineRule="auto"/>
        <w:rPr>
          <w:sz w:val="20"/>
          <w:szCs w:val="20"/>
          <w:color w:val="auto"/>
        </w:rPr>
      </w:pPr>
      <w:r>
        <w:rPr>
          <w:rFonts w:ascii="Arial" w:cs="Arial" w:eastAsia="Arial" w:hAnsi="Arial"/>
          <w:sz w:val="16"/>
          <w:szCs w:val="16"/>
          <w:i w:val="1"/>
          <w:iCs w:val="1"/>
          <w:color w:val="auto"/>
        </w:rPr>
        <w:t>Discretionary Bonus Awards</w:t>
      </w:r>
      <w:r>
        <w:rPr>
          <w:rFonts w:ascii="Arial" w:cs="Arial" w:eastAsia="Arial" w:hAnsi="Arial"/>
          <w:sz w:val="16"/>
          <w:szCs w:val="16"/>
          <w:color w:val="auto"/>
        </w:rPr>
        <w:t>. The Compensation Committee may also grant discretionary bonus awards of stock, cash or any combination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to our officers and key employees in such amounts and subject to such terms and conditions as the Compensation Committee may determine.</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Material Federal Income Tax Consequences of the Plan</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following is a summary of the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881" w:right="339" w:bottom="1440" w:gutter="0" w:footer="0" w:header="0"/>
        </w:sectPr>
      </w:pPr>
    </w:p>
    <w:bookmarkStart w:id="44" w:name="page45"/>
    <w:bookmarkEnd w:id="44"/>
    <w:p>
      <w:pPr>
        <w:ind w:right="40" w:firstLine="445"/>
        <w:spacing w:after="0" w:line="284"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generally not recognize any taxable income upon either the grant or exercise of an ISO. However,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4" w:lineRule="exact"/>
        <w:rPr>
          <w:sz w:val="20"/>
          <w:szCs w:val="20"/>
          <w:color w:val="auto"/>
        </w:rPr>
      </w:pPr>
    </w:p>
    <w:p>
      <w:pPr>
        <w:ind w:right="180" w:firstLine="8"/>
        <w:spacing w:after="0" w:line="271" w:lineRule="auto"/>
        <w:tabs>
          <w:tab w:leader="none" w:pos="26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0"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A participant will not recognize any taxable income upon the grant of an NSO. In general, a participant will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76" w:lineRule="exact"/>
        <w:rPr>
          <w:sz w:val="20"/>
          <w:szCs w:val="20"/>
          <w:color w:val="auto"/>
        </w:rPr>
      </w:pPr>
    </w:p>
    <w:p>
      <w:pPr>
        <w:ind w:right="240" w:firstLine="445"/>
        <w:spacing w:after="0" w:line="301" w:lineRule="auto"/>
        <w:rPr>
          <w:sz w:val="20"/>
          <w:szCs w:val="20"/>
          <w:color w:val="auto"/>
        </w:rPr>
      </w:pPr>
      <w:r>
        <w:rPr>
          <w:rFonts w:ascii="Arial" w:cs="Arial" w:eastAsia="Arial" w:hAnsi="Arial"/>
          <w:sz w:val="16"/>
          <w:szCs w:val="16"/>
          <w:i w:val="1"/>
          <w:iCs w:val="1"/>
          <w:color w:val="auto"/>
        </w:rPr>
        <w:t xml:space="preserve">Annual Incentive Awards, Performance-Based Awards and Discretionary Bonus Awards. </w:t>
      </w:r>
      <w:r>
        <w:rPr>
          <w:rFonts w:ascii="Arial" w:cs="Arial" w:eastAsia="Arial" w:hAnsi="Arial"/>
          <w:sz w:val="16"/>
          <w:szCs w:val="16"/>
          <w:color w:val="auto"/>
        </w:rPr>
        <w:t>In general, a participant who receives cash pursuant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award made under the Plan will recognize ordinary income equal to the amount of cash that is received. Except as discussed below in the section entitled </w:t>
      </w:r>
      <w:r>
        <w:rPr>
          <w:rFonts w:ascii="Arial" w:cs="Arial" w:eastAsia="Arial" w:hAnsi="Arial"/>
          <w:sz w:val="16"/>
          <w:szCs w:val="16"/>
          <w:i w:val="1"/>
          <w:iCs w:val="1"/>
          <w:color w:val="auto"/>
        </w:rPr>
        <w:t>"Common Stock Subject to a Substantial Risk of Forfeiture,"</w:t>
      </w:r>
      <w:r>
        <w:rPr>
          <w:rFonts w:ascii="Arial" w:cs="Arial" w:eastAsia="Arial" w:hAnsi="Arial"/>
          <w:sz w:val="16"/>
          <w:szCs w:val="16"/>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49"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i w:val="1"/>
          <w:iCs w:val="1"/>
          <w:color w:val="auto"/>
        </w:rPr>
        <w:t xml:space="preserve">Common Stock Subject to a Substantial Risk of Forfeiture. </w:t>
      </w:r>
      <w:r>
        <w:rPr>
          <w:rFonts w:ascii="Arial" w:cs="Arial" w:eastAsia="Arial" w:hAnsi="Arial"/>
          <w:sz w:val="16"/>
          <w:szCs w:val="16"/>
          <w:color w:val="auto"/>
        </w:rPr>
        <w:t>In general, if a participant receives common stock pursuant to an award made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5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i w:val="1"/>
          <w:iCs w:val="1"/>
          <w:color w:val="auto"/>
        </w:rPr>
        <w:t xml:space="preserve">Availability of Tax Deduction for Westwood. </w:t>
      </w:r>
      <w:r>
        <w:rPr>
          <w:rFonts w:ascii="Arial" w:cs="Arial" w:eastAsia="Arial" w:hAnsi="Arial"/>
          <w:sz w:val="17"/>
          <w:szCs w:val="17"/>
          <w:color w:val="auto"/>
        </w:rPr>
        <w:t>When ordinary income is recognized by a participant in connection with the receipt or exercise of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68"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Our obligation to make payments or issue shares in connection with any award will be subject to and conditioned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applicable tax withholding obligations. The Compensation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Plan Benefits</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Future awards that may be made to eligible participants under the Plan are subject to the discretion of the Compensation Committee, and, therefore, cannot be determined with certainty at this time. Awards made under the Plan in 2019 to our Named Executive Officers are set forth under the "2019 Grants of Plan Based Awards" table.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88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approval of the Plan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a vote against this Proposal.</w:t>
      </w:r>
    </w:p>
    <w:p>
      <w:pPr>
        <w:spacing w:after="0" w:line="207" w:lineRule="exact"/>
        <w:rPr>
          <w:sz w:val="20"/>
          <w:szCs w:val="20"/>
          <w:color w:val="auto"/>
        </w:rPr>
      </w:pPr>
    </w:p>
    <w:p>
      <w:pPr>
        <w:jc w:val="center"/>
        <w:ind w:left="340" w:right="152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OF THE SEVENTH AMENDED AND RESTATED WESTWOOD HOLDINGS GROUP, INC. STOCK INCENTIVE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553" w:right="3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PROPOSAL 4:</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62"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The Compensation Committee has structured our executive compensation program to reflect our "pay-for-performance" philosophy. The compensation opportunities provided to the named executive officers are significantly dependent on the Company’s financial performance and the named executive officers’ individual performance and are intended to drive the creation of sustainable stockholder value. The Compensation Committee will continue to emphasize responsible compensation arrangements that attract, retain, and motivate high caliber executive officers to achieve the Company’s business strategies and objectives.</w:t>
      </w:r>
    </w:p>
    <w:p>
      <w:pPr>
        <w:spacing w:after="0" w:line="8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You have the opportunity to vote "FOR" or "AGAINST" or to "ABSTAIN" from voting on the following non-binding resolution relating to executive compensation:</w:t>
      </w:r>
    </w:p>
    <w:p>
      <w:pPr>
        <w:spacing w:after="0" w:line="62" w:lineRule="exact"/>
        <w:rPr>
          <w:sz w:val="20"/>
          <w:szCs w:val="20"/>
          <w:color w:val="auto"/>
        </w:rPr>
      </w:pPr>
    </w:p>
    <w:p>
      <w:pPr>
        <w:jc w:val="both"/>
        <w:ind w:left="420" w:right="320"/>
        <w:spacing w:after="0" w:line="286" w:lineRule="auto"/>
        <w:rPr>
          <w:sz w:val="20"/>
          <w:szCs w:val="20"/>
          <w:color w:val="auto"/>
        </w:rPr>
      </w:pPr>
      <w:r>
        <w:rPr>
          <w:rFonts w:ascii="Arial" w:cs="Arial" w:eastAsia="Arial" w:hAnsi="Arial"/>
          <w:sz w:val="17"/>
          <w:szCs w:val="17"/>
          <w:color w:val="auto"/>
        </w:rPr>
        <w:t>"Resolved, that the stockholders approve, on a non-binding, advisory basis, the compensation paid to the Company’s named executive officers as disclosed in the Company’s proxy statement for the 2020 Annual Meeting of Stockholders pursuant to Item 402 of Regulation S-K, including the compensation discussion and analysis, the compensation tables, and the narrative discussion."</w:t>
      </w:r>
    </w:p>
    <w:p>
      <w:pPr>
        <w:spacing w:after="0" w:line="57"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In deciding how to vote on this proposal, you are encouraged to consider the Company’s executive compensation philosophy and objectives and the components of the Company’s executive compensation program as set forth in the Compensation Discussion and Analysis section above, as well as the following key aspects of our executive compensation program:</w:t>
      </w:r>
    </w:p>
    <w:p>
      <w:pPr>
        <w:spacing w:after="0" w:line="76" w:lineRule="exact"/>
        <w:rPr>
          <w:sz w:val="20"/>
          <w:szCs w:val="20"/>
          <w:color w:val="auto"/>
        </w:rPr>
      </w:pPr>
    </w:p>
    <w:p>
      <w:pPr>
        <w:jc w:val="both"/>
        <w:ind w:left="1300" w:right="80" w:hanging="644"/>
        <w:spacing w:after="0" w:line="263"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significant portion of each named executive officer's total direct compensation -- approximately 52% to 59% (excluding Mr. Casey as discussed above in "Compensation Discussion and Analysis") -- was "at risk" compensation in 2019, delivered in the form of an annual cash incentive award and an annual equity incentive award.</w:t>
      </w:r>
    </w:p>
    <w:p>
      <w:pPr>
        <w:spacing w:after="0" w:line="75" w:lineRule="exact"/>
        <w:rPr>
          <w:rFonts w:ascii="Arial" w:cs="Arial" w:eastAsia="Arial" w:hAnsi="Arial"/>
          <w:sz w:val="18"/>
          <w:szCs w:val="18"/>
          <w:color w:val="auto"/>
        </w:rPr>
      </w:pPr>
    </w:p>
    <w:p>
      <w:pPr>
        <w:ind w:left="1300" w:right="60" w:hanging="644"/>
        <w:spacing w:after="0" w:line="263"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2019, Mr. Casey declined to accept participation in any short- or long-term incentive awards in light of the challenging business conditions the Company faced. As a result, Mr. Casey did not receive an annual cash incentive award or restricted stock award for 2019, resulting in a significant decrease in his overall compensation.</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 the past three years, the named executive officers have not received significant perquisites.</w:t>
      </w:r>
    </w:p>
    <w:p>
      <w:pPr>
        <w:spacing w:after="0" w:line="117" w:lineRule="exact"/>
        <w:rPr>
          <w:rFonts w:ascii="Arial" w:cs="Arial" w:eastAsia="Arial" w:hAnsi="Arial"/>
          <w:sz w:val="18"/>
          <w:szCs w:val="18"/>
          <w:color w:val="auto"/>
        </w:rPr>
      </w:pPr>
    </w:p>
    <w:p>
      <w:pPr>
        <w:ind w:left="1300" w:hanging="644"/>
        <w:spacing w:after="0" w:line="257" w:lineRule="auto"/>
        <w:tabs>
          <w:tab w:leader="none" w:pos="129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Compensation Committee endeavors to structure the Company's executive compensation program to motivate and reward our executive officers for taking appropriate business risks, while avoiding pay practices that incentivize excessive risk-taking. In connection with the Compensation Committee's review of our compensation policies and practices for all employees in February 2020, the Compensation Committee concluded that these policies and practices do not create risks that are reasonably likely to have a material adverse effect on the Company.</w:t>
      </w:r>
    </w:p>
    <w:p>
      <w:pPr>
        <w:spacing w:after="0" w:line="80"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While your vote on this proposal is advisory and will not be binding on the Compensation Committee, the Board of Directors or the Company, the Compensation Committee values the opinions of our stockholders on executive compensation matters and will take the results of this advisory vote into consideration when making future decisions regarding our executive compensation program.</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320" w:top="877"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Vote Sought and Recommendation</w:t>
      </w:r>
    </w:p>
    <w:p>
      <w:pPr>
        <w:spacing w:after="0" w:line="121" w:lineRule="exact"/>
        <w:rPr>
          <w:sz w:val="20"/>
          <w:szCs w:val="20"/>
          <w:color w:val="auto"/>
        </w:rPr>
      </w:pPr>
    </w:p>
    <w:p>
      <w:pPr>
        <w:ind w:right="680" w:firstLine="405"/>
        <w:spacing w:after="0" w:line="308" w:lineRule="auto"/>
        <w:rPr>
          <w:sz w:val="20"/>
          <w:szCs w:val="20"/>
          <w:color w:val="auto"/>
        </w:rPr>
      </w:pPr>
      <w:r>
        <w:rPr>
          <w:rFonts w:ascii="Arial" w:cs="Arial" w:eastAsia="Arial" w:hAnsi="Arial"/>
          <w:sz w:val="17"/>
          <w:szCs w:val="17"/>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34" w:lineRule="exact"/>
        <w:rPr>
          <w:sz w:val="20"/>
          <w:szCs w:val="20"/>
          <w:color w:val="auto"/>
        </w:rPr>
      </w:pPr>
    </w:p>
    <w:p>
      <w:pPr>
        <w:jc w:val="center"/>
        <w:ind w:left="340"/>
        <w:spacing w:after="0" w:line="266"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No member of our Compensation Committee is a current or former officer or employee of Westwood or its subsidiaries or has had a relationship requiring disclosure by Westwood under applicable federal securities regulations. No executive officer of Westwood served as a director or member of the Compensation Committee of any entity that has one or more executive officers serving as a member of our Board of Directors or Compensation Committee. For 2019, the members of our Compensation Committee were Messrs. Frank (Chairman), Norman and Wooldridge, and Ms. Masterson.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53" w:right="339" w:bottom="1440" w:gutter="0" w:footer="0" w:header="0"/>
        </w:sectPr>
      </w:pPr>
    </w:p>
    <w:bookmarkStart w:id="48" w:name="page49"/>
    <w:bookmarkEnd w:id="48"/>
    <w:p>
      <w:pPr>
        <w:ind w:right="3040" w:firstLine="3050"/>
        <w:spacing w:after="0" w:line="378" w:lineRule="auto"/>
        <w:rPr>
          <w:sz w:val="20"/>
          <w:szCs w:val="20"/>
          <w:color w:val="auto"/>
        </w:rPr>
      </w:pPr>
      <w:r>
        <w:rPr>
          <w:rFonts w:ascii="Arial" w:cs="Arial" w:eastAsia="Arial" w:hAnsi="Arial"/>
          <w:sz w:val="18"/>
          <w:szCs w:val="18"/>
          <w:b w:val="1"/>
          <w:bCs w:val="1"/>
          <w:color w:val="auto"/>
        </w:rPr>
        <w:t>CERTAIN RELATIONSHIPS AND RELATED TRANSACTIONS Other Relationships and Related Transactions</w:t>
      </w:r>
    </w:p>
    <w:p>
      <w:pPr>
        <w:ind w:right="300" w:firstLine="405"/>
        <w:spacing w:after="0" w:line="263" w:lineRule="auto"/>
        <w:rPr>
          <w:sz w:val="20"/>
          <w:szCs w:val="20"/>
          <w:color w:val="auto"/>
        </w:rPr>
      </w:pPr>
      <w:r>
        <w:rPr>
          <w:rFonts w:ascii="Arial" w:cs="Arial" w:eastAsia="Arial" w:hAnsi="Arial"/>
          <w:sz w:val="18"/>
          <w:szCs w:val="18"/>
          <w:color w:val="auto"/>
        </w:rPr>
        <w:t>John Porter Montgomery, the stepson of our Vice Chairman Ms. Byrne, was employed by Westwood Trust (Dallas), a wholly-owned subsidiary of Westwood Holdings Group, Inc., throughout 2019 and received total compensation of $538,791. He currently serves as President of Westwood Trust (Dallas) and is compensated in a manner consistent with our policies that apply to all employees.</w:t>
      </w:r>
    </w:p>
    <w:p>
      <w:pPr>
        <w:spacing w:after="0" w:line="7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earned revenues from an affiliate of a 5% beneficial owner, GAMCO Investors, Inc., in the amount of $268,000 during fiscal year 2019 in connection with subadvisory services provided by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Accounts</w:t>
      </w:r>
    </w:p>
    <w:p>
      <w:pPr>
        <w:spacing w:after="0" w:line="121"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our other select clients who are not members of our Board of Directors or executive officers.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12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All future material transactions involving affiliated parties will be subject to approval by a majority of our disinterested directors. We have a written policy, entitled the “Conflict of Interest Policy,” that addresses the review and approval of related party transactions. The Conflict of Interest Policy provides that, except with the Board of Directors’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as a whole, and specifically includes all related party transactions and relationships that we are required to disclose in our proxy statement.</w:t>
      </w:r>
    </w:p>
    <w:p>
      <w:pPr>
        <w:spacing w:after="0" w:line="70"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the event the Board of Directors’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34"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As of March 2, 2020, there were 9,120,920 shares of common stock issued and entitled to vote at the annual meeting. Except where otherwise indicated, the following table sets forth certain information as of March 2, 2020 regarding beneficial ownership of the common stock and the percentage of total voting power held by:</w:t>
      </w:r>
    </w:p>
    <w:p>
      <w:pPr>
        <w:spacing w:after="0" w:line="76"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stockholder known by us to own more than five percent (5%) of outstanding common stock;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director and director nominee;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Unless otherwise noted, the persons named below have sole voting and investment power with respect to such shares.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440" w:type="dxa"/>
            <w:vAlign w:val="bottom"/>
            <w:vMerge w:val="restart"/>
          </w:tcPr>
          <w:p>
            <w:pPr>
              <w:ind w:left="3660"/>
              <w:spacing w:after="0"/>
              <w:rPr>
                <w:sz w:val="20"/>
                <w:szCs w:val="20"/>
                <w:color w:val="auto"/>
              </w:rPr>
            </w:pPr>
            <w:r>
              <w:rPr>
                <w:rFonts w:ascii="Arial" w:cs="Arial" w:eastAsia="Arial" w:hAnsi="Arial"/>
                <w:sz w:val="14"/>
                <w:szCs w:val="14"/>
                <w:b w:val="1"/>
                <w:bCs w:val="1"/>
                <w:color w:val="auto"/>
              </w:rPr>
              <w:t>Beneficial Owners</w:t>
            </w:r>
          </w:p>
        </w:tc>
        <w:tc>
          <w:tcPr>
            <w:tcW w:w="10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Class</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5% Beneficial Owners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BlackRock, Inc.</w:t>
            </w:r>
            <w:r>
              <w:rPr>
                <w:rFonts w:ascii="Arial" w:cs="Arial" w:eastAsia="Arial" w:hAnsi="Arial"/>
                <w:sz w:val="23"/>
                <w:szCs w:val="23"/>
                <w:color w:val="auto"/>
                <w:vertAlign w:val="superscript"/>
              </w:rPr>
              <w:t>(2)(3)</w:t>
            </w:r>
          </w:p>
        </w:tc>
        <w:tc>
          <w:tcPr>
            <w:tcW w:w="1480" w:type="dxa"/>
            <w:vAlign w:val="bottom"/>
          </w:tcPr>
          <w:p>
            <w:pPr>
              <w:jc w:val="right"/>
              <w:spacing w:after="0"/>
              <w:rPr>
                <w:sz w:val="20"/>
                <w:szCs w:val="20"/>
                <w:color w:val="auto"/>
              </w:rPr>
            </w:pPr>
            <w:r>
              <w:rPr>
                <w:rFonts w:ascii="Arial" w:cs="Arial" w:eastAsia="Arial" w:hAnsi="Arial"/>
                <w:sz w:val="18"/>
                <w:szCs w:val="18"/>
                <w:color w:val="auto"/>
              </w:rPr>
              <w:t>728,814</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Renaissance Technologies LLC</w:t>
            </w:r>
            <w:r>
              <w:rPr>
                <w:rFonts w:ascii="Arial" w:cs="Arial" w:eastAsia="Arial" w:hAnsi="Arial"/>
                <w:sz w:val="23"/>
                <w:szCs w:val="23"/>
                <w:color w:val="auto"/>
                <w:vertAlign w:val="superscript"/>
              </w:rPr>
              <w:t>(2)(7)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710,122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23"/>
                <w:szCs w:val="23"/>
                <w:color w:val="auto"/>
                <w:vertAlign w:val="superscript"/>
              </w:rPr>
              <w:t>(2)(4)</w:t>
            </w:r>
          </w:p>
        </w:tc>
        <w:tc>
          <w:tcPr>
            <w:tcW w:w="1480" w:type="dxa"/>
            <w:vAlign w:val="bottom"/>
          </w:tcPr>
          <w:p>
            <w:pPr>
              <w:jc w:val="right"/>
              <w:spacing w:after="0"/>
              <w:rPr>
                <w:sz w:val="20"/>
                <w:szCs w:val="20"/>
                <w:color w:val="auto"/>
              </w:rPr>
            </w:pPr>
            <w:r>
              <w:rPr>
                <w:rFonts w:ascii="Arial" w:cs="Arial" w:eastAsia="Arial" w:hAnsi="Arial"/>
                <w:sz w:val="18"/>
                <w:szCs w:val="18"/>
                <w:color w:val="auto"/>
              </w:rPr>
              <w:t>619,348</w:t>
            </w:r>
          </w:p>
        </w:tc>
        <w:tc>
          <w:tcPr>
            <w:tcW w:w="12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0"/>
        </w:trPr>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GAMCO Investors, Inc.</w:t>
            </w:r>
            <w:r>
              <w:rPr>
                <w:rFonts w:ascii="Arial" w:cs="Arial" w:eastAsia="Arial" w:hAnsi="Arial"/>
                <w:sz w:val="23"/>
                <w:szCs w:val="23"/>
                <w:color w:val="auto"/>
                <w:vertAlign w:val="superscript"/>
              </w:rPr>
              <w:t>(2)(5)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557,291</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23"/>
                <w:szCs w:val="23"/>
                <w:color w:val="auto"/>
                <w:vertAlign w:val="superscript"/>
              </w:rPr>
              <w:t>(2)(6)</w:t>
            </w:r>
          </w:p>
        </w:tc>
        <w:tc>
          <w:tcPr>
            <w:tcW w:w="1480" w:type="dxa"/>
            <w:vAlign w:val="bottom"/>
          </w:tcPr>
          <w:p>
            <w:pPr>
              <w:jc w:val="right"/>
              <w:spacing w:after="0"/>
              <w:rPr>
                <w:sz w:val="20"/>
                <w:szCs w:val="20"/>
                <w:color w:val="auto"/>
              </w:rPr>
            </w:pPr>
            <w:r>
              <w:rPr>
                <w:rFonts w:ascii="Arial" w:cs="Arial" w:eastAsia="Arial" w:hAnsi="Arial"/>
                <w:sz w:val="18"/>
                <w:szCs w:val="18"/>
                <w:color w:val="auto"/>
              </w:rPr>
              <w:t>457,975</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854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b w:val="1"/>
                <w:bCs w:val="1"/>
                <w:color w:val="auto"/>
              </w:rPr>
              <w:t>Directors and Named Executive Officers</w:t>
            </w:r>
            <w:r>
              <w:rPr>
                <w:rFonts w:ascii="Arial" w:cs="Arial" w:eastAsia="Arial" w:hAnsi="Arial"/>
                <w:sz w:val="23"/>
                <w:szCs w:val="23"/>
                <w:b w:val="1"/>
                <w:bCs w:val="1"/>
                <w:color w:val="auto"/>
                <w:vertAlign w:val="superscript"/>
              </w:rPr>
              <w:t>(1)</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Brian O. Casey</w:t>
            </w:r>
          </w:p>
        </w:tc>
        <w:tc>
          <w:tcPr>
            <w:tcW w:w="1480" w:type="dxa"/>
            <w:vAlign w:val="bottom"/>
          </w:tcPr>
          <w:p>
            <w:pPr>
              <w:jc w:val="right"/>
              <w:spacing w:after="0"/>
              <w:rPr>
                <w:sz w:val="20"/>
                <w:szCs w:val="20"/>
                <w:color w:val="auto"/>
              </w:rPr>
            </w:pPr>
            <w:r>
              <w:rPr>
                <w:rFonts w:ascii="Arial" w:cs="Arial" w:eastAsia="Arial" w:hAnsi="Arial"/>
                <w:sz w:val="18"/>
                <w:szCs w:val="18"/>
                <w:color w:val="auto"/>
              </w:rPr>
              <w:t>364,088</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Terry Forbes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Fabian Gomez</w:t>
            </w:r>
          </w:p>
        </w:tc>
        <w:tc>
          <w:tcPr>
            <w:tcW w:w="1480" w:type="dxa"/>
            <w:vAlign w:val="bottom"/>
          </w:tcPr>
          <w:p>
            <w:pPr>
              <w:jc w:val="right"/>
              <w:spacing w:after="0"/>
              <w:rPr>
                <w:sz w:val="20"/>
                <w:szCs w:val="20"/>
                <w:color w:val="auto"/>
              </w:rPr>
            </w:pPr>
            <w:r>
              <w:rPr>
                <w:rFonts w:ascii="Arial" w:cs="Arial" w:eastAsia="Arial" w:hAnsi="Arial"/>
                <w:sz w:val="18"/>
                <w:szCs w:val="18"/>
                <w:color w:val="auto"/>
              </w:rPr>
              <w:t>28,635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Steven Paddon</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13,893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Julie K. Gerron</w:t>
            </w:r>
          </w:p>
        </w:tc>
        <w:tc>
          <w:tcPr>
            <w:tcW w:w="1480" w:type="dxa"/>
            <w:vAlign w:val="bottom"/>
          </w:tcPr>
          <w:p>
            <w:pPr>
              <w:jc w:val="right"/>
              <w:spacing w:after="0"/>
              <w:rPr>
                <w:sz w:val="20"/>
                <w:szCs w:val="20"/>
                <w:color w:val="auto"/>
              </w:rPr>
            </w:pPr>
            <w:r>
              <w:rPr>
                <w:rFonts w:ascii="Arial" w:cs="Arial" w:eastAsia="Arial" w:hAnsi="Arial"/>
                <w:sz w:val="18"/>
                <w:szCs w:val="18"/>
                <w:color w:val="auto"/>
              </w:rPr>
              <w:t>38,755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Richard M. Frank</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Susan M. Byrne</w:t>
            </w:r>
          </w:p>
        </w:tc>
        <w:tc>
          <w:tcPr>
            <w:tcW w:w="1480" w:type="dxa"/>
            <w:vAlign w:val="bottom"/>
          </w:tcPr>
          <w:p>
            <w:pPr>
              <w:jc w:val="right"/>
              <w:spacing w:after="0"/>
              <w:rPr>
                <w:sz w:val="20"/>
                <w:szCs w:val="20"/>
                <w:color w:val="auto"/>
              </w:rPr>
            </w:pPr>
            <w:r>
              <w:rPr>
                <w:rFonts w:ascii="Arial" w:cs="Arial" w:eastAsia="Arial" w:hAnsi="Arial"/>
                <w:sz w:val="18"/>
                <w:szCs w:val="18"/>
                <w:color w:val="auto"/>
              </w:rPr>
              <w:t>247,293</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Ellen H. Masterson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Geoffrey R. Norman</w:t>
            </w:r>
          </w:p>
        </w:tc>
        <w:tc>
          <w:tcPr>
            <w:tcW w:w="1480" w:type="dxa"/>
            <w:vAlign w:val="bottom"/>
          </w:tcPr>
          <w:p>
            <w:pPr>
              <w:jc w:val="right"/>
              <w:spacing w:after="0"/>
              <w:rPr>
                <w:sz w:val="20"/>
                <w:szCs w:val="20"/>
                <w:color w:val="auto"/>
              </w:rPr>
            </w:pPr>
            <w:r>
              <w:rPr>
                <w:rFonts w:ascii="Arial" w:cs="Arial" w:eastAsia="Arial" w:hAnsi="Arial"/>
                <w:sz w:val="18"/>
                <w:szCs w:val="18"/>
                <w:color w:val="auto"/>
              </w:rPr>
              <w:t>13,696</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Raymond E. Wooldridge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53,261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All directors and named executive officers as a group (10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816,828</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9"/>
          <w:szCs w:val="9"/>
          <w:color w:val="auto"/>
        </w:rPr>
        <w:t>___________________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9" w:lineRule="exact"/>
        <w:rPr>
          <w:sz w:val="20"/>
          <w:szCs w:val="20"/>
          <w:color w:val="auto"/>
        </w:rPr>
      </w:pPr>
    </w:p>
    <w:p>
      <w:pPr>
        <w:ind w:left="200" w:hanging="192"/>
        <w:spacing w:after="0"/>
        <w:tabs>
          <w:tab w:leader="none" w:pos="2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address of each director and named executive officer is 200 Crescent Court, Suite 1200, Dallas, Texas, 75201.</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beneficial ownership information reported for this stockholder is based upon the most recent Form 13F, Schedule 13G or Schedule 13D filed with the SEC by such stockholder.</w:t>
      </w:r>
    </w:p>
    <w:p>
      <w:pPr>
        <w:spacing w:after="0" w:line="12" w:lineRule="exact"/>
        <w:rPr>
          <w:rFonts w:ascii="Arial" w:cs="Arial" w:eastAsia="Arial" w:hAnsi="Arial"/>
          <w:sz w:val="13"/>
          <w:szCs w:val="13"/>
          <w:color w:val="auto"/>
        </w:rPr>
      </w:pPr>
    </w:p>
    <w:p>
      <w:pPr>
        <w:ind w:left="500" w:right="80" w:hanging="492"/>
        <w:spacing w:after="0" w:line="241" w:lineRule="auto"/>
        <w:tabs>
          <w:tab w:leader="none" w:pos="215"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address of BlackRock, Inc. is 55 East 52</w:t>
      </w:r>
      <w:r>
        <w:rPr>
          <w:rFonts w:ascii="Arial" w:cs="Arial" w:eastAsia="Arial" w:hAnsi="Arial"/>
          <w:sz w:val="9"/>
          <w:szCs w:val="9"/>
          <w:color w:val="auto"/>
        </w:rPr>
        <w:t>nd</w:t>
      </w:r>
      <w:r>
        <w:rPr>
          <w:rFonts w:ascii="Arial" w:cs="Arial" w:eastAsia="Arial" w:hAnsi="Arial"/>
          <w:sz w:val="14"/>
          <w:szCs w:val="14"/>
          <w:color w:val="auto"/>
        </w:rPr>
        <w:t xml:space="preserve"> Street, New York, New York 10055. On February 6, 2020, BlackRock, Inc. reported its beneficial ownership, indicating that it held sole voting power over 699,307 shares and sole dispositive power over 728,814 shares.</w:t>
      </w:r>
    </w:p>
    <w:p>
      <w:pPr>
        <w:ind w:left="500" w:hanging="492"/>
        <w:spacing w:after="0" w:line="241" w:lineRule="auto"/>
        <w:tabs>
          <w:tab w:leader="none" w:pos="215"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address of Wells Fargo &amp; Company is 420 Montgomery Street, San Francisco, CA 94163. On February 4, 2020, Wells Fargo &amp; Company reported its beneficial ownership, indicating that it held sole voting and sole dispositive power over 12,995 shares and shared dispositive power over 606,353 shares.</w:t>
      </w:r>
    </w:p>
    <w:p>
      <w:pPr>
        <w:ind w:left="500" w:right="120" w:hanging="492"/>
        <w:spacing w:after="0" w:line="241" w:lineRule="auto"/>
        <w:tabs>
          <w:tab w:leader="none" w:pos="215"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address of GAMCO Investors, Inc., or GAMCO is One Corporate Center, Rye, NY 10580. On February 14, 2020, GAMCO reported its beneficial ownership, indicating that it held sole voting power over 557,291 shares.</w:t>
      </w:r>
    </w:p>
    <w:p>
      <w:pPr>
        <w:ind w:left="500" w:right="320" w:hanging="492"/>
        <w:spacing w:after="0" w:line="241" w:lineRule="auto"/>
        <w:tabs>
          <w:tab w:leader="none" w:pos="215"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address of The Vanguard Group is 100 Vanguard Blvd. Malvern, PA 19355. On February 11, 2020, The Vanguard Group reported its beneficial ownership, indicating that it held sole voting power over 8,529 shares and sole dispositive power over 450,122 shares.</w:t>
      </w:r>
    </w:p>
    <w:p>
      <w:pPr>
        <w:ind w:left="500" w:right="560" w:hanging="492"/>
        <w:spacing w:after="0" w:line="293" w:lineRule="auto"/>
        <w:tabs>
          <w:tab w:leader="none" w:pos="215"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address of Renaissance Technologies LLC is 800 Third Avenue, New York, NY 10022. On February 13, 2020, Renaissance Technologies LLC reported its beneficial ownership, indicating that it held sole voting power over 688,960 shares, sole dispositive power over 707,812 shares and shared dispositive power over 2,310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039" w:right="3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right="340" w:firstLine="445"/>
        <w:spacing w:after="0" w:line="259" w:lineRule="auto"/>
        <w:rPr>
          <w:sz w:val="20"/>
          <w:szCs w:val="20"/>
          <w:color w:val="auto"/>
        </w:rPr>
      </w:pPr>
      <w:r>
        <w:rPr>
          <w:rFonts w:ascii="Arial" w:cs="Arial" w:eastAsia="Arial" w:hAnsi="Arial"/>
          <w:sz w:val="18"/>
          <w:szCs w:val="18"/>
          <w:color w:val="auto"/>
        </w:rPr>
        <w:t>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westwoodgroup.com under the corporate governance section. The Audit Committee reviews the adequacy of and compliance with such charter annually.</w:t>
      </w:r>
    </w:p>
    <w:p>
      <w:pPr>
        <w:spacing w:after="0" w:line="79"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discharging its oversight responsibilities, the Audit Committee reviewed and discussed the audited consolidated financial statements of Westwood Holdings Group, Inc. ("Westwood") as of and for the fiscal year ended December 31, 2019 with management and the independent auditors Deloitte.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Deloitte is responsible for auditing those financial statements, and expressing an opinion on the conformity of the financial statements with GAAP, as well as opining on the effectiveness of our system of internal control over financial reporting.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77"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the work of Deloitte. As part of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Deloitte the overall scope and plan for their audits and met with the firm throughout the year, with and without management present, to monitor the firm's progress and results obtained from their audits.</w:t>
      </w:r>
    </w:p>
    <w:p>
      <w:pPr>
        <w:spacing w:after="0" w:line="80"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The Audit Committee received from Deloitte a formal written statement describing all relationships between the firm and Westwood that might bear on the auditors’ independence consistent with Independent Standards Board Standard No. 1, discussed with Deloitte any relationships that might impact their objectivity and independence and, based on such information, satisfied itself as to Deloitte’s independence. The Audit Committee also approved in advance all audit and permitted non-audit services to be provided and concluded that Deloitte's provision of other permitted non-audit services to Westwood and related entities is compatible with Deloitte's independence.</w:t>
      </w:r>
    </w:p>
    <w:p>
      <w:pPr>
        <w:spacing w:after="0" w:line="80" w:lineRule="exact"/>
        <w:rPr>
          <w:sz w:val="20"/>
          <w:szCs w:val="20"/>
          <w:color w:val="auto"/>
        </w:rPr>
      </w:pPr>
    </w:p>
    <w:p>
      <w:pPr>
        <w:ind w:right="460" w:firstLine="445"/>
        <w:spacing w:after="0" w:line="308" w:lineRule="auto"/>
        <w:rPr>
          <w:sz w:val="20"/>
          <w:szCs w:val="20"/>
          <w:color w:val="auto"/>
        </w:rPr>
      </w:pPr>
      <w:r>
        <w:rPr>
          <w:rFonts w:ascii="Arial" w:cs="Arial" w:eastAsia="Arial" w:hAnsi="Arial"/>
          <w:sz w:val="17"/>
          <w:szCs w:val="17"/>
          <w:color w:val="auto"/>
        </w:rPr>
        <w:t>The Audit Committee discussed with management, Westwood’s internal auditors and Deloitte the quality and adequacy of Westwood’s internal controls over financial reporting and the audit scope and plans for audits performed by the internal auditors and Deloitte.</w:t>
      </w:r>
    </w:p>
    <w:p>
      <w:pPr>
        <w:spacing w:after="0" w:line="38"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The Audit Committee also discussed with Deloitte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76" w:lineRule="exact"/>
        <w:rPr>
          <w:sz w:val="20"/>
          <w:szCs w:val="20"/>
          <w:color w:val="auto"/>
        </w:rPr>
      </w:pPr>
    </w:p>
    <w:p>
      <w:pPr>
        <w:ind w:right="160" w:firstLine="445"/>
        <w:spacing w:after="0" w:line="288" w:lineRule="auto"/>
        <w:rPr>
          <w:sz w:val="20"/>
          <w:szCs w:val="20"/>
          <w:color w:val="auto"/>
        </w:rPr>
      </w:pPr>
      <w:r>
        <w:rPr>
          <w:rFonts w:ascii="Arial" w:cs="Arial" w:eastAsia="Arial" w:hAnsi="Arial"/>
          <w:sz w:val="16"/>
          <w:szCs w:val="16"/>
          <w:color w:val="auto"/>
        </w:rPr>
        <w:t>For the fiscal year 2019,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Deloitte. At the conclusion of the process, management provided the Audit Committee with a report on management’s assessment of the effectiveness of Westwood’s internal control over financial reporting as of December 31, 2019. The Audit Committee discussed with management and Deloitte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Deloitte prior to earnings announcements throughout the year.</w:t>
      </w:r>
    </w:p>
    <w:p>
      <w:pPr>
        <w:spacing w:after="0" w:line="60"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Based upon the above-mentioned review and discussions with management and Deloitte, the Audit Committee recommended to the Board of Directors that Westwood’s audited consolidated financial statements be included in its Annual Report on Form 10-K for the fiscal year ended December 31, 2019,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4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Ellen H. Masterson, Chairperson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M. Frank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Geoffrey R. Norman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E. Wooldridge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19"/>
          </w:cols>
          <w:pgMar w:left="340" w:top="665" w:right="1440"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200" w:firstLine="405"/>
        <w:spacing w:after="0" w:line="311" w:lineRule="auto"/>
        <w:rPr>
          <w:sz w:val="20"/>
          <w:szCs w:val="20"/>
          <w:color w:val="auto"/>
        </w:rPr>
      </w:pPr>
      <w:r>
        <w:rPr>
          <w:rFonts w:ascii="Arial" w:cs="Arial" w:eastAsia="Arial" w:hAnsi="Arial"/>
          <w:sz w:val="16"/>
          <w:szCs w:val="16"/>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41"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Included in the Proxy Statement</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To be considered for inclusion in next year's proxy statement, stockholder proposals must be received at our principal executive offices no later than the close of business on November 6, 2020. Proposals should be submitted in writing to 200 Crescent Court, Suite 1200, Dallas, Texas 75201, Attn: Corporate Secretary. In order to be included in next year's proxy statement, stockholder proposals must comply with all applicable legal requirements, including Rule 14a-8 under the Exchange Act. Timely submission of a proposal does not guarantee that such proposal will be included.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Not Included in Proxy Statement</w:t>
      </w:r>
    </w:p>
    <w:p>
      <w:pPr>
        <w:spacing w:after="0" w:line="121" w:lineRule="exact"/>
        <w:rPr>
          <w:sz w:val="20"/>
          <w:szCs w:val="20"/>
          <w:color w:val="auto"/>
        </w:rPr>
      </w:pPr>
    </w:p>
    <w:p>
      <w:pPr>
        <w:jc w:val="both"/>
        <w:ind w:right="200" w:firstLine="405"/>
        <w:spacing w:after="0" w:line="263" w:lineRule="auto"/>
        <w:rPr>
          <w:sz w:val="20"/>
          <w:szCs w:val="20"/>
          <w:color w:val="auto"/>
        </w:rPr>
      </w:pPr>
      <w:r>
        <w:rPr>
          <w:rFonts w:ascii="Arial" w:cs="Arial" w:eastAsia="Arial" w:hAnsi="Arial"/>
          <w:sz w:val="18"/>
          <w:szCs w:val="18"/>
          <w:color w:val="auto"/>
        </w:rPr>
        <w:t>If Westwood does not receive notice of a stockholder proposal at least 45 calendar days before the mailing date of the proxy statement for the prior year's annual meeting, then your proxy will confer discretionary authority on the person(s) named in the form of proxy for the annual meeting to vote on the proposal if it is properly presented for consideration at a meeting.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Our 2019 Annual Report to Stockholders, which includes our consolidated financial statements as of and for the year ended December 31, 2019, is being mailed to you along with this proxy statement. Upon written request, we are pleased to provide, without charge to any stockholder, a copy of our 2019 Form 10-K, including the financial statements and financial statement schedules to such report. Such request should be directed to 200 Crescent Court, Suite 1200, Dallas, Texas 75201, Attn: Corporate Secretary.</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of the stockholders would like to receive only a single set of our disclosure documents, they should follow these instructions:</w:t>
      </w:r>
    </w:p>
    <w:p>
      <w:pPr>
        <w:spacing w:after="0" w:line="56" w:lineRule="exact"/>
        <w:rPr>
          <w:sz w:val="20"/>
          <w:szCs w:val="20"/>
          <w:color w:val="auto"/>
        </w:rPr>
      </w:pPr>
    </w:p>
    <w:p>
      <w:pPr>
        <w:ind w:left="980" w:right="280" w:hanging="324"/>
        <w:spacing w:after="0" w:line="308" w:lineRule="auto"/>
        <w:tabs>
          <w:tab w:leader="none" w:pos="975"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 bank, broker or other nominee holds the shares, stockholders should contact the bank, broker or other nominee directly.</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877" w:right="399" w:bottom="1440" w:gutter="0" w:footer="0" w:header="0"/>
        </w:sectPr>
      </w:pPr>
    </w:p>
    <w:bookmarkStart w:id="53" w:name="page54"/>
    <w:bookmarkEnd w:id="53"/>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97726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O. Casey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March 6, 2020</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553" w:right="47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Appendix A</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 WESTWOOD HOLDINGS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INCENTIVE PLAN</w:t>
      </w:r>
    </w:p>
    <w:p>
      <w:pPr>
        <w:spacing w:after="0" w:line="200" w:lineRule="exact"/>
        <w:rPr>
          <w:sz w:val="20"/>
          <w:szCs w:val="20"/>
          <w:color w:val="auto"/>
        </w:rPr>
      </w:pPr>
    </w:p>
    <w:p>
      <w:pPr>
        <w:spacing w:after="0" w:line="268"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ESTABLISHMENT, PURPOSE AND TERM OF PLAN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00" w:right="540" w:hanging="644"/>
        <w:spacing w:after="0" w:line="282"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This Seventh Amended and Restated Westwood Holdings Group, Inc.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effective as of March 5, 2020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1300" w:right="280" w:hanging="644"/>
        <w:spacing w:after="0" w:line="266"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advance the interests of the Participating Company Group and its stockholders by providing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7" w:lineRule="exact"/>
        <w:rPr>
          <w:rFonts w:ascii="Arial" w:cs="Arial" w:eastAsia="Arial" w:hAnsi="Arial"/>
          <w:sz w:val="18"/>
          <w:szCs w:val="18"/>
          <w:color w:val="auto"/>
        </w:rPr>
      </w:pPr>
    </w:p>
    <w:p>
      <w:pPr>
        <w:jc w:val="both"/>
        <w:ind w:left="1300" w:right="220" w:hanging="644"/>
        <w:spacing w:after="0" w:line="261"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shall continue in effect until the earlier of its termination by the Board or the date on which all of the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71" w:lineRule="exact"/>
        <w:rPr>
          <w:rFonts w:ascii="Arial" w:cs="Arial" w:eastAsia="Arial" w:hAnsi="Arial"/>
          <w:sz w:val="18"/>
          <w:szCs w:val="18"/>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 AND CONSTRUCTION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b w:val="1"/>
          <w:bCs w:val="1"/>
          <w:color w:val="auto"/>
        </w:rPr>
        <w:t>Definitions. Whenever used herein, the followin</w:t>
      </w:r>
      <w:r>
        <w:rPr>
          <w:rFonts w:ascii="Arial" w:cs="Arial" w:eastAsia="Arial" w:hAnsi="Arial"/>
          <w:sz w:val="18"/>
          <w:szCs w:val="18"/>
          <w:color w:val="auto"/>
        </w:rPr>
        <w:t>g terms shall have their respective meanings set forth below:</w:t>
      </w:r>
    </w:p>
    <w:p>
      <w:pPr>
        <w:spacing w:after="0" w:line="121" w:lineRule="exact"/>
        <w:rPr>
          <w:rFonts w:ascii="Arial" w:cs="Arial" w:eastAsia="Arial" w:hAnsi="Arial"/>
          <w:sz w:val="18"/>
          <w:szCs w:val="18"/>
          <w:color w:val="auto"/>
        </w:rPr>
      </w:pPr>
    </w:p>
    <w:p>
      <w:pPr>
        <w:ind w:left="1940" w:hanging="636"/>
        <w:spacing w:after="0"/>
        <w:tabs>
          <w:tab w:leader="none" w:pos="1940" w:val="left"/>
        </w:tabs>
        <w:numPr>
          <w:ilvl w:val="2"/>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Acquiring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17.2.</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2"/>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11.1.</w:t>
      </w:r>
    </w:p>
    <w:p>
      <w:pPr>
        <w:spacing w:after="0" w:line="117" w:lineRule="exact"/>
        <w:rPr>
          <w:rFonts w:ascii="Arial" w:cs="Arial" w:eastAsia="Arial" w:hAnsi="Arial"/>
          <w:sz w:val="18"/>
          <w:szCs w:val="18"/>
          <w:color w:val="auto"/>
        </w:rPr>
      </w:pPr>
    </w:p>
    <w:p>
      <w:pPr>
        <w:ind w:left="1960" w:right="220" w:hanging="656"/>
        <w:spacing w:after="0" w:line="263" w:lineRule="auto"/>
        <w:tabs>
          <w:tab w:leader="none" w:pos="1950" w:val="left"/>
        </w:tabs>
        <w:numPr>
          <w:ilvl w:val="2"/>
          <w:numId w:val="8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form of incentive or performance award granted under the Plan, whether singly or in combination,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by the Committee pursuant to such terms, conditions, restrictions and/or limitations (if any) as the Committee may establish. Awards granted under the Plan may include:</w:t>
      </w:r>
    </w:p>
    <w:p>
      <w:pPr>
        <w:spacing w:after="0" w:line="75" w:lineRule="exact"/>
        <w:rPr>
          <w:rFonts w:ascii="Arial" w:cs="Arial" w:eastAsia="Arial" w:hAnsi="Arial"/>
          <w:sz w:val="18"/>
          <w:szCs w:val="18"/>
          <w:color w:val="auto"/>
        </w:rPr>
      </w:pPr>
    </w:p>
    <w:p>
      <w:pPr>
        <w:ind w:left="2600" w:hanging="743"/>
        <w:spacing w:after="0"/>
        <w:tabs>
          <w:tab w:leader="none" w:pos="2600" w:val="left"/>
        </w:tabs>
        <w:numPr>
          <w:ilvl w:val="4"/>
          <w:numId w:val="82"/>
        </w:numPr>
        <w:rPr>
          <w:rFonts w:ascii="Arial" w:cs="Arial" w:eastAsia="Arial" w:hAnsi="Arial"/>
          <w:sz w:val="18"/>
          <w:szCs w:val="18"/>
          <w:color w:val="auto"/>
        </w:rPr>
      </w:pPr>
      <w:r>
        <w:rPr>
          <w:rFonts w:ascii="Arial" w:cs="Arial" w:eastAsia="Arial" w:hAnsi="Arial"/>
          <w:sz w:val="18"/>
          <w:szCs w:val="18"/>
          <w:color w:val="auto"/>
        </w:rPr>
        <w:t>Options awarded pursuant to Sections 6;</w:t>
      </w:r>
    </w:p>
    <w:p>
      <w:pPr>
        <w:spacing w:after="0" w:line="117" w:lineRule="exact"/>
        <w:rPr>
          <w:rFonts w:ascii="Arial" w:cs="Arial" w:eastAsia="Arial" w:hAnsi="Arial"/>
          <w:sz w:val="18"/>
          <w:szCs w:val="18"/>
          <w:color w:val="auto"/>
        </w:rPr>
      </w:pPr>
    </w:p>
    <w:p>
      <w:pPr>
        <w:ind w:left="2600" w:hanging="793"/>
        <w:spacing w:after="0"/>
        <w:tabs>
          <w:tab w:leader="none" w:pos="2600" w:val="left"/>
        </w:tabs>
        <w:numPr>
          <w:ilvl w:val="4"/>
          <w:numId w:val="82"/>
        </w:numPr>
        <w:rPr>
          <w:rFonts w:ascii="Arial" w:cs="Arial" w:eastAsia="Arial" w:hAnsi="Arial"/>
          <w:sz w:val="18"/>
          <w:szCs w:val="18"/>
          <w:color w:val="auto"/>
        </w:rPr>
      </w:pPr>
      <w:r>
        <w:rPr>
          <w:rFonts w:ascii="Arial" w:cs="Arial" w:eastAsia="Arial" w:hAnsi="Arial"/>
          <w:sz w:val="18"/>
          <w:szCs w:val="18"/>
          <w:color w:val="auto"/>
        </w:rPr>
        <w:t>Stock Appreciation Rights awarded pursuant to Section 7;</w:t>
      </w:r>
    </w:p>
    <w:p>
      <w:pPr>
        <w:spacing w:after="0" w:line="117" w:lineRule="exact"/>
        <w:rPr>
          <w:rFonts w:ascii="Arial" w:cs="Arial" w:eastAsia="Arial" w:hAnsi="Arial"/>
          <w:sz w:val="18"/>
          <w:szCs w:val="18"/>
          <w:color w:val="auto"/>
        </w:rPr>
      </w:pPr>
    </w:p>
    <w:p>
      <w:pPr>
        <w:ind w:left="2600" w:hanging="842"/>
        <w:spacing w:after="0"/>
        <w:tabs>
          <w:tab w:leader="none" w:pos="2600" w:val="left"/>
        </w:tabs>
        <w:numPr>
          <w:ilvl w:val="4"/>
          <w:numId w:val="82"/>
        </w:numPr>
        <w:rPr>
          <w:rFonts w:ascii="Arial" w:cs="Arial" w:eastAsia="Arial" w:hAnsi="Arial"/>
          <w:sz w:val="18"/>
          <w:szCs w:val="18"/>
          <w:color w:val="auto"/>
        </w:rPr>
      </w:pPr>
      <w:r>
        <w:rPr>
          <w:rFonts w:ascii="Arial" w:cs="Arial" w:eastAsia="Arial" w:hAnsi="Arial"/>
          <w:sz w:val="18"/>
          <w:szCs w:val="18"/>
          <w:color w:val="auto"/>
        </w:rPr>
        <w:t>Restricted Stock awarded pursuant to Section 9;</w:t>
      </w:r>
    </w:p>
    <w:p>
      <w:pPr>
        <w:spacing w:after="0" w:line="117" w:lineRule="exact"/>
        <w:rPr>
          <w:rFonts w:ascii="Arial" w:cs="Arial" w:eastAsia="Arial" w:hAnsi="Arial"/>
          <w:sz w:val="18"/>
          <w:szCs w:val="18"/>
          <w:color w:val="auto"/>
        </w:rPr>
      </w:pPr>
    </w:p>
    <w:p>
      <w:pPr>
        <w:ind w:left="2580" w:hanging="813"/>
        <w:spacing w:after="0"/>
        <w:tabs>
          <w:tab w:leader="none" w:pos="2580" w:val="left"/>
        </w:tabs>
        <w:numPr>
          <w:ilvl w:val="3"/>
          <w:numId w:val="82"/>
        </w:numPr>
        <w:rPr>
          <w:rFonts w:ascii="Arial" w:cs="Arial" w:eastAsia="Arial" w:hAnsi="Arial"/>
          <w:sz w:val="18"/>
          <w:szCs w:val="18"/>
          <w:color w:val="auto"/>
        </w:rPr>
      </w:pPr>
      <w:r>
        <w:rPr>
          <w:rFonts w:ascii="Arial" w:cs="Arial" w:eastAsia="Arial" w:hAnsi="Arial"/>
          <w:sz w:val="18"/>
          <w:szCs w:val="18"/>
          <w:color w:val="auto"/>
        </w:rPr>
        <w:t>Restricted Stock Units awarded pursuant to Section 10.</w:t>
      </w:r>
    </w:p>
    <w:p>
      <w:pPr>
        <w:spacing w:after="0" w:line="117" w:lineRule="exact"/>
        <w:rPr>
          <w:rFonts w:ascii="Arial" w:cs="Arial" w:eastAsia="Arial" w:hAnsi="Arial"/>
          <w:sz w:val="18"/>
          <w:szCs w:val="18"/>
          <w:color w:val="auto"/>
        </w:rPr>
      </w:pPr>
    </w:p>
    <w:p>
      <w:pPr>
        <w:ind w:left="2580" w:hanging="763"/>
        <w:spacing w:after="0"/>
        <w:tabs>
          <w:tab w:leader="none" w:pos="2580" w:val="left"/>
        </w:tabs>
        <w:numPr>
          <w:ilvl w:val="3"/>
          <w:numId w:val="82"/>
        </w:numPr>
        <w:rPr>
          <w:rFonts w:ascii="Arial" w:cs="Arial" w:eastAsia="Arial" w:hAnsi="Arial"/>
          <w:sz w:val="18"/>
          <w:szCs w:val="18"/>
          <w:color w:val="auto"/>
        </w:rPr>
      </w:pPr>
      <w:r>
        <w:rPr>
          <w:rFonts w:ascii="Arial" w:cs="Arial" w:eastAsia="Arial" w:hAnsi="Arial"/>
          <w:sz w:val="18"/>
          <w:szCs w:val="18"/>
          <w:color w:val="auto"/>
        </w:rPr>
        <w:t>Other Stock-Based Awards awarded pursuant to Section 14.</w:t>
      </w:r>
    </w:p>
    <w:p>
      <w:pPr>
        <w:spacing w:after="0" w:line="117" w:lineRule="exact"/>
        <w:rPr>
          <w:rFonts w:ascii="Arial" w:cs="Arial" w:eastAsia="Arial" w:hAnsi="Arial"/>
          <w:sz w:val="18"/>
          <w:szCs w:val="18"/>
          <w:color w:val="auto"/>
        </w:rPr>
      </w:pPr>
    </w:p>
    <w:p>
      <w:pPr>
        <w:ind w:left="2600" w:hanging="833"/>
        <w:spacing w:after="0"/>
        <w:tabs>
          <w:tab w:leader="none" w:pos="2600" w:val="left"/>
        </w:tabs>
        <w:numPr>
          <w:ilvl w:val="4"/>
          <w:numId w:val="83"/>
        </w:numPr>
        <w:rPr>
          <w:rFonts w:ascii="Arial" w:cs="Arial" w:eastAsia="Arial" w:hAnsi="Arial"/>
          <w:sz w:val="18"/>
          <w:szCs w:val="18"/>
          <w:color w:val="auto"/>
        </w:rPr>
      </w:pPr>
      <w:r>
        <w:rPr>
          <w:rFonts w:ascii="Arial" w:cs="Arial" w:eastAsia="Arial" w:hAnsi="Arial"/>
          <w:sz w:val="18"/>
          <w:szCs w:val="18"/>
          <w:color w:val="auto"/>
        </w:rPr>
        <w:t>Annual Incentive Awards awarded pursuant to Section 11;</w:t>
      </w:r>
    </w:p>
    <w:p>
      <w:pPr>
        <w:spacing w:after="0" w:line="117" w:lineRule="exact"/>
        <w:rPr>
          <w:rFonts w:ascii="Arial" w:cs="Arial" w:eastAsia="Arial" w:hAnsi="Arial"/>
          <w:sz w:val="18"/>
          <w:szCs w:val="18"/>
          <w:color w:val="auto"/>
        </w:rPr>
      </w:pPr>
    </w:p>
    <w:p>
      <w:pPr>
        <w:ind w:left="2600" w:hanging="883"/>
        <w:spacing w:after="0"/>
        <w:tabs>
          <w:tab w:leader="none" w:pos="2600" w:val="left"/>
        </w:tabs>
        <w:numPr>
          <w:ilvl w:val="4"/>
          <w:numId w:val="83"/>
        </w:numPr>
        <w:rPr>
          <w:rFonts w:ascii="Arial" w:cs="Arial" w:eastAsia="Arial" w:hAnsi="Arial"/>
          <w:sz w:val="18"/>
          <w:szCs w:val="18"/>
          <w:color w:val="auto"/>
        </w:rPr>
      </w:pPr>
      <w:r>
        <w:rPr>
          <w:rFonts w:ascii="Arial" w:cs="Arial" w:eastAsia="Arial" w:hAnsi="Arial"/>
          <w:sz w:val="18"/>
          <w:szCs w:val="18"/>
          <w:color w:val="auto"/>
        </w:rPr>
        <w:t>Performance-Based Awards awarded pursuant to Section 12; and</w:t>
      </w:r>
    </w:p>
    <w:p>
      <w:pPr>
        <w:spacing w:after="0" w:line="117" w:lineRule="exact"/>
        <w:rPr>
          <w:rFonts w:ascii="Arial" w:cs="Arial" w:eastAsia="Arial" w:hAnsi="Arial"/>
          <w:sz w:val="18"/>
          <w:szCs w:val="18"/>
          <w:color w:val="auto"/>
        </w:rPr>
      </w:pPr>
    </w:p>
    <w:p>
      <w:pPr>
        <w:ind w:left="2600" w:hanging="933"/>
        <w:spacing w:after="0"/>
        <w:tabs>
          <w:tab w:leader="none" w:pos="2600" w:val="left"/>
        </w:tabs>
        <w:numPr>
          <w:ilvl w:val="4"/>
          <w:numId w:val="83"/>
        </w:numPr>
        <w:rPr>
          <w:rFonts w:ascii="Arial" w:cs="Arial" w:eastAsia="Arial" w:hAnsi="Arial"/>
          <w:sz w:val="18"/>
          <w:szCs w:val="18"/>
          <w:color w:val="auto"/>
        </w:rPr>
      </w:pPr>
      <w:r>
        <w:rPr>
          <w:rFonts w:ascii="Arial" w:cs="Arial" w:eastAsia="Arial" w:hAnsi="Arial"/>
          <w:sz w:val="18"/>
          <w:szCs w:val="18"/>
          <w:color w:val="auto"/>
        </w:rPr>
        <w:t>Discretionary Bonus Awards awarded pursuant to Section 13.</w:t>
      </w:r>
    </w:p>
    <w:p>
      <w:pPr>
        <w:spacing w:after="0" w:line="117" w:lineRule="exact"/>
        <w:rPr>
          <w:rFonts w:ascii="Arial" w:cs="Arial" w:eastAsia="Arial" w:hAnsi="Arial"/>
          <w:sz w:val="18"/>
          <w:szCs w:val="18"/>
          <w:color w:val="auto"/>
        </w:rPr>
      </w:pPr>
    </w:p>
    <w:p>
      <w:pPr>
        <w:ind w:left="1960" w:right="240" w:hanging="656"/>
        <w:spacing w:after="0" w:line="277" w:lineRule="auto"/>
        <w:tabs>
          <w:tab w:leader="none" w:pos="1960" w:val="left"/>
        </w:tabs>
        <w:numPr>
          <w:ilvl w:val="2"/>
          <w:numId w:val="8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of an Award granted to the Participant.</w:t>
      </w:r>
    </w:p>
    <w:p>
      <w:pPr>
        <w:spacing w:after="0" w:line="62" w:lineRule="exact"/>
        <w:rPr>
          <w:rFonts w:ascii="Arial" w:cs="Arial" w:eastAsia="Arial" w:hAnsi="Arial"/>
          <w:sz w:val="18"/>
          <w:szCs w:val="18"/>
          <w:color w:val="auto"/>
        </w:rPr>
      </w:pPr>
    </w:p>
    <w:p>
      <w:pPr>
        <w:ind w:left="1940" w:hanging="636"/>
        <w:spacing w:after="0"/>
        <w:tabs>
          <w:tab w:leader="none" w:pos="1940" w:val="left"/>
        </w:tabs>
        <w:numPr>
          <w:ilvl w:val="2"/>
          <w:numId w:val="8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2"/>
          <w:numId w:val="8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6.3(a).</w:t>
      </w:r>
    </w:p>
    <w:p>
      <w:pPr>
        <w:spacing w:after="0" w:line="117" w:lineRule="exact"/>
        <w:rPr>
          <w:rFonts w:ascii="Arial" w:cs="Arial" w:eastAsia="Arial" w:hAnsi="Arial"/>
          <w:sz w:val="18"/>
          <w:szCs w:val="18"/>
          <w:color w:val="auto"/>
        </w:rPr>
      </w:pPr>
    </w:p>
    <w:p>
      <w:pPr>
        <w:ind w:left="1960" w:right="40" w:hanging="656"/>
        <w:spacing w:after="0" w:line="290" w:lineRule="auto"/>
        <w:tabs>
          <w:tab w:leader="none" w:pos="1960" w:val="left"/>
        </w:tabs>
        <w:numPr>
          <w:ilvl w:val="2"/>
          <w:numId w:val="8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any of the following: (i) the Participant’s theft of a Participating Company’s property or falsification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74" w:right="339" w:bottom="1440" w:gutter="0" w:footer="0" w:header="0"/>
        </w:sectPr>
      </w:pPr>
    </w:p>
    <w:bookmarkStart w:id="55" w:name="page56"/>
    <w:bookmarkEnd w:id="55"/>
    <w:p>
      <w:pPr>
        <w:ind w:left="840" w:right="300"/>
        <w:spacing w:after="0" w:line="277" w:lineRule="auto"/>
        <w:rPr>
          <w:sz w:val="20"/>
          <w:szCs w:val="20"/>
          <w:color w:val="auto"/>
        </w:rPr>
      </w:pPr>
      <w:r>
        <w:rPr>
          <w:rFonts w:ascii="Arial" w:cs="Arial" w:eastAsia="Arial" w:hAnsi="Arial"/>
          <w:sz w:val="18"/>
          <w:szCs w:val="18"/>
          <w:color w:val="auto"/>
        </w:rPr>
        <w:t>any felony or any other criminal act which impairs the Participant’s ability to perform his or her duties with the Participating Company Group or any Participating Company.</w:t>
      </w:r>
    </w:p>
    <w:p>
      <w:pPr>
        <w:spacing w:after="0" w:line="62" w:lineRule="exact"/>
        <w:rPr>
          <w:sz w:val="20"/>
          <w:szCs w:val="20"/>
          <w:color w:val="auto"/>
        </w:rPr>
      </w:pPr>
    </w:p>
    <w:p>
      <w:pPr>
        <w:ind w:left="840" w:hanging="65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17.1.</w:t>
      </w:r>
    </w:p>
    <w:p>
      <w:pPr>
        <w:spacing w:after="0" w:line="117" w:lineRule="exact"/>
        <w:rPr>
          <w:rFonts w:ascii="Arial" w:cs="Arial" w:eastAsia="Arial" w:hAnsi="Arial"/>
          <w:sz w:val="18"/>
          <w:szCs w:val="18"/>
          <w:color w:val="auto"/>
        </w:rPr>
      </w:pPr>
    </w:p>
    <w:p>
      <w:pPr>
        <w:ind w:left="820" w:hanging="636"/>
        <w:spacing w:after="0"/>
        <w:tabs>
          <w:tab w:leader="none" w:pos="82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Internal Revenue Code of 1986, as amended, and any applicable regulations promulgated thereunder.</w:t>
      </w:r>
    </w:p>
    <w:p>
      <w:pPr>
        <w:spacing w:after="0" w:line="128" w:lineRule="exact"/>
        <w:rPr>
          <w:rFonts w:ascii="Arial" w:cs="Arial" w:eastAsia="Arial" w:hAnsi="Arial"/>
          <w:sz w:val="17"/>
          <w:szCs w:val="17"/>
          <w:color w:val="auto"/>
        </w:rPr>
      </w:pPr>
    </w:p>
    <w:p>
      <w:pPr>
        <w:ind w:left="840" w:right="100" w:hanging="656"/>
        <w:spacing w:after="0" w:line="255" w:lineRule="auto"/>
        <w:tabs>
          <w:tab w:leader="none" w:pos="82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or other committee of the Board duly appointed to administer the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Committee or other committee of the Board duly appointed to administer the Plan, “</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w:t>
      </w:r>
      <w:r>
        <w:rPr>
          <w:rFonts w:ascii="Arial" w:cs="Arial" w:eastAsia="Arial" w:hAnsi="Arial"/>
          <w:sz w:val="18"/>
          <w:szCs w:val="18"/>
          <w:color w:val="auto"/>
        </w:rPr>
        <w:t xml:space="preserve"> also means the Board.</w:t>
      </w:r>
    </w:p>
    <w:p>
      <w:pPr>
        <w:spacing w:after="0" w:line="84" w:lineRule="exact"/>
        <w:rPr>
          <w:rFonts w:ascii="Arial" w:cs="Arial" w:eastAsia="Arial" w:hAnsi="Arial"/>
          <w:sz w:val="18"/>
          <w:szCs w:val="18"/>
          <w:color w:val="auto"/>
        </w:rPr>
      </w:pPr>
    </w:p>
    <w:p>
      <w:pPr>
        <w:ind w:left="840" w:hanging="65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Westwood Holdings Group, Inc., a Delaware corporation, or any successor corporation thereto.</w:t>
      </w:r>
    </w:p>
    <w:p>
      <w:pPr>
        <w:spacing w:after="0" w:line="117" w:lineRule="exact"/>
        <w:rPr>
          <w:rFonts w:ascii="Arial" w:cs="Arial" w:eastAsia="Arial" w:hAnsi="Arial"/>
          <w:sz w:val="18"/>
          <w:szCs w:val="18"/>
          <w:color w:val="auto"/>
        </w:rPr>
      </w:pPr>
    </w:p>
    <w:p>
      <w:pPr>
        <w:ind w:left="840" w:right="40" w:hanging="656"/>
        <w:spacing w:after="0" w:line="255" w:lineRule="auto"/>
        <w:tabs>
          <w:tab w:leader="none" w:pos="82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 Director)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84" w:lineRule="exact"/>
        <w:rPr>
          <w:rFonts w:ascii="Arial" w:cs="Arial" w:eastAsia="Arial" w:hAnsi="Arial"/>
          <w:sz w:val="18"/>
          <w:szCs w:val="18"/>
          <w:color w:val="auto"/>
        </w:rPr>
      </w:pPr>
    </w:p>
    <w:p>
      <w:pPr>
        <w:ind w:left="820" w:hanging="636"/>
        <w:spacing w:after="0"/>
        <w:tabs>
          <w:tab w:leader="none" w:pos="82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 or of the board of directors of any other Participating Company.</w:t>
      </w:r>
    </w:p>
    <w:p>
      <w:pPr>
        <w:spacing w:after="0" w:line="117" w:lineRule="exact"/>
        <w:rPr>
          <w:rFonts w:ascii="Arial" w:cs="Arial" w:eastAsia="Arial" w:hAnsi="Arial"/>
          <w:sz w:val="18"/>
          <w:szCs w:val="18"/>
          <w:color w:val="auto"/>
        </w:rPr>
      </w:pPr>
    </w:p>
    <w:p>
      <w:pPr>
        <w:ind w:left="840" w:hanging="656"/>
        <w:spacing w:after="0"/>
        <w:tabs>
          <w:tab w:leader="none" w:pos="840"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8" w:lineRule="exact"/>
        <w:rPr>
          <w:rFonts w:ascii="Arial" w:cs="Arial" w:eastAsia="Arial" w:hAnsi="Arial"/>
          <w:sz w:val="17"/>
          <w:szCs w:val="17"/>
          <w:color w:val="auto"/>
        </w:rPr>
      </w:pPr>
    </w:p>
    <w:p>
      <w:pPr>
        <w:ind w:left="840" w:right="40" w:hanging="656"/>
        <w:spacing w:after="0" w:line="259" w:lineRule="auto"/>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treated as an employee (including an officer or a Director who is also treated as an employee)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records of a Participating Company and, with respect to any Incentive Stock Option granted to such person, who is an employee for purposes of Section 422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service as a Director nor payment of a director’s fee shall be sufficient to constitute employment for purposes of the Plan.</w:t>
      </w:r>
    </w:p>
    <w:p>
      <w:pPr>
        <w:spacing w:after="0" w:line="78" w:lineRule="exact"/>
        <w:rPr>
          <w:rFonts w:ascii="Arial" w:cs="Arial" w:eastAsia="Arial" w:hAnsi="Arial"/>
          <w:sz w:val="18"/>
          <w:szCs w:val="18"/>
          <w:color w:val="auto"/>
        </w:rPr>
      </w:pPr>
    </w:p>
    <w:p>
      <w:pPr>
        <w:ind w:left="840" w:hanging="656"/>
        <w:spacing w:after="0"/>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left="840" w:hanging="656"/>
        <w:spacing w:after="0" w:line="263" w:lineRule="auto"/>
        <w:tabs>
          <w:tab w:leader="none" w:pos="84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as of any date, the value of a share of Stock or other property as determined by the Committee, in</w:t>
      </w:r>
      <w:r>
        <w:rPr>
          <w:rFonts w:ascii="Arial" w:cs="Arial" w:eastAsia="Arial" w:hAnsi="Arial"/>
          <w:sz w:val="18"/>
          <w:szCs w:val="18"/>
          <w:i w:val="1"/>
          <w:iCs w:val="1"/>
          <w:color w:val="auto"/>
        </w:rPr>
        <w:t xml:space="preserve"> </w:t>
      </w:r>
      <w:r>
        <w:rPr>
          <w:rFonts w:ascii="Arial" w:cs="Arial" w:eastAsia="Arial" w:hAnsi="Arial"/>
          <w:sz w:val="18"/>
          <w:szCs w:val="18"/>
          <w:color w:val="auto"/>
        </w:rPr>
        <w:t>its discretion, or by the Company, in its discretion, if such determination is expressly allocated to the Company herein, subject to the following:</w:t>
      </w:r>
    </w:p>
    <w:p>
      <w:pPr>
        <w:spacing w:after="0" w:line="75" w:lineRule="exact"/>
        <w:rPr>
          <w:rFonts w:ascii="Arial" w:cs="Arial" w:eastAsia="Arial" w:hAnsi="Arial"/>
          <w:sz w:val="18"/>
          <w:szCs w:val="18"/>
          <w:color w:val="auto"/>
        </w:rPr>
      </w:pPr>
    </w:p>
    <w:p>
      <w:pPr>
        <w:ind w:left="1480" w:right="40" w:hanging="743"/>
        <w:spacing w:after="0" w:line="271" w:lineRule="auto"/>
        <w:tabs>
          <w:tab w:leader="none" w:pos="14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Arial" w:cs="Arial" w:eastAsia="Arial" w:hAnsi="Arial"/>
          <w:sz w:val="17"/>
          <w:szCs w:val="17"/>
          <w:u w:val="single" w:color="auto"/>
          <w:color w:val="auto"/>
        </w:rPr>
        <w:t>The Wall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70" w:lineRule="exact"/>
        <w:rPr>
          <w:rFonts w:ascii="Arial" w:cs="Arial" w:eastAsia="Arial" w:hAnsi="Arial"/>
          <w:sz w:val="17"/>
          <w:szCs w:val="17"/>
          <w:color w:val="auto"/>
        </w:rPr>
      </w:pPr>
    </w:p>
    <w:p>
      <w:pPr>
        <w:ind w:left="1480" w:right="120" w:hanging="793"/>
        <w:spacing w:after="0" w:line="279" w:lineRule="auto"/>
        <w:tabs>
          <w:tab w:leader="none" w:pos="1480" w:val="left"/>
        </w:tabs>
        <w:numPr>
          <w:ilvl w:val="1"/>
          <w:numId w:val="85"/>
        </w:numPr>
        <w:rPr>
          <w:rFonts w:ascii="Arial" w:cs="Arial" w:eastAsia="Arial" w:hAnsi="Arial"/>
          <w:sz w:val="17"/>
          <w:szCs w:val="17"/>
          <w:color w:val="auto"/>
        </w:rPr>
      </w:pPr>
      <w:r>
        <w:rPr>
          <w:rFonts w:ascii="Arial" w:cs="Arial" w:eastAsia="Arial" w:hAnsi="Arial"/>
          <w:sz w:val="17"/>
          <w:szCs w:val="17"/>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3" w:lineRule="exact"/>
        <w:rPr>
          <w:rFonts w:ascii="Arial" w:cs="Arial" w:eastAsia="Arial" w:hAnsi="Arial"/>
          <w:sz w:val="17"/>
          <w:szCs w:val="17"/>
          <w:color w:val="auto"/>
        </w:rPr>
      </w:pPr>
    </w:p>
    <w:p>
      <w:pPr>
        <w:ind w:left="840" w:hanging="656"/>
        <w:spacing w:after="0" w:line="263" w:lineRule="auto"/>
        <w:tabs>
          <w:tab w:leader="none" w:pos="827"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 resignation occurring within ninety (90) days following a Change in Control; (ii) the relocation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principal place of business of the Participating Company for which the Participant renders Service to a location more than 40 miles from its location as of the date of the</w:t>
      </w:r>
    </w:p>
    <w:p>
      <w:pPr>
        <w:spacing w:after="0" w:line="40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00"/>
          </w:cols>
          <w:pgMar w:left="1440" w:top="881" w:right="359" w:bottom="1440" w:gutter="0" w:footer="0" w:header="0"/>
        </w:sectPr>
      </w:pPr>
    </w:p>
    <w:bookmarkStart w:id="56" w:name="page57"/>
    <w:bookmarkEnd w:id="56"/>
    <w:p>
      <w:pPr>
        <w:ind w:left="840" w:right="120"/>
        <w:spacing w:after="0" w:line="277" w:lineRule="auto"/>
        <w:rPr>
          <w:sz w:val="20"/>
          <w:szCs w:val="20"/>
          <w:color w:val="auto"/>
        </w:rPr>
      </w:pPr>
      <w:r>
        <w:rPr>
          <w:rFonts w:ascii="Arial" w:cs="Arial" w:eastAsia="Arial" w:hAnsi="Arial"/>
          <w:sz w:val="18"/>
          <w:szCs w:val="18"/>
          <w:color w:val="auto"/>
        </w:rPr>
        <w:t>Change in Control without the Participant’s consent or (iii) a material reduction in the Participant’s salary or bonus opportunity, or the Participant’s responsibilities.</w:t>
      </w:r>
    </w:p>
    <w:p>
      <w:pPr>
        <w:spacing w:after="0" w:line="62" w:lineRule="exact"/>
        <w:rPr>
          <w:sz w:val="20"/>
          <w:szCs w:val="20"/>
          <w:color w:val="auto"/>
        </w:rPr>
      </w:pPr>
    </w:p>
    <w:p>
      <w:pPr>
        <w:ind w:left="840" w:right="320" w:hanging="656"/>
        <w:spacing w:after="0" w:line="277" w:lineRule="auto"/>
        <w:tabs>
          <w:tab w:leader="none" w:pos="833"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Option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62" w:lineRule="exact"/>
        <w:rPr>
          <w:rFonts w:ascii="Arial" w:cs="Arial" w:eastAsia="Arial" w:hAnsi="Arial"/>
          <w:sz w:val="18"/>
          <w:szCs w:val="18"/>
          <w:color w:val="auto"/>
        </w:rPr>
      </w:pPr>
    </w:p>
    <w:p>
      <w:pPr>
        <w:ind w:left="840" w:right="80" w:hanging="656"/>
        <w:spacing w:after="0" w:line="277" w:lineRule="auto"/>
        <w:tabs>
          <w:tab w:leader="none" w:pos="827"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Insider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officer or a Director of the Company or any other person whose transactions in Stock are subject to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16 of the Exchange Act.</w:t>
      </w:r>
    </w:p>
    <w:p>
      <w:pPr>
        <w:spacing w:after="0" w:line="62" w:lineRule="exact"/>
        <w:rPr>
          <w:rFonts w:ascii="Arial" w:cs="Arial" w:eastAsia="Arial" w:hAnsi="Arial"/>
          <w:sz w:val="18"/>
          <w:szCs w:val="18"/>
          <w:color w:val="auto"/>
        </w:rPr>
      </w:pPr>
    </w:p>
    <w:p>
      <w:pPr>
        <w:ind w:left="840" w:hanging="656"/>
        <w:spacing w:after="0"/>
        <w:tabs>
          <w:tab w:leader="none" w:pos="84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member of the Board who is not an active Employee of the Company or any Subsidiary.</w:t>
      </w:r>
    </w:p>
    <w:p>
      <w:pPr>
        <w:spacing w:after="0" w:line="140" w:lineRule="exact"/>
        <w:rPr>
          <w:rFonts w:ascii="Arial" w:cs="Arial" w:eastAsia="Arial" w:hAnsi="Arial"/>
          <w:sz w:val="16"/>
          <w:szCs w:val="16"/>
          <w:color w:val="auto"/>
        </w:rPr>
      </w:pPr>
    </w:p>
    <w:p>
      <w:pPr>
        <w:ind w:left="840" w:right="340" w:hanging="656"/>
        <w:spacing w:after="0" w:line="277" w:lineRule="auto"/>
        <w:tabs>
          <w:tab w:leader="none" w:pos="82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Option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w:t>
      </w:r>
    </w:p>
    <w:p>
      <w:pPr>
        <w:spacing w:after="0" w:line="62" w:lineRule="exact"/>
        <w:rPr>
          <w:rFonts w:ascii="Arial" w:cs="Arial" w:eastAsia="Arial" w:hAnsi="Arial"/>
          <w:sz w:val="18"/>
          <w:szCs w:val="18"/>
          <w:color w:val="auto"/>
        </w:rPr>
      </w:pPr>
    </w:p>
    <w:p>
      <w:pPr>
        <w:ind w:left="820" w:hanging="63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w:t>
      </w:r>
      <w:r>
        <w:rPr>
          <w:rFonts w:ascii="Arial" w:cs="Arial" w:eastAsia="Arial" w:hAnsi="Arial"/>
          <w:sz w:val="18"/>
          <w:szCs w:val="18"/>
          <w:i w:val="1"/>
          <w:iCs w:val="1"/>
          <w:color w:val="auto"/>
        </w:rPr>
        <w:t>”</w:t>
      </w:r>
      <w:r>
        <w:rPr>
          <w:rFonts w:ascii="Arial" w:cs="Arial" w:eastAsia="Arial" w:hAnsi="Arial"/>
          <w:sz w:val="18"/>
          <w:szCs w:val="18"/>
          <w:color w:val="auto"/>
        </w:rPr>
        <w:t xml:space="preserve"> means an Award granted to an eligible person under Section 14 hereof.</w:t>
      </w:r>
    </w:p>
    <w:p>
      <w:pPr>
        <w:spacing w:after="0" w:line="117" w:lineRule="exact"/>
        <w:rPr>
          <w:rFonts w:ascii="Arial" w:cs="Arial" w:eastAsia="Arial" w:hAnsi="Arial"/>
          <w:sz w:val="18"/>
          <w:szCs w:val="18"/>
          <w:color w:val="auto"/>
        </w:rPr>
      </w:pPr>
    </w:p>
    <w:p>
      <w:pPr>
        <w:ind w:left="840" w:right="760" w:hanging="656"/>
        <w:spacing w:after="0" w:line="342" w:lineRule="auto"/>
        <w:tabs>
          <w:tab w:leader="none" w:pos="84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right to purchase Stock (subject to adjustment as provided in Section 4.3) pursuant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Plan. An Option may be either an Incentive Stock Option or a Nonstatutory Stock Option.</w:t>
      </w:r>
    </w:p>
    <w:p>
      <w:pPr>
        <w:spacing w:after="0" w:line="15" w:lineRule="exact"/>
        <w:rPr>
          <w:rFonts w:ascii="Arial" w:cs="Arial" w:eastAsia="Arial" w:hAnsi="Arial"/>
          <w:sz w:val="16"/>
          <w:szCs w:val="16"/>
          <w:color w:val="auto"/>
        </w:rPr>
      </w:pPr>
    </w:p>
    <w:p>
      <w:pPr>
        <w:ind w:left="840" w:right="60" w:hanging="656"/>
        <w:spacing w:after="0" w:line="259" w:lineRule="auto"/>
        <w:tabs>
          <w:tab w:leader="none" w:pos="828"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Agreement setting forth the terms, conditions and restrictions of an Option granted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78" w:lineRule="exact"/>
        <w:rPr>
          <w:rFonts w:ascii="Arial" w:cs="Arial" w:eastAsia="Arial" w:hAnsi="Arial"/>
          <w:sz w:val="18"/>
          <w:szCs w:val="18"/>
          <w:color w:val="auto"/>
        </w:rPr>
      </w:pPr>
    </w:p>
    <w:p>
      <w:pPr>
        <w:ind w:left="820" w:hanging="636"/>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6.4(a)(i).</w:t>
      </w:r>
    </w:p>
    <w:p>
      <w:pPr>
        <w:spacing w:after="0" w:line="117" w:lineRule="exact"/>
        <w:rPr>
          <w:sz w:val="20"/>
          <w:szCs w:val="20"/>
          <w:color w:val="auto"/>
        </w:rPr>
      </w:pPr>
    </w:p>
    <w:p>
      <w:pPr>
        <w:ind w:left="820" w:hanging="636"/>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Ownership Change Event</w:t>
      </w:r>
      <w:r>
        <w:rPr>
          <w:rFonts w:ascii="Arial" w:cs="Arial" w:eastAsia="Arial" w:hAnsi="Arial"/>
          <w:sz w:val="18"/>
          <w:szCs w:val="18"/>
          <w:i w:val="1"/>
          <w:iCs w:val="1"/>
          <w:color w:val="auto"/>
        </w:rPr>
        <w:t>”</w:t>
      </w:r>
      <w:r>
        <w:rPr>
          <w:rFonts w:ascii="Arial" w:cs="Arial" w:eastAsia="Arial" w:hAnsi="Arial"/>
          <w:sz w:val="18"/>
          <w:szCs w:val="18"/>
          <w:color w:val="auto"/>
        </w:rPr>
        <w:t xml:space="preserve"> has the meaning given to it in Section 17.1.</w:t>
      </w:r>
    </w:p>
    <w:p>
      <w:pPr>
        <w:spacing w:after="0" w:line="117" w:lineRule="exact"/>
        <w:rPr>
          <w:sz w:val="20"/>
          <w:szCs w:val="20"/>
          <w:color w:val="auto"/>
        </w:rPr>
      </w:pPr>
    </w:p>
    <w:p>
      <w:pPr>
        <w:ind w:left="840" w:right="140" w:hanging="659"/>
        <w:spacing w:after="0" w:line="255" w:lineRule="auto"/>
        <w:tabs>
          <w:tab w:leader="none" w:pos="82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“parent corporation” as defined in Section 424(e) of the Code and any successor provisions; (ii)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84" w:lineRule="exact"/>
        <w:rPr>
          <w:sz w:val="20"/>
          <w:szCs w:val="20"/>
          <w:color w:val="auto"/>
        </w:rPr>
      </w:pPr>
    </w:p>
    <w:p>
      <w:pPr>
        <w:ind w:left="180"/>
        <w:spacing w:after="0"/>
        <w:tabs>
          <w:tab w:leader="none" w:pos="800" w:val="left"/>
        </w:tabs>
        <w:rPr>
          <w:sz w:val="20"/>
          <w:szCs w:val="20"/>
          <w:color w:val="auto"/>
        </w:rPr>
      </w:pPr>
      <w:r>
        <w:rPr>
          <w:rFonts w:ascii="Arial" w:cs="Arial" w:eastAsia="Arial" w:hAnsi="Arial"/>
          <w:sz w:val="17"/>
          <w:szCs w:val="17"/>
          <w:color w:val="auto"/>
        </w:rPr>
        <w:t>ac.</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person who has been granted one or more awards pursuant to the terms and conditions of the Plan.</w:t>
      </w:r>
    </w:p>
    <w:p>
      <w:pPr>
        <w:spacing w:after="0" w:line="129"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ad.</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or Subsidiary.</w:t>
      </w:r>
    </w:p>
    <w:p>
      <w:pPr>
        <w:spacing w:after="0" w:line="117" w:lineRule="exact"/>
        <w:rPr>
          <w:sz w:val="20"/>
          <w:szCs w:val="20"/>
          <w:color w:val="auto"/>
        </w:rPr>
      </w:pPr>
    </w:p>
    <w:p>
      <w:pPr>
        <w:ind w:left="820" w:right="480" w:hanging="647"/>
        <w:spacing w:after="0" w:line="277" w:lineRule="auto"/>
        <w:tabs>
          <w:tab w:leader="none" w:pos="80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all corporations or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62" w:lineRule="exact"/>
        <w:rPr>
          <w:sz w:val="20"/>
          <w:szCs w:val="20"/>
          <w:color w:val="auto"/>
        </w:rPr>
      </w:pPr>
    </w:p>
    <w:p>
      <w:pPr>
        <w:ind w:left="820" w:hanging="647"/>
        <w:spacing w:after="0" w:line="259" w:lineRule="auto"/>
        <w:tabs>
          <w:tab w:leader="none" w:pos="800" w:val="left"/>
        </w:tabs>
        <w:rPr>
          <w:sz w:val="20"/>
          <w:szCs w:val="20"/>
          <w:color w:val="auto"/>
        </w:rPr>
      </w:pPr>
      <w:r>
        <w:rPr>
          <w:rFonts w:ascii="Arial" w:cs="Arial" w:eastAsia="Arial" w:hAnsi="Arial"/>
          <w:sz w:val="18"/>
          <w:szCs w:val="18"/>
          <w:color w:val="auto"/>
        </w:rPr>
        <w:t>af.</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Exception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performance-based exception from the tax deductibility limitation imposed by</w:t>
      </w:r>
      <w:r>
        <w:rPr>
          <w:rFonts w:ascii="Arial" w:cs="Arial" w:eastAsia="Arial" w:hAnsi="Arial"/>
          <w:sz w:val="18"/>
          <w:szCs w:val="18"/>
          <w:i w:val="1"/>
          <w:iCs w:val="1"/>
          <w:color w:val="auto"/>
        </w:rPr>
        <w:t xml:space="preserve"> </w:t>
      </w:r>
      <w:r>
        <w:rPr>
          <w:rFonts w:ascii="Arial" w:cs="Arial" w:eastAsia="Arial" w:hAnsi="Arial"/>
          <w:sz w:val="18"/>
          <w:szCs w:val="18"/>
          <w:color w:val="auto"/>
        </w:rPr>
        <w:t>Prior 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79" w:lineRule="exact"/>
        <w:rPr>
          <w:sz w:val="20"/>
          <w:szCs w:val="20"/>
          <w:color w:val="auto"/>
        </w:rPr>
      </w:pPr>
    </w:p>
    <w:p>
      <w:pPr>
        <w:ind w:left="840" w:right="160" w:hanging="659"/>
        <w:spacing w:after="0" w:line="277" w:lineRule="auto"/>
        <w:tabs>
          <w:tab w:leader="none" w:pos="820" w:val="left"/>
        </w:tabs>
        <w:rPr>
          <w:sz w:val="20"/>
          <w:szCs w:val="20"/>
          <w:color w:val="auto"/>
        </w:rPr>
      </w:pPr>
      <w:r>
        <w:rPr>
          <w:rFonts w:ascii="Arial" w:cs="Arial" w:eastAsia="Arial" w:hAnsi="Arial"/>
          <w:sz w:val="18"/>
          <w:szCs w:val="18"/>
          <w:color w:val="auto"/>
        </w:rPr>
        <w:t>ag.</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Cycle</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each calendar year, unless otherwise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Committee.</w:t>
      </w:r>
    </w:p>
    <w:p>
      <w:pPr>
        <w:spacing w:after="0" w:line="62" w:lineRule="exact"/>
        <w:rPr>
          <w:sz w:val="20"/>
          <w:szCs w:val="20"/>
          <w:color w:val="auto"/>
        </w:rPr>
      </w:pPr>
    </w:p>
    <w:p>
      <w:pPr>
        <w:ind w:left="840" w:right="180" w:hanging="659"/>
        <w:spacing w:after="0" w:line="263" w:lineRule="auto"/>
        <w:tabs>
          <w:tab w:leader="none" w:pos="820" w:val="left"/>
        </w:tabs>
        <w:rPr>
          <w:sz w:val="20"/>
          <w:szCs w:val="20"/>
          <w:color w:val="auto"/>
        </w:rPr>
      </w:pPr>
      <w:r>
        <w:rPr>
          <w:rFonts w:ascii="Arial" w:cs="Arial" w:eastAsia="Arial" w:hAnsi="Arial"/>
          <w:sz w:val="18"/>
          <w:szCs w:val="18"/>
          <w:color w:val="auto"/>
        </w:rPr>
        <w:t>ah.</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any Annual Incentive Award or Performance-Based Award, one or more targets,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or levels of attainment required to be achieved in terms of the specified Performance Measure(s) during a fiscal year or specified performance period.</w:t>
      </w:r>
    </w:p>
    <w:p>
      <w:pPr>
        <w:spacing w:after="0" w:line="76"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ai.</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7" w:lineRule="exact"/>
        <w:rPr>
          <w:sz w:val="20"/>
          <w:szCs w:val="20"/>
          <w:color w:val="auto"/>
        </w:rPr>
      </w:pPr>
    </w:p>
    <w:p>
      <w:pPr>
        <w:ind w:left="180"/>
        <w:spacing w:after="0"/>
        <w:tabs>
          <w:tab w:leader="none" w:pos="820" w:val="left"/>
        </w:tabs>
        <w:rPr>
          <w:sz w:val="20"/>
          <w:szCs w:val="20"/>
          <w:color w:val="auto"/>
        </w:rPr>
      </w:pPr>
      <w:r>
        <w:rPr>
          <w:rFonts w:ascii="Arial" w:cs="Arial" w:eastAsia="Arial" w:hAnsi="Arial"/>
          <w:sz w:val="18"/>
          <w:szCs w:val="18"/>
          <w:color w:val="auto"/>
        </w:rPr>
        <w:t>aj.</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12.</w:t>
      </w:r>
    </w:p>
    <w:p>
      <w:pPr>
        <w:spacing w:after="0" w:line="117" w:lineRule="exact"/>
        <w:rPr>
          <w:sz w:val="20"/>
          <w:szCs w:val="20"/>
          <w:color w:val="auto"/>
        </w:rPr>
      </w:pPr>
    </w:p>
    <w:p>
      <w:pPr>
        <w:ind w:left="840" w:right="460" w:hanging="659"/>
        <w:spacing w:after="0" w:line="301" w:lineRule="auto"/>
        <w:tabs>
          <w:tab w:leader="none" w:pos="820" w:val="left"/>
        </w:tabs>
        <w:rPr>
          <w:sz w:val="20"/>
          <w:szCs w:val="20"/>
          <w:color w:val="auto"/>
        </w:rPr>
      </w:pPr>
      <w:r>
        <w:rPr>
          <w:rFonts w:ascii="Arial" w:cs="Arial" w:eastAsia="Arial" w:hAnsi="Arial"/>
          <w:sz w:val="16"/>
          <w:szCs w:val="16"/>
          <w:color w:val="auto"/>
        </w:rPr>
        <w:t>ak.</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Transferees</w:t>
      </w:r>
      <w:r>
        <w:rPr>
          <w:rFonts w:ascii="Arial" w:cs="Arial" w:eastAsia="Arial" w:hAnsi="Arial"/>
          <w:sz w:val="16"/>
          <w:szCs w:val="16"/>
          <w:i w:val="1"/>
          <w:iCs w:val="1"/>
          <w:color w:val="auto"/>
        </w:rPr>
        <w:t xml:space="preserve">” </w:t>
      </w:r>
      <w:r>
        <w:rPr>
          <w:rFonts w:ascii="Arial" w:cs="Arial" w:eastAsia="Arial" w:hAnsi="Arial"/>
          <w:sz w:val="16"/>
          <w:szCs w:val="16"/>
          <w:color w:val="auto"/>
        </w:rPr>
        <w:t>means a member of a Participant’s immediate family, trusts for the exclusive benefit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w:t>
      </w:r>
    </w:p>
    <w:p>
      <w:pPr>
        <w:spacing w:after="0" w:line="37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1440" w:top="881" w:right="339" w:bottom="1440" w:gutter="0" w:footer="0" w:header="0"/>
        </w:sectPr>
      </w:pPr>
    </w:p>
    <w:bookmarkStart w:id="57" w:name="page58"/>
    <w:bookmarkEnd w:id="57"/>
    <w:p>
      <w:pPr>
        <w:ind w:left="1304"/>
        <w:spacing w:after="0"/>
        <w:rPr>
          <w:sz w:val="20"/>
          <w:szCs w:val="20"/>
          <w:color w:val="auto"/>
        </w:rPr>
      </w:pPr>
      <w:r>
        <w:rPr>
          <w:rFonts w:ascii="Arial" w:cs="Arial" w:eastAsia="Arial" w:hAnsi="Arial"/>
          <w:sz w:val="18"/>
          <w:szCs w:val="18"/>
          <w:color w:val="auto"/>
        </w:rPr>
        <w:t>descendants), spouses of descendants, and shall include step-children and relationships arising from legal adoption.</w:t>
      </w:r>
    </w:p>
    <w:p>
      <w:pPr>
        <w:spacing w:after="0" w:line="117"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1.1.</w:t>
      </w:r>
    </w:p>
    <w:p>
      <w:pPr>
        <w:spacing w:after="0" w:line="117" w:lineRule="exact"/>
        <w:rPr>
          <w:sz w:val="20"/>
          <w:szCs w:val="20"/>
          <w:color w:val="auto"/>
        </w:rPr>
      </w:pPr>
    </w:p>
    <w:p>
      <w:pPr>
        <w:jc w:val="both"/>
        <w:ind w:left="1284" w:right="120" w:hanging="647"/>
        <w:spacing w:after="0" w:line="263" w:lineRule="auto"/>
        <w:tabs>
          <w:tab w:leader="none" w:pos="1264"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Prior Section 162(m) of the Code</w:t>
      </w:r>
      <w:r>
        <w:rPr>
          <w:rFonts w:ascii="Arial" w:cs="Arial" w:eastAsia="Arial" w:hAnsi="Arial"/>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76"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an.</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Period</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meaning given to it in Section 9.1.</w:t>
      </w:r>
    </w:p>
    <w:p>
      <w:pPr>
        <w:spacing w:after="0" w:line="117"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ao.</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Stock made under Section 9, which is subject to vesting provisions.</w:t>
      </w:r>
    </w:p>
    <w:p>
      <w:pPr>
        <w:spacing w:after="0" w:line="117" w:lineRule="exact"/>
        <w:rPr>
          <w:sz w:val="20"/>
          <w:szCs w:val="20"/>
          <w:color w:val="auto"/>
        </w:rPr>
      </w:pPr>
    </w:p>
    <w:p>
      <w:pPr>
        <w:ind w:left="1304" w:right="620" w:hanging="659"/>
        <w:spacing w:after="0" w:line="277" w:lineRule="auto"/>
        <w:tabs>
          <w:tab w:leader="none" w:pos="1284" w:val="left"/>
        </w:tabs>
        <w:rPr>
          <w:sz w:val="20"/>
          <w:szCs w:val="20"/>
          <w:color w:val="auto"/>
        </w:rPr>
      </w:pPr>
      <w:r>
        <w:rPr>
          <w:rFonts w:ascii="Arial" w:cs="Arial" w:eastAsia="Arial" w:hAnsi="Arial"/>
          <w:sz w:val="18"/>
          <w:szCs w:val="18"/>
          <w:color w:val="auto"/>
        </w:rPr>
        <w:t>ap.</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granted pursuant to Section 10 and shall be evidenced by a bookkeeping entry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equivalent of one share of Stock.</w:t>
      </w:r>
    </w:p>
    <w:p>
      <w:pPr>
        <w:spacing w:after="0" w:line="62"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6"/>
          <w:szCs w:val="16"/>
          <w:color w:val="auto"/>
        </w:rPr>
        <w:t>aq.</w:t>
      </w:r>
      <w:r>
        <w:rPr>
          <w:sz w:val="20"/>
          <w:szCs w:val="20"/>
          <w:color w:val="auto"/>
        </w:rPr>
        <w:tab/>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Rule 16b</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means Rule 16b-3 under the Exchange Act, as amended from time to time, or any successor rule or regulation.</w:t>
      </w:r>
    </w:p>
    <w:p>
      <w:pPr>
        <w:spacing w:after="0" w:line="140" w:lineRule="exact"/>
        <w:rPr>
          <w:sz w:val="20"/>
          <w:szCs w:val="20"/>
          <w:color w:val="auto"/>
        </w:rPr>
      </w:pPr>
    </w:p>
    <w:p>
      <w:pPr>
        <w:ind w:left="644"/>
        <w:spacing w:after="0"/>
        <w:tabs>
          <w:tab w:leader="none" w:pos="1264" w:val="left"/>
        </w:tabs>
        <w:rPr>
          <w:sz w:val="20"/>
          <w:szCs w:val="20"/>
          <w:color w:val="auto"/>
        </w:rPr>
      </w:pPr>
      <w:r>
        <w:rPr>
          <w:rFonts w:ascii="Arial" w:cs="Arial" w:eastAsia="Arial" w:hAnsi="Arial"/>
          <w:sz w:val="18"/>
          <w:szCs w:val="18"/>
          <w:color w:val="auto"/>
        </w:rPr>
        <w:t>ar.</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Act of 1933, as amended.</w:t>
      </w:r>
    </w:p>
    <w:p>
      <w:pPr>
        <w:spacing w:after="0" w:line="117" w:lineRule="exact"/>
        <w:rPr>
          <w:sz w:val="20"/>
          <w:szCs w:val="20"/>
          <w:color w:val="auto"/>
        </w:rPr>
      </w:pPr>
    </w:p>
    <w:p>
      <w:pPr>
        <w:ind w:left="1284" w:hanging="647"/>
        <w:spacing w:after="0" w:line="268" w:lineRule="auto"/>
        <w:tabs>
          <w:tab w:leader="none" w:pos="1264" w:val="left"/>
        </w:tabs>
        <w:rPr>
          <w:sz w:val="20"/>
          <w:szCs w:val="20"/>
          <w:color w:val="auto"/>
        </w:rPr>
      </w:pPr>
      <w:r>
        <w:rPr>
          <w:rFonts w:ascii="Arial" w:cs="Arial" w:eastAsia="Arial" w:hAnsi="Arial"/>
          <w:sz w:val="18"/>
          <w:szCs w:val="18"/>
          <w:color w:val="auto"/>
        </w:rPr>
        <w:t>as.</w:t>
      </w:r>
      <w:r>
        <w:rPr>
          <w:sz w:val="20"/>
          <w:szCs w:val="20"/>
          <w:color w:val="auto"/>
        </w:rPr>
        <w:tab/>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Participant’s employment or service with the Participating Company Group, whether in the capacity of an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6" w:lineRule="exact"/>
        <w:rPr>
          <w:sz w:val="20"/>
          <w:szCs w:val="20"/>
          <w:color w:val="auto"/>
        </w:rPr>
      </w:pPr>
    </w:p>
    <w:p>
      <w:pPr>
        <w:ind w:left="1304" w:right="40" w:hanging="659"/>
        <w:spacing w:after="0" w:line="263" w:lineRule="auto"/>
        <w:tabs>
          <w:tab w:leader="none" w:pos="1284"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pursuant to Section 7 to receive a payment equal to the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a specified number of shares of Stock on the date the SAR is exercised over the grant price of the SAR, as set forth in the applicable Award Agreement.</w:t>
      </w:r>
    </w:p>
    <w:p>
      <w:pPr>
        <w:spacing w:after="0" w:line="76" w:lineRule="exact"/>
        <w:rPr>
          <w:sz w:val="20"/>
          <w:szCs w:val="20"/>
          <w:color w:val="auto"/>
        </w:rPr>
      </w:pPr>
    </w:p>
    <w:p>
      <w:pPr>
        <w:ind w:left="644"/>
        <w:spacing w:after="0"/>
        <w:tabs>
          <w:tab w:leader="none" w:pos="1284" w:val="left"/>
        </w:tabs>
        <w:rPr>
          <w:sz w:val="20"/>
          <w:szCs w:val="20"/>
          <w:color w:val="auto"/>
        </w:rPr>
      </w:pPr>
      <w:r>
        <w:rPr>
          <w:rFonts w:ascii="Arial" w:cs="Arial" w:eastAsia="Arial" w:hAnsi="Arial"/>
          <w:sz w:val="18"/>
          <w:szCs w:val="18"/>
          <w:color w:val="auto"/>
        </w:rPr>
        <w:t>au.</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4.3.</w:t>
      </w:r>
    </w:p>
    <w:p>
      <w:pPr>
        <w:spacing w:after="0" w:line="117" w:lineRule="exact"/>
        <w:rPr>
          <w:sz w:val="20"/>
          <w:szCs w:val="20"/>
          <w:color w:val="auto"/>
        </w:rPr>
      </w:pPr>
    </w:p>
    <w:p>
      <w:pPr>
        <w:ind w:left="1284" w:right="20" w:hanging="647"/>
        <w:spacing w:after="0" w:line="255" w:lineRule="auto"/>
        <w:tabs>
          <w:tab w:leader="none" w:pos="1264" w:val="left"/>
        </w:tabs>
        <w:rPr>
          <w:sz w:val="20"/>
          <w:szCs w:val="20"/>
          <w:color w:val="auto"/>
        </w:rPr>
      </w:pPr>
      <w:r>
        <w:rPr>
          <w:rFonts w:ascii="Arial" w:cs="Arial" w:eastAsia="Arial" w:hAnsi="Arial"/>
          <w:sz w:val="18"/>
          <w:szCs w:val="18"/>
          <w:color w:val="auto"/>
        </w:rPr>
        <w:t>av.</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means (i) any “subsidiary corporation” of the Company, as defined in Section 424(f) of the Code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84" w:lineRule="exact"/>
        <w:rPr>
          <w:sz w:val="20"/>
          <w:szCs w:val="20"/>
          <w:color w:val="auto"/>
        </w:rPr>
      </w:pPr>
    </w:p>
    <w:p>
      <w:pPr>
        <w:ind w:left="1284" w:right="220" w:hanging="647"/>
        <w:spacing w:after="0" w:line="263" w:lineRule="auto"/>
        <w:tabs>
          <w:tab w:leader="none" w:pos="1264" w:val="left"/>
        </w:tabs>
        <w:rPr>
          <w:sz w:val="20"/>
          <w:szCs w:val="20"/>
          <w:color w:val="auto"/>
        </w:rPr>
      </w:pPr>
      <w:r>
        <w:rPr>
          <w:rFonts w:ascii="Arial" w:cs="Arial" w:eastAsia="Arial" w:hAnsi="Arial"/>
          <w:sz w:val="18"/>
          <w:szCs w:val="18"/>
          <w:color w:val="auto"/>
        </w:rPr>
        <w:t>aw.</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possessing more than ten percent (10%) of the total combined voting power of all classes of stock of a Participating Company within the meaning of Section 422(b)(6) of the Code.</w:t>
      </w:r>
    </w:p>
    <w:p>
      <w:pPr>
        <w:spacing w:after="0" w:line="72" w:lineRule="exact"/>
        <w:rPr>
          <w:sz w:val="20"/>
          <w:szCs w:val="20"/>
          <w:color w:val="auto"/>
        </w:rPr>
      </w:pPr>
    </w:p>
    <w:p>
      <w:pPr>
        <w:ind w:left="644" w:right="120" w:hanging="644"/>
        <w:spacing w:after="0" w:line="282" w:lineRule="auto"/>
        <w:tabs>
          <w:tab w:leader="none" w:pos="176"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Captions and titles contained herein are for convenience only and shall not affect the meaning or interpretation of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Except when otherwise indicated by the context, the singular</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4"/>
          </w:cols>
          <w:pgMar w:left="976" w:top="881" w:right="339" w:bottom="1440" w:gutter="0" w:footer="0" w:header="0"/>
        </w:sectPr>
      </w:pPr>
    </w:p>
    <w:bookmarkStart w:id="58" w:name="page59"/>
    <w:bookmarkEnd w:id="58"/>
    <w:p>
      <w:pPr>
        <w:ind w:left="1292" w:right="260"/>
        <w:spacing w:after="0" w:line="277" w:lineRule="auto"/>
        <w:rPr>
          <w:sz w:val="20"/>
          <w:szCs w:val="20"/>
          <w:color w:val="auto"/>
        </w:rPr>
      </w:pPr>
      <w:r>
        <w:rPr>
          <w:rFonts w:ascii="Arial" w:cs="Arial" w:eastAsia="Arial" w:hAnsi="Arial"/>
          <w:sz w:val="18"/>
          <w:szCs w:val="18"/>
          <w:color w:val="auto"/>
        </w:rPr>
        <w:t>shall include the plural and the plural shall include the singular. Use of the term “or” is not intended to be exclusive, unless the context clearly requires otherwise.</w:t>
      </w:r>
    </w:p>
    <w:p>
      <w:pPr>
        <w:spacing w:after="0" w:line="58" w:lineRule="exact"/>
        <w:rPr>
          <w:sz w:val="20"/>
          <w:szCs w:val="20"/>
          <w:color w:val="auto"/>
        </w:rPr>
      </w:pPr>
    </w:p>
    <w:p>
      <w:pPr>
        <w:ind w:left="172" w:hanging="172"/>
        <w:spacing w:after="0"/>
        <w:tabs>
          <w:tab w:leader="none" w:pos="172"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right="20" w:hanging="644"/>
        <w:spacing w:after="0" w:line="266" w:lineRule="auto"/>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Unless the Board determines otherwise, the Plan shall be administered by the Committee. All questions of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or of any Award shall be determined by the Committee, and such determinations shall be final and binding upon all persons having an interest in the Plan.</w:t>
      </w:r>
    </w:p>
    <w:p>
      <w:pPr>
        <w:spacing w:after="0" w:line="67" w:lineRule="exact"/>
        <w:rPr>
          <w:rFonts w:ascii="Arial" w:cs="Arial" w:eastAsia="Arial" w:hAnsi="Arial"/>
          <w:sz w:val="18"/>
          <w:szCs w:val="18"/>
          <w:color w:val="auto"/>
        </w:rPr>
      </w:pPr>
    </w:p>
    <w:p>
      <w:pPr>
        <w:ind w:left="1292" w:right="180" w:hanging="644"/>
        <w:spacing w:after="0" w:line="314" w:lineRule="auto"/>
        <w:tabs>
          <w:tab w:leader="none" w:pos="1292" w:val="left"/>
        </w:tabs>
        <w:numPr>
          <w:ilvl w:val="1"/>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Authority of Officers. </w:t>
      </w:r>
      <w:r>
        <w:rPr>
          <w:rFonts w:ascii="Arial" w:cs="Arial" w:eastAsia="Arial" w:hAnsi="Arial"/>
          <w:sz w:val="16"/>
          <w:szCs w:val="16"/>
          <w:color w:val="auto"/>
        </w:rPr>
        <w:t>Any officer of a Participating Company shall have the authority to act on behalf of the Company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matter, right, obligation, determination or election which is the responsibility of or which is allocated to the Company herein, provided the officer has apparent authority with respect to such matter, right, obligation, determination or election.</w:t>
      </w:r>
    </w:p>
    <w:p>
      <w:pPr>
        <w:spacing w:after="0" w:line="33" w:lineRule="exact"/>
        <w:rPr>
          <w:rFonts w:ascii="Arial" w:cs="Arial" w:eastAsia="Arial" w:hAnsi="Arial"/>
          <w:sz w:val="16"/>
          <w:szCs w:val="16"/>
          <w:color w:val="auto"/>
        </w:rPr>
      </w:pPr>
    </w:p>
    <w:p>
      <w:pPr>
        <w:ind w:left="1292" w:right="160" w:hanging="644"/>
        <w:spacing w:after="0" w:line="282" w:lineRule="auto"/>
        <w:tabs>
          <w:tab w:leader="none" w:pos="1292" w:val="left"/>
        </w:tabs>
        <w:numPr>
          <w:ilvl w:val="1"/>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Powers. </w:t>
      </w:r>
      <w:r>
        <w:rPr>
          <w:rFonts w:ascii="Arial" w:cs="Arial" w:eastAsia="Arial" w:hAnsi="Arial"/>
          <w:sz w:val="18"/>
          <w:szCs w:val="18"/>
          <w:color w:val="auto"/>
        </w:rPr>
        <w:t>In addition to any other powers set forth in the Plan and subject to the provisions of the Plan, the Committee shall have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and final power and authority, in its discretion:</w:t>
      </w:r>
    </w:p>
    <w:p>
      <w:pPr>
        <w:spacing w:after="0" w:line="57" w:lineRule="exact"/>
        <w:rPr>
          <w:rFonts w:ascii="Arial" w:cs="Arial" w:eastAsia="Arial" w:hAnsi="Arial"/>
          <w:sz w:val="18"/>
          <w:szCs w:val="18"/>
          <w:color w:val="auto"/>
        </w:rPr>
      </w:pPr>
    </w:p>
    <w:p>
      <w:pPr>
        <w:ind w:left="1952" w:right="380" w:hanging="656"/>
        <w:spacing w:after="0" w:line="277" w:lineRule="auto"/>
        <w:tabs>
          <w:tab w:leader="none" w:pos="194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if applicable, the number of shares of Stock to be subject thereto;</w:t>
      </w:r>
    </w:p>
    <w:p>
      <w:pPr>
        <w:spacing w:after="0" w:line="62" w:lineRule="exact"/>
        <w:rPr>
          <w:rFonts w:ascii="Arial" w:cs="Arial" w:eastAsia="Arial" w:hAnsi="Arial"/>
          <w:sz w:val="18"/>
          <w:szCs w:val="18"/>
          <w:color w:val="auto"/>
        </w:rPr>
      </w:pPr>
    </w:p>
    <w:p>
      <w:pPr>
        <w:ind w:left="1952" w:hanging="656"/>
        <w:spacing w:after="0"/>
        <w:tabs>
          <w:tab w:leader="none" w:pos="195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designate Options as Incentive Stock Options or Nonstatutory Stock Options;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7" w:lineRule="exact"/>
        <w:rPr>
          <w:rFonts w:ascii="Arial" w:cs="Arial" w:eastAsia="Arial" w:hAnsi="Arial"/>
          <w:sz w:val="18"/>
          <w:szCs w:val="18"/>
          <w:color w:val="auto"/>
        </w:rPr>
      </w:pPr>
    </w:p>
    <w:p>
      <w:pPr>
        <w:ind w:left="1952" w:hanging="656"/>
        <w:spacing w:after="0" w:line="290" w:lineRule="auto"/>
        <w:tabs>
          <w:tab w:leader="none" w:pos="1952"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57" w:lineRule="exact"/>
        <w:rPr>
          <w:rFonts w:ascii="Arial" w:cs="Arial" w:eastAsia="Arial" w:hAnsi="Arial"/>
          <w:sz w:val="16"/>
          <w:szCs w:val="16"/>
          <w:color w:val="auto"/>
        </w:rPr>
      </w:pPr>
    </w:p>
    <w:p>
      <w:pPr>
        <w:ind w:left="1932" w:hanging="636"/>
        <w:spacing w:after="0"/>
        <w:tabs>
          <w:tab w:leader="none" w:pos="1932" w:val="left"/>
        </w:tabs>
        <w:numPr>
          <w:ilvl w:val="2"/>
          <w:numId w:val="89"/>
        </w:numPr>
        <w:rPr>
          <w:rFonts w:ascii="Arial" w:cs="Arial" w:eastAsia="Arial" w:hAnsi="Arial"/>
          <w:sz w:val="18"/>
          <w:szCs w:val="18"/>
          <w:color w:val="auto"/>
        </w:rPr>
      </w:pPr>
      <w:r>
        <w:rPr>
          <w:rFonts w:ascii="Arial" w:cs="Arial" w:eastAsia="Arial" w:hAnsi="Arial"/>
          <w:sz w:val="18"/>
          <w:szCs w:val="18"/>
          <w:color w:val="auto"/>
        </w:rPr>
        <w:t>to approve one or more forms of Award Agreement or Option Agreement;</w:t>
      </w:r>
    </w:p>
    <w:p>
      <w:pPr>
        <w:spacing w:after="0" w:line="117" w:lineRule="exact"/>
        <w:rPr>
          <w:rFonts w:ascii="Arial" w:cs="Arial" w:eastAsia="Arial" w:hAnsi="Arial"/>
          <w:sz w:val="18"/>
          <w:szCs w:val="18"/>
          <w:color w:val="auto"/>
        </w:rPr>
      </w:pPr>
    </w:p>
    <w:p>
      <w:pPr>
        <w:ind w:left="1952" w:right="40" w:hanging="656"/>
        <w:spacing w:after="0" w:line="269" w:lineRule="auto"/>
        <w:tabs>
          <w:tab w:leader="none" w:pos="1949" w:val="left"/>
        </w:tabs>
        <w:numPr>
          <w:ilvl w:val="2"/>
          <w:numId w:val="89"/>
        </w:numPr>
        <w:rPr>
          <w:rFonts w:ascii="Arial" w:cs="Arial" w:eastAsia="Arial" w:hAnsi="Arial"/>
          <w:sz w:val="17"/>
          <w:szCs w:val="17"/>
          <w:color w:val="auto"/>
        </w:rPr>
      </w:pPr>
      <w:r>
        <w:rPr>
          <w:rFonts w:ascii="Arial" w:cs="Arial" w:eastAsia="Arial" w:hAnsi="Arial"/>
          <w:sz w:val="17"/>
          <w:szCs w:val="17"/>
          <w:color w:val="auto"/>
        </w:rPr>
        <w:t xml:space="preserve">to amend, modify, extend, cancel or renew any Award, or to waive any restrictions or conditions applicable to any Award or any shares of Stock acquired upon the exercise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anything in this Plan to the contrary: (i)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73" w:lineRule="exact"/>
        <w:rPr>
          <w:rFonts w:ascii="Arial" w:cs="Arial" w:eastAsia="Arial" w:hAnsi="Arial"/>
          <w:sz w:val="17"/>
          <w:szCs w:val="17"/>
          <w:color w:val="auto"/>
        </w:rPr>
      </w:pPr>
    </w:p>
    <w:p>
      <w:pPr>
        <w:jc w:val="both"/>
        <w:ind w:left="1952" w:right="380" w:hanging="656"/>
        <w:spacing w:after="0" w:line="342" w:lineRule="auto"/>
        <w:tabs>
          <w:tab w:leader="none" w:pos="1952"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15" w:lineRule="exact"/>
        <w:rPr>
          <w:rFonts w:ascii="Arial" w:cs="Arial" w:eastAsia="Arial" w:hAnsi="Arial"/>
          <w:sz w:val="16"/>
          <w:szCs w:val="16"/>
          <w:color w:val="auto"/>
        </w:rPr>
      </w:pPr>
    </w:p>
    <w:p>
      <w:pPr>
        <w:ind w:left="1952" w:right="160" w:hanging="656"/>
        <w:spacing w:after="0" w:line="311" w:lineRule="auto"/>
        <w:tabs>
          <w:tab w:leader="none" w:pos="1952"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40" w:lineRule="exact"/>
        <w:rPr>
          <w:rFonts w:ascii="Arial" w:cs="Arial" w:eastAsia="Arial" w:hAnsi="Arial"/>
          <w:sz w:val="16"/>
          <w:szCs w:val="16"/>
          <w:color w:val="auto"/>
        </w:rPr>
      </w:pPr>
    </w:p>
    <w:p>
      <w:pPr>
        <w:ind w:left="1952" w:right="600" w:hanging="656"/>
        <w:spacing w:after="0" w:line="311" w:lineRule="auto"/>
        <w:tabs>
          <w:tab w:leader="none" w:pos="1939" w:val="left"/>
        </w:tabs>
        <w:numPr>
          <w:ilvl w:val="2"/>
          <w:numId w:val="89"/>
        </w:numPr>
        <w:rPr>
          <w:rFonts w:ascii="Arial" w:cs="Arial" w:eastAsia="Arial" w:hAnsi="Arial"/>
          <w:sz w:val="16"/>
          <w:szCs w:val="16"/>
          <w:color w:val="auto"/>
        </w:rPr>
      </w:pPr>
      <w:r>
        <w:rPr>
          <w:rFonts w:ascii="Arial" w:cs="Arial" w:eastAsia="Arial" w:hAnsi="Arial"/>
          <w:sz w:val="16"/>
          <w:szCs w:val="16"/>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3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32"/>
          </w:cols>
          <w:pgMar w:left="328" w:top="881" w:right="339" w:bottom="1440" w:gutter="0" w:footer="0" w:header="0"/>
        </w:sectPr>
      </w:pPr>
    </w:p>
    <w:bookmarkStart w:id="59" w:name="page60"/>
    <w:bookmarkEnd w:id="59"/>
    <w:p>
      <w:pPr>
        <w:ind w:left="1952" w:right="400" w:hanging="656"/>
        <w:spacing w:after="0" w:line="263" w:lineRule="auto"/>
        <w:tabs>
          <w:tab w:leader="none" w:pos="1939" w:val="left"/>
        </w:tabs>
        <w:numPr>
          <w:ilvl w:val="2"/>
          <w:numId w:val="90"/>
        </w:numPr>
        <w:rPr>
          <w:rFonts w:ascii="Arial" w:cs="Arial" w:eastAsia="Arial" w:hAnsi="Arial"/>
          <w:sz w:val="18"/>
          <w:szCs w:val="18"/>
          <w:color w:val="auto"/>
        </w:rPr>
      </w:pPr>
      <w:r>
        <w:rPr>
          <w:rFonts w:ascii="Arial" w:cs="Arial" w:eastAsia="Arial" w:hAnsi="Arial"/>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71" w:lineRule="exact"/>
        <w:rPr>
          <w:rFonts w:ascii="Arial" w:cs="Arial" w:eastAsia="Arial" w:hAnsi="Arial"/>
          <w:sz w:val="18"/>
          <w:szCs w:val="18"/>
          <w:color w:val="auto"/>
        </w:rPr>
      </w:pPr>
    </w:p>
    <w:p>
      <w:pPr>
        <w:ind w:left="1292" w:right="140" w:hanging="644"/>
        <w:spacing w:after="0" w:line="266" w:lineRule="auto"/>
        <w:tabs>
          <w:tab w:leader="none" w:pos="824" w:val="left"/>
        </w:tabs>
        <w:numPr>
          <w:ilvl w:val="1"/>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Administration with Respect to Insiders. </w:t>
      </w:r>
      <w:r>
        <w:rPr>
          <w:rFonts w:ascii="Arial" w:cs="Arial" w:eastAsia="Arial" w:hAnsi="Arial"/>
          <w:sz w:val="18"/>
          <w:szCs w:val="18"/>
          <w:color w:val="auto"/>
        </w:rPr>
        <w:t>With respect to participation by Insiders in the Plan, at any time that any class of equity security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registered pursuant to Section 12 of the Exchange Act, the Plan shall be administered in compliance with the requirements, if any, of Rule 16b-3.</w:t>
      </w:r>
    </w:p>
    <w:p>
      <w:pPr>
        <w:spacing w:after="0" w:line="67" w:lineRule="exact"/>
        <w:rPr>
          <w:rFonts w:ascii="Arial" w:cs="Arial" w:eastAsia="Arial" w:hAnsi="Arial"/>
          <w:sz w:val="18"/>
          <w:szCs w:val="18"/>
          <w:color w:val="auto"/>
        </w:rPr>
      </w:pPr>
    </w:p>
    <w:p>
      <w:pPr>
        <w:ind w:left="1292" w:right="20" w:hanging="644"/>
        <w:spacing w:after="0" w:line="269" w:lineRule="auto"/>
        <w:tabs>
          <w:tab w:leader="none" w:pos="824" w:val="left"/>
        </w:tabs>
        <w:numPr>
          <w:ilvl w:val="1"/>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w:t>
      </w:r>
      <w:r>
        <w:rPr>
          <w:rFonts w:ascii="Arial" w:cs="Arial" w:eastAsia="Arial" w:hAnsi="Arial"/>
          <w:sz w:val="17"/>
          <w:szCs w:val="17"/>
          <w:color w:val="auto"/>
        </w:rPr>
        <w:t>In addition to such other rights of indemnification as they may have as members of the Committee or Board or officers 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73" w:lineRule="exact"/>
        <w:rPr>
          <w:rFonts w:ascii="Arial" w:cs="Arial" w:eastAsia="Arial" w:hAnsi="Arial"/>
          <w:sz w:val="17"/>
          <w:szCs w:val="17"/>
          <w:color w:val="auto"/>
        </w:rPr>
      </w:pPr>
    </w:p>
    <w:p>
      <w:pPr>
        <w:ind w:left="172" w:hanging="172"/>
        <w:spacing w:after="0"/>
        <w:tabs>
          <w:tab w:leader="none" w:pos="17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SUBJECT TO PLAN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hanging="644"/>
        <w:spacing w:after="0" w:line="287" w:lineRule="auto"/>
        <w:tabs>
          <w:tab w:leader="none" w:pos="1292" w:val="left"/>
        </w:tabs>
        <w:numPr>
          <w:ilvl w:val="1"/>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Maximum Number of Shares Issuable. </w:t>
      </w:r>
      <w:r>
        <w:rPr>
          <w:rFonts w:ascii="Arial" w:cs="Arial" w:eastAsia="Arial" w:hAnsi="Arial"/>
          <w:sz w:val="16"/>
          <w:szCs w:val="16"/>
          <w:color w:val="auto"/>
        </w:rPr>
        <w:t>Subject to adjustment as provided in Section 4.3, the maximum aggregate number of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that may be issued under the Plan shall be </w:t>
      </w:r>
      <w:r>
        <w:rPr>
          <w:rFonts w:ascii="Arial" w:cs="Arial" w:eastAsia="Arial" w:hAnsi="Arial"/>
          <w:sz w:val="16"/>
          <w:szCs w:val="16"/>
          <w:b w:val="1"/>
          <w:bCs w:val="1"/>
          <w:color w:val="auto"/>
        </w:rPr>
        <w:t>5,398,100</w:t>
      </w:r>
      <w:r>
        <w:rPr>
          <w:rFonts w:ascii="Arial" w:cs="Arial" w:eastAsia="Arial" w:hAnsi="Arial"/>
          <w:sz w:val="16"/>
          <w:szCs w:val="16"/>
          <w:color w:val="auto"/>
        </w:rPr>
        <w:t>. Shares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59" w:lineRule="exact"/>
        <w:rPr>
          <w:rFonts w:ascii="Arial" w:cs="Arial" w:eastAsia="Arial" w:hAnsi="Arial"/>
          <w:sz w:val="16"/>
          <w:szCs w:val="16"/>
          <w:color w:val="auto"/>
        </w:rPr>
      </w:pPr>
    </w:p>
    <w:p>
      <w:pPr>
        <w:ind w:left="1292" w:right="440" w:hanging="644"/>
        <w:spacing w:after="0" w:line="281" w:lineRule="auto"/>
        <w:tabs>
          <w:tab w:leader="none" w:pos="1292" w:val="left"/>
        </w:tabs>
        <w:numPr>
          <w:ilvl w:val="1"/>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Award Limits. </w:t>
      </w:r>
      <w:r>
        <w:rPr>
          <w:rFonts w:ascii="Arial" w:cs="Arial" w:eastAsia="Arial" w:hAnsi="Arial"/>
          <w:sz w:val="17"/>
          <w:szCs w:val="17"/>
          <w:color w:val="auto"/>
        </w:rPr>
        <w:t>Subject to adjustment as provided in Section 4.3, the maximum aggregate number of shares of Stock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56" w:lineRule="exact"/>
        <w:rPr>
          <w:rFonts w:ascii="Arial" w:cs="Arial" w:eastAsia="Arial" w:hAnsi="Arial"/>
          <w:sz w:val="17"/>
          <w:szCs w:val="17"/>
          <w:color w:val="auto"/>
        </w:rPr>
      </w:pPr>
    </w:p>
    <w:p>
      <w:pPr>
        <w:ind w:left="1292" w:hanging="644"/>
        <w:spacing w:after="0"/>
        <w:tabs>
          <w:tab w:leader="none" w:pos="1292"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Adjustments for Changes in Capital Structure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52" w:right="60" w:hanging="656"/>
        <w:spacing w:after="0" w:line="269" w:lineRule="auto"/>
        <w:tabs>
          <w:tab w:leader="none" w:pos="1942" w:val="left"/>
        </w:tabs>
        <w:numPr>
          <w:ilvl w:val="2"/>
          <w:numId w:val="92"/>
        </w:numPr>
        <w:rPr>
          <w:rFonts w:ascii="Arial" w:cs="Arial" w:eastAsia="Arial" w:hAnsi="Arial"/>
          <w:sz w:val="17"/>
          <w:szCs w:val="17"/>
          <w:color w:val="auto"/>
        </w:rPr>
      </w:pPr>
      <w:r>
        <w:rPr>
          <w:rFonts w:ascii="Arial" w:cs="Arial" w:eastAsia="Arial" w:hAnsi="Arial"/>
          <w:sz w:val="17"/>
          <w:szCs w:val="17"/>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Arial" w:cs="Arial" w:eastAsia="Arial" w:hAnsi="Arial"/>
          <w:sz w:val="17"/>
          <w:szCs w:val="17"/>
          <w:b w:val="1"/>
          <w:bCs w:val="1"/>
          <w:i w:val="1"/>
          <w:iCs w:val="1"/>
          <w:color w:val="auto"/>
        </w:rPr>
        <w:t>New Shares</w:t>
      </w:r>
      <w:r>
        <w:rPr>
          <w:rFonts w:ascii="Arial" w:cs="Arial" w:eastAsia="Arial" w:hAnsi="Arial"/>
          <w:sz w:val="17"/>
          <w:szCs w:val="17"/>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2"/>
          </w:cols>
          <w:pgMar w:left="328" w:top="881" w:right="339" w:bottom="1440" w:gutter="0" w:footer="0" w:header="0"/>
        </w:sectPr>
      </w:pPr>
    </w:p>
    <w:bookmarkStart w:id="60" w:name="page61"/>
    <w:bookmarkEnd w:id="60"/>
    <w:p>
      <w:pPr>
        <w:ind w:left="1960" w:right="100"/>
        <w:spacing w:after="0" w:line="286" w:lineRule="auto"/>
        <w:rPr>
          <w:sz w:val="20"/>
          <w:szCs w:val="20"/>
          <w:color w:val="auto"/>
        </w:rPr>
      </w:pPr>
      <w:r>
        <w:rPr>
          <w:rFonts w:ascii="Arial" w:cs="Arial" w:eastAsia="Arial" w:hAnsi="Arial"/>
          <w:sz w:val="17"/>
          <w:szCs w:val="17"/>
          <w:color w:val="auto"/>
        </w:rPr>
        <w:t>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57" w:lineRule="exact"/>
        <w:rPr>
          <w:sz w:val="20"/>
          <w:szCs w:val="20"/>
          <w:color w:val="auto"/>
        </w:rPr>
      </w:pPr>
    </w:p>
    <w:p>
      <w:pPr>
        <w:ind w:left="1960" w:right="20" w:hanging="656"/>
        <w:spacing w:after="0" w:line="288" w:lineRule="auto"/>
        <w:tabs>
          <w:tab w:leader="none" w:pos="1960" w:val="left"/>
        </w:tabs>
        <w:numPr>
          <w:ilvl w:val="2"/>
          <w:numId w:val="93"/>
        </w:numPr>
        <w:rPr>
          <w:rFonts w:ascii="Arial" w:cs="Arial" w:eastAsia="Arial" w:hAnsi="Arial"/>
          <w:sz w:val="16"/>
          <w:szCs w:val="16"/>
          <w:color w:val="auto"/>
        </w:rPr>
      </w:pPr>
      <w:r>
        <w:rPr>
          <w:rFonts w:ascii="Arial" w:cs="Arial" w:eastAsia="Arial" w:hAnsi="Arial"/>
          <w:sz w:val="16"/>
          <w:szCs w:val="16"/>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 awards, of Awards held by Participants employed by the affected Subsidiary by the Subsidiary or an entity that controls the Subsidiary following the sale of such Subsidiary.</w:t>
      </w:r>
    </w:p>
    <w:p>
      <w:pPr>
        <w:spacing w:after="0" w:line="60" w:lineRule="exact"/>
        <w:rPr>
          <w:rFonts w:ascii="Arial" w:cs="Arial" w:eastAsia="Arial" w:hAnsi="Arial"/>
          <w:sz w:val="16"/>
          <w:szCs w:val="16"/>
          <w:color w:val="auto"/>
        </w:rPr>
      </w:pPr>
    </w:p>
    <w:p>
      <w:pPr>
        <w:ind w:left="1960" w:right="80" w:hanging="656"/>
        <w:spacing w:after="0" w:line="263" w:lineRule="auto"/>
        <w:tabs>
          <w:tab w:leader="none" w:pos="1950" w:val="left"/>
        </w:tabs>
        <w:numPr>
          <w:ilvl w:val="2"/>
          <w:numId w:val="93"/>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71" w:lineRule="exact"/>
        <w:rPr>
          <w:rFonts w:ascii="Arial" w:cs="Arial" w:eastAsia="Arial" w:hAnsi="Arial"/>
          <w:sz w:val="18"/>
          <w:szCs w:val="18"/>
          <w:color w:val="auto"/>
        </w:rPr>
      </w:pPr>
    </w:p>
    <w:p>
      <w:pPr>
        <w:ind w:left="180" w:hanging="172"/>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OPTION LIMITATIONS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60" w:hanging="644"/>
        <w:spacing w:after="0" w:line="281" w:lineRule="auto"/>
        <w:tabs>
          <w:tab w:leader="none" w:pos="1300" w:val="left"/>
        </w:tabs>
        <w:numPr>
          <w:ilvl w:val="1"/>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Persons Eligible for Awards. </w:t>
      </w:r>
      <w:r>
        <w:rPr>
          <w:rFonts w:ascii="Arial" w:cs="Arial" w:eastAsia="Arial" w:hAnsi="Arial"/>
          <w:sz w:val="17"/>
          <w:szCs w:val="17"/>
          <w:color w:val="auto"/>
        </w:rPr>
        <w:t>Awards may be granted pursuant to this Plan only to Employees, Consultants, and Directors. For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(1) Award.</w:t>
      </w:r>
    </w:p>
    <w:p>
      <w:pPr>
        <w:spacing w:after="0" w:line="56" w:lineRule="exact"/>
        <w:rPr>
          <w:rFonts w:ascii="Arial" w:cs="Arial" w:eastAsia="Arial" w:hAnsi="Arial"/>
          <w:sz w:val="17"/>
          <w:szCs w:val="17"/>
          <w:color w:val="auto"/>
        </w:rPr>
      </w:pPr>
    </w:p>
    <w:p>
      <w:pPr>
        <w:ind w:left="1300" w:right="220" w:hanging="644"/>
        <w:spacing w:after="0" w:line="281" w:lineRule="auto"/>
        <w:tabs>
          <w:tab w:leader="none" w:pos="1300" w:val="left"/>
        </w:tabs>
        <w:numPr>
          <w:ilvl w:val="1"/>
          <w:numId w:val="94"/>
        </w:numPr>
        <w:rPr>
          <w:rFonts w:ascii="Arial" w:cs="Arial" w:eastAsia="Arial" w:hAnsi="Arial"/>
          <w:sz w:val="17"/>
          <w:szCs w:val="17"/>
          <w:color w:val="auto"/>
        </w:rPr>
      </w:pPr>
      <w:r>
        <w:rPr>
          <w:rFonts w:ascii="Arial" w:cs="Arial" w:eastAsia="Arial" w:hAnsi="Arial"/>
          <w:sz w:val="17"/>
          <w:szCs w:val="17"/>
          <w:b w:val="1"/>
          <w:bCs w:val="1"/>
          <w:color w:val="auto"/>
        </w:rPr>
        <w:t xml:space="preserve">Option Grant Restrictions. </w:t>
      </w:r>
      <w:r>
        <w:rPr>
          <w:rFonts w:ascii="Arial" w:cs="Arial" w:eastAsia="Arial" w:hAnsi="Arial"/>
          <w:sz w:val="17"/>
          <w:szCs w:val="17"/>
          <w:color w:val="auto"/>
        </w:rPr>
        <w:t>Any person who is not an Employee on the effective date of the grant of an Option to such person may be</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56" w:lineRule="exact"/>
        <w:rPr>
          <w:rFonts w:ascii="Arial" w:cs="Arial" w:eastAsia="Arial" w:hAnsi="Arial"/>
          <w:sz w:val="17"/>
          <w:szCs w:val="17"/>
          <w:color w:val="auto"/>
        </w:rPr>
      </w:pPr>
    </w:p>
    <w:p>
      <w:pPr>
        <w:ind w:left="1300" w:hanging="644"/>
        <w:spacing w:after="0" w:line="288" w:lineRule="auto"/>
        <w:tabs>
          <w:tab w:leader="none" w:pos="1300" w:val="left"/>
        </w:tabs>
        <w:numPr>
          <w:ilvl w:val="1"/>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option plans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55" w:lineRule="exact"/>
        <w:rPr>
          <w:rFonts w:ascii="Arial" w:cs="Arial" w:eastAsia="Arial" w:hAnsi="Arial"/>
          <w:sz w:val="16"/>
          <w:szCs w:val="16"/>
          <w:color w:val="auto"/>
        </w:rPr>
      </w:pPr>
    </w:p>
    <w:p>
      <w:pPr>
        <w:ind w:left="180" w:hanging="172"/>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TERMS AND CONDITIONS OF OPTIONS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75" w:lineRule="exact"/>
        <w:rPr>
          <w:sz w:val="20"/>
          <w:szCs w:val="20"/>
          <w:color w:val="auto"/>
        </w:rPr>
      </w:pPr>
    </w:p>
    <w:p>
      <w:pPr>
        <w:jc w:val="both"/>
        <w:ind w:left="1300" w:hanging="644"/>
        <w:spacing w:after="0" w:line="303" w:lineRule="auto"/>
        <w:tabs>
          <w:tab w:leader="none" w:pos="130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 xml:space="preserve">Exercise Price. </w:t>
      </w:r>
      <w:r>
        <w:rPr>
          <w:rFonts w:ascii="Arial" w:cs="Arial" w:eastAsia="Arial" w:hAnsi="Arial"/>
          <w:sz w:val="16"/>
          <w:szCs w:val="16"/>
          <w:color w:val="auto"/>
        </w:rPr>
        <w:t>The exercise price for each Option shall be established in the discretion of the Committee; provided, however, that (a) the</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1" w:right="339" w:bottom="1440" w:gutter="0" w:footer="0" w:header="0"/>
        </w:sectPr>
      </w:pPr>
    </w:p>
    <w:bookmarkStart w:id="61" w:name="page62"/>
    <w:bookmarkEnd w:id="61"/>
    <w:p>
      <w:pPr>
        <w:jc w:val="both"/>
        <w:ind w:left="644"/>
        <w:spacing w:after="0" w:line="263" w:lineRule="auto"/>
        <w:rPr>
          <w:sz w:val="20"/>
          <w:szCs w:val="20"/>
          <w:color w:val="auto"/>
        </w:rPr>
      </w:pPr>
      <w:r>
        <w:rPr>
          <w:rFonts w:ascii="Arial" w:cs="Arial" w:eastAsia="Arial" w:hAnsi="Arial"/>
          <w:sz w:val="18"/>
          <w:szCs w:val="18"/>
          <w:color w:val="auto"/>
        </w:rPr>
        <w:t>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2" w:lineRule="exact"/>
        <w:rPr>
          <w:sz w:val="20"/>
          <w:szCs w:val="20"/>
          <w:color w:val="auto"/>
        </w:rPr>
      </w:pPr>
    </w:p>
    <w:p>
      <w:pPr>
        <w:jc w:val="both"/>
        <w:ind w:left="644" w:hanging="644"/>
        <w:spacing w:after="0" w:line="271" w:lineRule="auto"/>
        <w:tabs>
          <w:tab w:leader="none" w:pos="644"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xml:space="preserve">Exercisability and Term of Options. </w:t>
      </w:r>
      <w:r>
        <w:rPr>
          <w:rFonts w:ascii="Arial" w:cs="Arial" w:eastAsia="Arial" w:hAnsi="Arial"/>
          <w:sz w:val="17"/>
          <w:szCs w:val="17"/>
          <w:color w:val="auto"/>
        </w:rPr>
        <w:t>Options shall be exercisable at such time or times, or upon such event or events, and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such 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65" w:lineRule="exact"/>
        <w:rPr>
          <w:rFonts w:ascii="Arial" w:cs="Arial" w:eastAsia="Arial" w:hAnsi="Arial"/>
          <w:sz w:val="17"/>
          <w:szCs w:val="17"/>
          <w:color w:val="auto"/>
        </w:rPr>
      </w:pPr>
    </w:p>
    <w:p>
      <w:pPr>
        <w:ind w:left="644" w:hanging="644"/>
        <w:spacing w:after="0"/>
        <w:tabs>
          <w:tab w:leader="none" w:pos="644"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p>
    <w:p>
      <w:pPr>
        <w:spacing w:after="0" w:line="117" w:lineRule="exact"/>
        <w:rPr>
          <w:rFonts w:ascii="Arial" w:cs="Arial" w:eastAsia="Arial" w:hAnsi="Arial"/>
          <w:sz w:val="18"/>
          <w:szCs w:val="18"/>
          <w:color w:val="auto"/>
        </w:rPr>
      </w:pPr>
    </w:p>
    <w:p>
      <w:pPr>
        <w:ind w:left="1304" w:right="20" w:hanging="656"/>
        <w:spacing w:after="0" w:line="268" w:lineRule="auto"/>
        <w:tabs>
          <w:tab w:leader="none" w:pos="1294" w:val="left"/>
        </w:tabs>
        <w:numPr>
          <w:ilvl w:val="1"/>
          <w:numId w:val="96"/>
        </w:numPr>
        <w:rPr>
          <w:rFonts w:ascii="Arial" w:cs="Arial" w:eastAsia="Arial" w:hAnsi="Arial"/>
          <w:sz w:val="17"/>
          <w:szCs w:val="17"/>
          <w:color w:val="auto"/>
        </w:rPr>
      </w:pPr>
      <w:r>
        <w:rPr>
          <w:rFonts w:ascii="Arial" w:cs="Arial" w:eastAsia="Arial" w:hAnsi="Arial"/>
          <w:sz w:val="17"/>
          <w:szCs w:val="17"/>
          <w:b w:val="1"/>
          <w:bCs w:val="1"/>
          <w:color w:val="auto"/>
        </w:rPr>
        <w:t>Forms of Consideration Authorized</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below, payment of the exercise price for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Arial" w:cs="Arial" w:eastAsia="Arial" w:hAnsi="Arial"/>
          <w:sz w:val="17"/>
          <w:szCs w:val="17"/>
          <w:b w:val="1"/>
          <w:bCs w:val="1"/>
          <w:i w:val="1"/>
          <w:iCs w:val="1"/>
          <w:color w:val="auto"/>
        </w:rPr>
        <w:t>Cashless Exercise</w:t>
      </w:r>
      <w:r>
        <w:rPr>
          <w:rFonts w:ascii="Arial" w:cs="Arial" w:eastAsia="Arial" w:hAnsi="Arial"/>
          <w:sz w:val="17"/>
          <w:szCs w:val="17"/>
          <w:i w:val="1"/>
          <w:iCs w:val="1"/>
          <w:color w:val="auto"/>
        </w:rPr>
        <w:t>”</w:t>
      </w:r>
      <w:r>
        <w:rPr>
          <w:rFonts w:ascii="Arial" w:cs="Arial" w:eastAsia="Arial" w:hAnsi="Arial"/>
          <w:sz w:val="17"/>
          <w:szCs w:val="17"/>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73" w:lineRule="exact"/>
        <w:rPr>
          <w:rFonts w:ascii="Arial" w:cs="Arial" w:eastAsia="Arial" w:hAnsi="Arial"/>
          <w:sz w:val="17"/>
          <w:szCs w:val="17"/>
          <w:color w:val="auto"/>
        </w:rPr>
      </w:pPr>
    </w:p>
    <w:p>
      <w:pPr>
        <w:ind w:left="1304" w:hanging="656"/>
        <w:spacing w:after="0"/>
        <w:tabs>
          <w:tab w:leader="none" w:pos="1304"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Limitations on Forms of Consideration.</w:t>
      </w:r>
    </w:p>
    <w:p>
      <w:pPr>
        <w:spacing w:after="0" w:line="117" w:lineRule="exact"/>
        <w:rPr>
          <w:rFonts w:ascii="Arial" w:cs="Arial" w:eastAsia="Arial" w:hAnsi="Arial"/>
          <w:sz w:val="18"/>
          <w:szCs w:val="18"/>
          <w:color w:val="auto"/>
        </w:rPr>
      </w:pPr>
    </w:p>
    <w:p>
      <w:pPr>
        <w:ind w:left="1944" w:right="240" w:hanging="743"/>
        <w:spacing w:after="0" w:line="314" w:lineRule="auto"/>
        <w:tabs>
          <w:tab w:leader="none" w:pos="1944" w:val="left"/>
        </w:tabs>
        <w:numPr>
          <w:ilvl w:val="2"/>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Tender of Stock. </w:t>
      </w:r>
      <w:r>
        <w:rPr>
          <w:rFonts w:ascii="Arial" w:cs="Arial" w:eastAsia="Arial" w:hAnsi="Arial"/>
          <w:sz w:val="16"/>
          <w:szCs w:val="16"/>
          <w:color w:val="auto"/>
        </w:rPr>
        <w:t>Notwithstanding the foregoing, an Option may not be exercised by tender to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attestation to the ownership, of shares of Stock to the extent such tender or attestation would constitute a violation of the provisions of any law, regulation or agreement restricting the redemption of the Company’s stock.</w:t>
      </w:r>
    </w:p>
    <w:p>
      <w:pPr>
        <w:spacing w:after="0" w:line="33" w:lineRule="exact"/>
        <w:rPr>
          <w:rFonts w:ascii="Arial" w:cs="Arial" w:eastAsia="Arial" w:hAnsi="Arial"/>
          <w:sz w:val="16"/>
          <w:szCs w:val="16"/>
          <w:b w:val="1"/>
          <w:bCs w:val="1"/>
          <w:color w:val="auto"/>
        </w:rPr>
      </w:pPr>
    </w:p>
    <w:p>
      <w:pPr>
        <w:ind w:left="1944" w:hanging="793"/>
        <w:spacing w:after="0" w:line="266" w:lineRule="auto"/>
        <w:tabs>
          <w:tab w:leader="none" w:pos="1944" w:val="left"/>
        </w:tabs>
        <w:numPr>
          <w:ilvl w:val="2"/>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Cashless Exercise. </w:t>
      </w:r>
      <w:r>
        <w:rPr>
          <w:rFonts w:ascii="Arial" w:cs="Arial" w:eastAsia="Arial" w:hAnsi="Arial"/>
          <w:sz w:val="18"/>
          <w:szCs w:val="18"/>
          <w:color w:val="auto"/>
        </w:rPr>
        <w:t>The Company reserves, at any and all times, the right, in the Company’s sole and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to establish, decline to approve or terminate any program or procedures for the exercise of Options by means of a Cashless Exercise.</w:t>
      </w:r>
    </w:p>
    <w:p>
      <w:pPr>
        <w:spacing w:after="0" w:line="67" w:lineRule="exact"/>
        <w:rPr>
          <w:rFonts w:ascii="Arial" w:cs="Arial" w:eastAsia="Arial" w:hAnsi="Arial"/>
          <w:sz w:val="18"/>
          <w:szCs w:val="18"/>
          <w:color w:val="auto"/>
        </w:rPr>
      </w:pPr>
    </w:p>
    <w:p>
      <w:pPr>
        <w:ind w:left="184" w:hanging="184"/>
        <w:spacing w:after="0"/>
        <w:tabs>
          <w:tab w:leader="none" w:pos="184"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Effect of Termination of Service</w:t>
      </w:r>
    </w:p>
    <w:p>
      <w:pPr>
        <w:spacing w:after="0" w:line="117" w:lineRule="exact"/>
        <w:rPr>
          <w:rFonts w:ascii="Arial" w:cs="Arial" w:eastAsia="Arial" w:hAnsi="Arial"/>
          <w:sz w:val="18"/>
          <w:szCs w:val="18"/>
          <w:color w:val="auto"/>
        </w:rPr>
      </w:pPr>
    </w:p>
    <w:p>
      <w:pPr>
        <w:ind w:left="1304" w:hanging="656"/>
        <w:spacing w:after="0" w:line="261" w:lineRule="auto"/>
        <w:tabs>
          <w:tab w:leader="none" w:pos="826" w:val="left"/>
        </w:tabs>
        <w:numPr>
          <w:ilvl w:val="1"/>
          <w:numId w:val="96"/>
        </w:numPr>
        <w:rPr>
          <w:rFonts w:ascii="Arial" w:cs="Arial" w:eastAsia="Arial" w:hAnsi="Arial"/>
          <w:sz w:val="18"/>
          <w:szCs w:val="18"/>
          <w:color w:val="auto"/>
        </w:rPr>
      </w:pPr>
      <w:r>
        <w:rPr>
          <w:rFonts w:ascii="Arial" w:cs="Arial" w:eastAsia="Arial" w:hAnsi="Arial"/>
          <w:sz w:val="18"/>
          <w:szCs w:val="18"/>
          <w:b w:val="1"/>
          <w:bCs w:val="1"/>
          <w:color w:val="auto"/>
        </w:rPr>
        <w:t>Option Exercisability</w:t>
      </w:r>
      <w:r>
        <w:rPr>
          <w:rFonts w:ascii="Arial" w:cs="Arial" w:eastAsia="Arial" w:hAnsi="Arial"/>
          <w:sz w:val="18"/>
          <w:szCs w:val="18"/>
          <w:color w:val="auto"/>
        </w:rPr>
        <w:t>. Subject to earlier termination of the Option as otherwise provided herein and unless otherwise provided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71" w:lineRule="exact"/>
        <w:rPr>
          <w:rFonts w:ascii="Arial" w:cs="Arial" w:eastAsia="Arial" w:hAnsi="Arial"/>
          <w:sz w:val="18"/>
          <w:szCs w:val="18"/>
          <w:color w:val="auto"/>
        </w:rPr>
      </w:pPr>
    </w:p>
    <w:p>
      <w:pPr>
        <w:jc w:val="both"/>
        <w:ind w:left="1944" w:hanging="743"/>
        <w:spacing w:after="0" w:line="277" w:lineRule="auto"/>
        <w:tabs>
          <w:tab w:leader="none" w:pos="1944" w:val="left"/>
        </w:tabs>
        <w:numPr>
          <w:ilvl w:val="2"/>
          <w:numId w:val="96"/>
        </w:numPr>
        <w:rPr>
          <w:rFonts w:ascii="Arial" w:cs="Arial" w:eastAsia="Arial" w:hAnsi="Arial"/>
          <w:sz w:val="17"/>
          <w:szCs w:val="17"/>
          <w:color w:val="auto"/>
        </w:rPr>
      </w:pPr>
      <w:r>
        <w:rPr>
          <w:rFonts w:ascii="Arial" w:cs="Arial" w:eastAsia="Arial" w:hAnsi="Arial"/>
          <w:sz w:val="17"/>
          <w:szCs w:val="17"/>
          <w:b w:val="1"/>
          <w:bCs w:val="1"/>
          <w:color w:val="auto"/>
        </w:rPr>
        <w:t>Disability</w:t>
      </w:r>
      <w:r>
        <w:rPr>
          <w:rFonts w:ascii="Arial" w:cs="Arial" w:eastAsia="Arial" w:hAnsi="Arial"/>
          <w:sz w:val="17"/>
          <w:szCs w:val="17"/>
          <w:color w:val="auto"/>
        </w:rPr>
        <w:t>. If the Participant’s Service with the Participating Company Group terminates because of the Disability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w:t>
      </w: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976" w:top="881" w:right="339" w:bottom="1440" w:gutter="0" w:footer="0" w:header="0"/>
        </w:sectPr>
      </w:pPr>
    </w:p>
    <w:bookmarkStart w:id="62" w:name="page63"/>
    <w:bookmarkEnd w:id="62"/>
    <w:p>
      <w:pPr>
        <w:ind w:left="2600"/>
        <w:spacing w:after="0" w:line="277" w:lineRule="auto"/>
        <w:rPr>
          <w:sz w:val="20"/>
          <w:szCs w:val="20"/>
          <w:color w:val="auto"/>
        </w:rPr>
      </w:pPr>
      <w:r>
        <w:rPr>
          <w:rFonts w:ascii="Arial" w:cs="Arial" w:eastAsia="Arial" w:hAnsi="Arial"/>
          <w:sz w:val="18"/>
          <w:szCs w:val="18"/>
          <w:color w:val="auto"/>
        </w:rPr>
        <w:t>no later than the date of expiration of the Option’s term as set forth in the Option Agreement evidencing such Option (the “</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w:t>
      </w:r>
    </w:p>
    <w:p>
      <w:pPr>
        <w:spacing w:after="0" w:line="58" w:lineRule="exact"/>
        <w:rPr>
          <w:sz w:val="20"/>
          <w:szCs w:val="20"/>
          <w:color w:val="auto"/>
        </w:rPr>
      </w:pPr>
    </w:p>
    <w:p>
      <w:pPr>
        <w:jc w:val="both"/>
        <w:ind w:left="2600" w:hanging="793"/>
        <w:spacing w:after="0" w:line="272" w:lineRule="auto"/>
        <w:tabs>
          <w:tab w:leader="none" w:pos="2600" w:val="left"/>
        </w:tabs>
        <w:numPr>
          <w:ilvl w:val="4"/>
          <w:numId w:val="97"/>
        </w:numPr>
        <w:rPr>
          <w:rFonts w:ascii="Arial" w:cs="Arial" w:eastAsia="Arial" w:hAnsi="Arial"/>
          <w:sz w:val="17"/>
          <w:szCs w:val="17"/>
          <w:i w:val="1"/>
          <w:iCs w:val="1"/>
          <w:color w:val="auto"/>
        </w:rPr>
      </w:pPr>
      <w:r>
        <w:rPr>
          <w:rFonts w:ascii="Arial" w:cs="Arial" w:eastAsia="Arial" w:hAnsi="Arial"/>
          <w:sz w:val="17"/>
          <w:szCs w:val="17"/>
          <w:b w:val="1"/>
          <w:bCs w:val="1"/>
          <w:color w:val="auto"/>
        </w:rPr>
        <w:t xml:space="preserve">Death. </w:t>
      </w:r>
      <w:r>
        <w:rPr>
          <w:rFonts w:ascii="Arial" w:cs="Arial" w:eastAsia="Arial" w:hAnsi="Arial"/>
          <w:sz w:val="17"/>
          <w:szCs w:val="17"/>
          <w:color w:val="auto"/>
        </w:rPr>
        <w:t>If the Participant’s Service with the Participating Company Group terminates because of the death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63" w:lineRule="exact"/>
        <w:rPr>
          <w:rFonts w:ascii="Arial" w:cs="Arial" w:eastAsia="Arial" w:hAnsi="Arial"/>
          <w:sz w:val="17"/>
          <w:szCs w:val="17"/>
          <w:i w:val="1"/>
          <w:iCs w:val="1"/>
          <w:color w:val="auto"/>
        </w:rPr>
      </w:pPr>
    </w:p>
    <w:p>
      <w:pPr>
        <w:ind w:left="2600" w:hanging="842"/>
        <w:spacing w:after="0" w:line="282" w:lineRule="auto"/>
        <w:tabs>
          <w:tab w:leader="none" w:pos="2600" w:val="left"/>
        </w:tabs>
        <w:numPr>
          <w:ilvl w:val="4"/>
          <w:numId w:val="97"/>
        </w:numPr>
        <w:rPr>
          <w:rFonts w:ascii="Arial" w:cs="Arial" w:eastAsia="Arial" w:hAnsi="Arial"/>
          <w:sz w:val="18"/>
          <w:szCs w:val="18"/>
          <w:color w:val="auto"/>
        </w:rPr>
      </w:pPr>
      <w:r>
        <w:rPr>
          <w:rFonts w:ascii="Arial" w:cs="Arial" w:eastAsia="Arial" w:hAnsi="Arial"/>
          <w:sz w:val="18"/>
          <w:szCs w:val="18"/>
          <w:b w:val="1"/>
          <w:bCs w:val="1"/>
          <w:color w:val="auto"/>
        </w:rPr>
        <w:t>Cause</w:t>
      </w:r>
      <w:r>
        <w:rPr>
          <w:rFonts w:ascii="Arial" w:cs="Arial" w:eastAsia="Arial" w:hAnsi="Arial"/>
          <w:sz w:val="18"/>
          <w:szCs w:val="18"/>
          <w:color w:val="auto"/>
        </w:rPr>
        <w:t>. If the Participant’s Service with the Participating Company Group is terminated for Cause, the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and cease to be exercisable immediately upon such termination of Service.</w:t>
      </w:r>
    </w:p>
    <w:p>
      <w:pPr>
        <w:spacing w:after="0" w:line="53" w:lineRule="exact"/>
        <w:rPr>
          <w:rFonts w:ascii="Arial" w:cs="Arial" w:eastAsia="Arial" w:hAnsi="Arial"/>
          <w:sz w:val="18"/>
          <w:szCs w:val="18"/>
          <w:color w:val="auto"/>
        </w:rPr>
      </w:pPr>
    </w:p>
    <w:p>
      <w:pPr>
        <w:jc w:val="both"/>
        <w:ind w:left="2600" w:hanging="833"/>
        <w:spacing w:after="0" w:line="298" w:lineRule="auto"/>
        <w:tabs>
          <w:tab w:leader="none" w:pos="2588" w:val="left"/>
        </w:tabs>
        <w:numPr>
          <w:ilvl w:val="3"/>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If the Participant’s Service with the Participating Company Group terminates for any reason,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Disability, death or Cause, the Option, to the extent unexercised and exercisable by the Participant on the date on which the Participant’s 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45" w:lineRule="exact"/>
        <w:rPr>
          <w:rFonts w:ascii="Arial" w:cs="Arial" w:eastAsia="Arial" w:hAnsi="Arial"/>
          <w:sz w:val="16"/>
          <w:szCs w:val="16"/>
          <w:color w:val="auto"/>
        </w:rPr>
      </w:pPr>
    </w:p>
    <w:p>
      <w:pPr>
        <w:ind w:left="1960" w:hanging="656"/>
        <w:spacing w:after="0" w:line="303" w:lineRule="auto"/>
        <w:tabs>
          <w:tab w:leader="none" w:pos="1505" w:val="left"/>
        </w:tabs>
        <w:numPr>
          <w:ilvl w:val="2"/>
          <w:numId w:val="99"/>
        </w:numPr>
        <w:rPr>
          <w:rFonts w:ascii="Arial" w:cs="Arial" w:eastAsia="Arial" w:hAnsi="Arial"/>
          <w:sz w:val="16"/>
          <w:szCs w:val="16"/>
          <w:color w:val="auto"/>
        </w:rPr>
      </w:pPr>
      <w:r>
        <w:rPr>
          <w:rFonts w:ascii="Arial" w:cs="Arial" w:eastAsia="Arial" w:hAnsi="Arial"/>
          <w:sz w:val="16"/>
          <w:szCs w:val="16"/>
          <w:b w:val="1"/>
          <w:bCs w:val="1"/>
          <w:color w:val="auto"/>
        </w:rPr>
        <w:t>Extension if Exercise Prevented by Law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the foregoing, if the exercise of an Option within the applicable time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42" w:lineRule="exact"/>
        <w:rPr>
          <w:rFonts w:ascii="Arial" w:cs="Arial" w:eastAsia="Arial" w:hAnsi="Arial"/>
          <w:sz w:val="16"/>
          <w:szCs w:val="16"/>
          <w:color w:val="auto"/>
        </w:rPr>
      </w:pPr>
    </w:p>
    <w:p>
      <w:pPr>
        <w:ind w:left="1960" w:hanging="656"/>
        <w:spacing w:after="0" w:line="275" w:lineRule="auto"/>
        <w:tabs>
          <w:tab w:leader="none" w:pos="1495" w:val="left"/>
        </w:tabs>
        <w:numPr>
          <w:ilvl w:val="2"/>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Extension if Participant Subject to Section 16(b). </w:t>
      </w:r>
      <w:r>
        <w:rPr>
          <w:rFonts w:ascii="Arial" w:cs="Arial" w:eastAsia="Arial" w:hAnsi="Arial"/>
          <w:sz w:val="17"/>
          <w:szCs w:val="17"/>
          <w:color w:val="auto"/>
        </w:rPr>
        <w:t>Notwithstanding the foregoing, if a sale within the applicable time periods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Arial" w:cs="Arial" w:eastAsia="Arial" w:hAnsi="Arial"/>
          <w:sz w:val="22"/>
          <w:szCs w:val="22"/>
          <w:color w:val="auto"/>
          <w:vertAlign w:val="superscript"/>
        </w:rPr>
        <w:t>th</w:t>
      </w:r>
      <w:r>
        <w:rPr>
          <w:rFonts w:ascii="Arial" w:cs="Arial" w:eastAsia="Arial" w:hAnsi="Arial"/>
          <w:sz w:val="17"/>
          <w:szCs w:val="17"/>
          <w:color w:val="auto"/>
        </w:rPr>
        <w:t>) day after the Participant’s termination of Service, or (iii) the Option Expiration Date.</w:t>
      </w:r>
    </w:p>
    <w:p>
      <w:pPr>
        <w:spacing w:after="0" w:line="2" w:lineRule="exact"/>
        <w:rPr>
          <w:rFonts w:ascii="Arial" w:cs="Arial" w:eastAsia="Arial" w:hAnsi="Arial"/>
          <w:sz w:val="17"/>
          <w:szCs w:val="17"/>
          <w:color w:val="auto"/>
        </w:rPr>
      </w:pPr>
    </w:p>
    <w:p>
      <w:pPr>
        <w:ind w:left="1960" w:hanging="656"/>
        <w:spacing w:after="0" w:line="289" w:lineRule="auto"/>
        <w:tabs>
          <w:tab w:leader="none" w:pos="1492" w:val="left"/>
        </w:tabs>
        <w:numPr>
          <w:ilvl w:val="2"/>
          <w:numId w:val="99"/>
        </w:numPr>
        <w:rPr>
          <w:rFonts w:ascii="Arial" w:cs="Arial" w:eastAsia="Arial" w:hAnsi="Arial"/>
          <w:sz w:val="17"/>
          <w:szCs w:val="17"/>
          <w:color w:val="auto"/>
        </w:rPr>
      </w:pPr>
      <w:r>
        <w:rPr>
          <w:rFonts w:ascii="Arial" w:cs="Arial" w:eastAsia="Arial" w:hAnsi="Arial"/>
          <w:sz w:val="17"/>
          <w:szCs w:val="17"/>
          <w:b w:val="1"/>
          <w:bCs w:val="1"/>
          <w:color w:val="auto"/>
        </w:rPr>
        <w:t>Option Vesting</w:t>
      </w:r>
      <w:r>
        <w:rPr>
          <w:rFonts w:ascii="Arial" w:cs="Arial" w:eastAsia="Arial" w:hAnsi="Arial"/>
          <w:sz w:val="17"/>
          <w:szCs w:val="17"/>
          <w:color w:val="auto"/>
        </w:rPr>
        <w:t>. Every Option awarded under the Plan (including those Options awarded prior to the Effective Date, which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to incorporate the following terms) shall become 100% vested if the Participant’s Service with the Participating Company Group terminates because of the death of the Participant, as of the date of the Participant’s death.</w:t>
      </w:r>
    </w:p>
    <w:p>
      <w:pPr>
        <w:spacing w:after="0" w:line="49" w:lineRule="exact"/>
        <w:rPr>
          <w:rFonts w:ascii="Arial" w:cs="Arial" w:eastAsia="Arial" w:hAnsi="Arial"/>
          <w:sz w:val="17"/>
          <w:szCs w:val="17"/>
          <w:color w:val="auto"/>
        </w:rPr>
      </w:pPr>
    </w:p>
    <w:p>
      <w:pPr>
        <w:ind w:left="840" w:hanging="184"/>
        <w:spacing w:after="0"/>
        <w:tabs>
          <w:tab w:leader="none" w:pos="84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Dividend Payments. </w:t>
      </w:r>
      <w:r>
        <w:rPr>
          <w:rFonts w:ascii="Arial" w:cs="Arial" w:eastAsia="Arial" w:hAnsi="Arial"/>
          <w:sz w:val="18"/>
          <w:szCs w:val="18"/>
          <w:color w:val="auto"/>
        </w:rPr>
        <w:t>No dividends or dividend equivalents will be accrued or paid with respect to Options.</w:t>
      </w:r>
    </w:p>
    <w:p>
      <w:pPr>
        <w:spacing w:after="0" w:line="117" w:lineRule="exact"/>
        <w:rPr>
          <w:rFonts w:ascii="Arial" w:cs="Arial" w:eastAsia="Arial" w:hAnsi="Arial"/>
          <w:sz w:val="18"/>
          <w:szCs w:val="18"/>
          <w:color w:val="auto"/>
        </w:rPr>
      </w:pPr>
    </w:p>
    <w:p>
      <w:pPr>
        <w:ind w:left="840" w:hanging="184"/>
        <w:spacing w:after="0"/>
        <w:tabs>
          <w:tab w:leader="none" w:pos="840"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Standard Forms of Option Agreement.</w:t>
      </w:r>
    </w:p>
    <w:p>
      <w:pPr>
        <w:spacing w:after="0" w:line="117" w:lineRule="exact"/>
        <w:rPr>
          <w:rFonts w:ascii="Arial" w:cs="Arial" w:eastAsia="Arial" w:hAnsi="Arial"/>
          <w:sz w:val="18"/>
          <w:szCs w:val="18"/>
          <w:color w:val="auto"/>
        </w:rPr>
      </w:pPr>
    </w:p>
    <w:p>
      <w:pPr>
        <w:ind w:left="1960" w:right="20" w:hanging="656"/>
        <w:spacing w:after="0" w:line="266" w:lineRule="auto"/>
        <w:tabs>
          <w:tab w:leader="none" w:pos="1950" w:val="left"/>
        </w:tabs>
        <w:numPr>
          <w:ilvl w:val="2"/>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Option Agreement. </w:t>
      </w:r>
      <w:r>
        <w:rPr>
          <w:rFonts w:ascii="Arial" w:cs="Arial" w:eastAsia="Arial" w:hAnsi="Arial"/>
          <w:sz w:val="18"/>
          <w:szCs w:val="18"/>
          <w:color w:val="auto"/>
        </w:rPr>
        <w:t>Unless otherwise provided by the Committee at the time the Option is granted, an Option shall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be subject to the terms and conditions set forth in the form of Option Agreement approved by the Committee concurrently with its adoption of the Plan and as amended from time to time</w:t>
      </w:r>
    </w:p>
    <w:p>
      <w:pPr>
        <w:spacing w:after="0" w:line="67" w:lineRule="exact"/>
        <w:rPr>
          <w:rFonts w:ascii="Arial" w:cs="Arial" w:eastAsia="Arial" w:hAnsi="Arial"/>
          <w:sz w:val="18"/>
          <w:szCs w:val="18"/>
          <w:color w:val="auto"/>
        </w:rPr>
      </w:pPr>
    </w:p>
    <w:p>
      <w:pPr>
        <w:ind w:left="1960" w:right="20" w:hanging="656"/>
        <w:spacing w:after="0" w:line="303" w:lineRule="auto"/>
        <w:tabs>
          <w:tab w:leader="none" w:pos="1960" w:val="left"/>
        </w:tabs>
        <w:numPr>
          <w:ilvl w:val="2"/>
          <w:numId w:val="100"/>
        </w:numPr>
        <w:rPr>
          <w:rFonts w:ascii="Arial" w:cs="Arial" w:eastAsia="Arial" w:hAnsi="Arial"/>
          <w:sz w:val="16"/>
          <w:szCs w:val="16"/>
          <w:color w:val="auto"/>
        </w:rPr>
      </w:pPr>
      <w:r>
        <w:rPr>
          <w:rFonts w:ascii="Arial" w:cs="Arial" w:eastAsia="Arial" w:hAnsi="Arial"/>
          <w:sz w:val="16"/>
          <w:szCs w:val="16"/>
          <w:b w:val="1"/>
          <w:bCs w:val="1"/>
          <w:color w:val="auto"/>
        </w:rPr>
        <w:t xml:space="preserve">Authority to Vary Terms. </w:t>
      </w:r>
      <w:r>
        <w:rPr>
          <w:rFonts w:ascii="Arial" w:cs="Arial" w:eastAsia="Arial" w:hAnsi="Arial"/>
          <w:sz w:val="16"/>
          <w:szCs w:val="16"/>
          <w:color w:val="auto"/>
        </w:rPr>
        <w:t>The Committee shall have the authority from time to time to vary the terms of any standard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42" w:lineRule="exact"/>
        <w:rPr>
          <w:rFonts w:ascii="Arial" w:cs="Arial" w:eastAsia="Arial" w:hAnsi="Arial"/>
          <w:sz w:val="16"/>
          <w:szCs w:val="16"/>
          <w:color w:val="auto"/>
        </w:rPr>
      </w:pPr>
    </w:p>
    <w:p>
      <w:pPr>
        <w:ind w:left="180" w:hanging="172"/>
        <w:spacing w:after="0"/>
        <w:tabs>
          <w:tab w:leader="none" w:pos="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01"/>
        </w:numPr>
        <w:rPr>
          <w:rFonts w:ascii="Arial" w:cs="Arial" w:eastAsia="Arial" w:hAnsi="Arial"/>
          <w:sz w:val="18"/>
          <w:szCs w:val="18"/>
          <w:color w:val="auto"/>
        </w:rPr>
      </w:pPr>
      <w:r>
        <w:rPr>
          <w:rFonts w:ascii="Arial" w:cs="Arial" w:eastAsia="Arial" w:hAnsi="Arial"/>
          <w:sz w:val="18"/>
          <w:szCs w:val="18"/>
          <w:b w:val="1"/>
          <w:bCs w:val="1"/>
          <w:color w:val="auto"/>
        </w:rPr>
        <w:t>Grant of Stock Appreciation Rights.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81" w:right="339" w:bottom="1440" w:gutter="0" w:footer="0" w:header="0"/>
        </w:sectPr>
      </w:pPr>
    </w:p>
    <w:bookmarkStart w:id="63" w:name="page64"/>
    <w:bookmarkEnd w:id="63"/>
    <w:p>
      <w:pPr>
        <w:jc w:val="both"/>
        <w:ind w:left="1960" w:right="80" w:hanging="656"/>
        <w:spacing w:after="0" w:line="286" w:lineRule="auto"/>
        <w:tabs>
          <w:tab w:leader="none" w:pos="195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57" w:lineRule="exact"/>
        <w:rPr>
          <w:rFonts w:ascii="Arial" w:cs="Arial" w:eastAsia="Arial" w:hAnsi="Arial"/>
          <w:sz w:val="17"/>
          <w:szCs w:val="17"/>
          <w:color w:val="auto"/>
        </w:rPr>
      </w:pPr>
    </w:p>
    <w:p>
      <w:pPr>
        <w:ind w:left="1960" w:right="180" w:hanging="656"/>
        <w:spacing w:after="0" w:line="255" w:lineRule="auto"/>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84" w:lineRule="exact"/>
        <w:rPr>
          <w:rFonts w:ascii="Arial" w:cs="Arial" w:eastAsia="Arial" w:hAnsi="Arial"/>
          <w:sz w:val="18"/>
          <w:szCs w:val="18"/>
          <w:color w:val="auto"/>
        </w:rPr>
      </w:pPr>
    </w:p>
    <w:p>
      <w:pPr>
        <w:ind w:left="1960" w:right="180" w:hanging="656"/>
        <w:spacing w:after="0" w:line="263" w:lineRule="auto"/>
        <w:tabs>
          <w:tab w:leader="none" w:pos="195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grant price per share of Stock subject to a Stock Appreciation Right shall be determined by the Committee and set forth in the Award Agreement; </w:t>
      </w:r>
      <w:r>
        <w:rPr>
          <w:rFonts w:ascii="Arial" w:cs="Arial" w:eastAsia="Arial" w:hAnsi="Arial"/>
          <w:sz w:val="18"/>
          <w:szCs w:val="18"/>
          <w:i w:val="1"/>
          <w:iCs w:val="1"/>
          <w:color w:val="auto"/>
        </w:rPr>
        <w:t>provided that</w:t>
      </w:r>
      <w:r>
        <w:rPr>
          <w:rFonts w:ascii="Arial" w:cs="Arial" w:eastAsia="Arial" w:hAnsi="Arial"/>
          <w:sz w:val="18"/>
          <w:szCs w:val="18"/>
          <w:color w:val="auto"/>
        </w:rPr>
        <w:t>, the grant price for any Stock Appreciation Right shall not be less than 100% of the Fair Market Value of a share of Stock on the date of grant.</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provisions set forth in Section 6.4 with respect to the exercise of Options following termination of employment shall apply as well to such exercise of SARs.</w:t>
      </w:r>
    </w:p>
    <w:p>
      <w:pPr>
        <w:spacing w:after="0" w:line="58" w:lineRule="exact"/>
        <w:rPr>
          <w:sz w:val="20"/>
          <w:szCs w:val="20"/>
          <w:color w:val="auto"/>
        </w:rPr>
      </w:pPr>
    </w:p>
    <w:p>
      <w:pPr>
        <w:ind w:left="1300" w:right="120" w:hanging="647"/>
        <w:spacing w:after="0" w:line="266" w:lineRule="auto"/>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 Payment and Limitations on Exercise.</w:t>
      </w:r>
      <w:r>
        <w:rPr>
          <w:rFonts w:ascii="Arial" w:cs="Arial" w:eastAsia="Arial" w:hAnsi="Arial"/>
          <w:sz w:val="18"/>
          <w:szCs w:val="18"/>
          <w:color w:val="auto"/>
        </w:rPr>
        <w:t xml:space="preserve"> Payment of the amounts determined under Section 7.1(b) hereof shall be in cash, in shares of Stock (based on the Fair Market Value as of the date the Stock Appreciation Right is exercised) or a combination of both, as determined by the Committee.</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 Dividend Payments.</w:t>
      </w:r>
      <w:r>
        <w:rPr>
          <w:rFonts w:ascii="Arial" w:cs="Arial" w:eastAsia="Arial" w:hAnsi="Arial"/>
          <w:sz w:val="18"/>
          <w:szCs w:val="18"/>
          <w:color w:val="auto"/>
        </w:rPr>
        <w:t xml:space="preserve"> No dividends or dividend equivalents will be accrued or paid with respect to SARs.</w:t>
      </w:r>
    </w:p>
    <w:p>
      <w:pPr>
        <w:spacing w:after="0" w:line="117"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TO NON-EMPLOYEE DIRECTORS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2" w:lineRule="exact"/>
        <w:rPr>
          <w:sz w:val="20"/>
          <w:szCs w:val="20"/>
          <w:color w:val="auto"/>
        </w:rPr>
      </w:pPr>
    </w:p>
    <w:p>
      <w:pPr>
        <w:ind w:firstLine="8"/>
        <w:spacing w:after="0" w:line="260" w:lineRule="auto"/>
        <w:tabs>
          <w:tab w:leader="none" w:pos="27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73"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AND DELIVERY OF RESTRICTED STOCK</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40" w:hanging="644"/>
        <w:spacing w:after="0" w:line="272" w:lineRule="auto"/>
        <w:tabs>
          <w:tab w:leader="none" w:pos="1300" w:val="left"/>
        </w:tabs>
        <w:numPr>
          <w:ilvl w:val="1"/>
          <w:numId w:val="105"/>
        </w:numPr>
        <w:rPr>
          <w:rFonts w:ascii="Arial" w:cs="Arial" w:eastAsia="Arial" w:hAnsi="Arial"/>
          <w:sz w:val="17"/>
          <w:szCs w:val="17"/>
          <w:color w:val="auto"/>
        </w:rPr>
      </w:pPr>
      <w:r>
        <w:rPr>
          <w:rFonts w:ascii="Arial" w:cs="Arial" w:eastAsia="Arial" w:hAnsi="Arial"/>
          <w:sz w:val="17"/>
          <w:szCs w:val="17"/>
          <w:b w:val="1"/>
          <w:bCs w:val="1"/>
          <w:color w:val="auto"/>
        </w:rPr>
        <w:t xml:space="preserve">Restricted Period. </w:t>
      </w:r>
      <w:r>
        <w:rPr>
          <w:rFonts w:ascii="Arial" w:cs="Arial" w:eastAsia="Arial" w:hAnsi="Arial"/>
          <w:sz w:val="17"/>
          <w:szCs w:val="17"/>
          <w:color w:val="auto"/>
        </w:rPr>
        <w:t>At the time an award of Restricted Stock is made, the Committee shall establish a period or periods of time (each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Restricted Period</w:t>
      </w:r>
      <w:r>
        <w:rPr>
          <w:rFonts w:ascii="Arial" w:cs="Arial" w:eastAsia="Arial" w:hAnsi="Arial"/>
          <w:sz w:val="17"/>
          <w:szCs w:val="17"/>
          <w:i w:val="1"/>
          <w:iCs w:val="1"/>
          <w:color w:val="auto"/>
        </w:rPr>
        <w:t>”</w:t>
      </w:r>
      <w:r>
        <w:rPr>
          <w:rFonts w:ascii="Arial" w:cs="Arial" w:eastAsia="Arial" w:hAnsi="Arial"/>
          <w:sz w:val="17"/>
          <w:szCs w:val="17"/>
          <w:color w:val="auto"/>
        </w:rPr>
        <w:t>) or such other restrictions on the vesting of the Restricted Stock as it shall deem appropriate or applicable to such</w:t>
      </w:r>
      <w:r>
        <w:rPr>
          <w:rFonts w:ascii="Arial" w:cs="Arial" w:eastAsia="Arial" w:hAnsi="Arial"/>
          <w:sz w:val="17"/>
          <w:szCs w:val="17"/>
          <w:i w:val="1"/>
          <w:iCs w:val="1"/>
          <w:color w:val="auto"/>
        </w:rPr>
        <w:t xml:space="preserve"> </w:t>
      </w:r>
      <w:r>
        <w:rPr>
          <w:rFonts w:ascii="Arial" w:cs="Arial" w:eastAsia="Arial" w:hAnsi="Arial"/>
          <w:sz w:val="17"/>
          <w:szCs w:val="17"/>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63" w:lineRule="exact"/>
        <w:rPr>
          <w:rFonts w:ascii="Arial" w:cs="Arial" w:eastAsia="Arial" w:hAnsi="Arial"/>
          <w:sz w:val="17"/>
          <w:szCs w:val="17"/>
          <w:color w:val="auto"/>
        </w:rPr>
      </w:pPr>
    </w:p>
    <w:p>
      <w:pPr>
        <w:ind w:left="1300" w:hanging="644"/>
        <w:spacing w:after="0" w:line="288" w:lineRule="auto"/>
        <w:tabs>
          <w:tab w:leader="none" w:pos="1300" w:val="left"/>
        </w:tabs>
        <w:numPr>
          <w:ilvl w:val="1"/>
          <w:numId w:val="105"/>
        </w:numPr>
        <w:rPr>
          <w:rFonts w:ascii="Arial" w:cs="Arial" w:eastAsia="Arial" w:hAnsi="Arial"/>
          <w:sz w:val="16"/>
          <w:szCs w:val="16"/>
          <w:color w:val="auto"/>
        </w:rPr>
      </w:pPr>
      <w:r>
        <w:rPr>
          <w:rFonts w:ascii="Arial" w:cs="Arial" w:eastAsia="Arial" w:hAnsi="Arial"/>
          <w:sz w:val="16"/>
          <w:szCs w:val="16"/>
          <w:b w:val="1"/>
          <w:bCs w:val="1"/>
          <w:color w:val="auto"/>
        </w:rPr>
        <w:t xml:space="preserve">Rights and Privileges. </w:t>
      </w:r>
      <w:r>
        <w:rPr>
          <w:rFonts w:ascii="Arial" w:cs="Arial" w:eastAsia="Arial" w:hAnsi="Arial"/>
          <w:sz w:val="16"/>
          <w:szCs w:val="16"/>
          <w:color w:val="auto"/>
        </w:rPr>
        <w:t>At the time a grant of Restricted Stock is made to a Participant, a stock certificate representing a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81" w:right="339" w:bottom="1440" w:gutter="0" w:footer="0" w:header="0"/>
        </w:sectPr>
      </w:pPr>
    </w:p>
    <w:bookmarkStart w:id="64" w:name="page65"/>
    <w:bookmarkEnd w:id="64"/>
    <w:p>
      <w:pPr>
        <w:ind w:left="1292" w:right="120"/>
        <w:spacing w:after="0" w:line="287" w:lineRule="auto"/>
        <w:rPr>
          <w:sz w:val="20"/>
          <w:szCs w:val="20"/>
          <w:color w:val="auto"/>
        </w:rPr>
      </w:pPr>
      <w:r>
        <w:rPr>
          <w:rFonts w:ascii="Arial" w:cs="Arial" w:eastAsia="Arial" w:hAnsi="Arial"/>
          <w:sz w:val="16"/>
          <w:szCs w:val="16"/>
          <w:color w:val="auto"/>
        </w:rPr>
        <w:t>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60" w:lineRule="exact"/>
        <w:rPr>
          <w:sz w:val="20"/>
          <w:szCs w:val="20"/>
          <w:color w:val="auto"/>
        </w:rPr>
      </w:pPr>
    </w:p>
    <w:p>
      <w:pPr>
        <w:ind w:left="1292" w:right="60" w:hanging="644"/>
        <w:spacing w:after="0" w:line="292" w:lineRule="auto"/>
        <w:tabs>
          <w:tab w:leader="none" w:pos="1292" w:val="left"/>
        </w:tabs>
        <w:numPr>
          <w:ilvl w:val="1"/>
          <w:numId w:val="106"/>
        </w:numPr>
        <w:rPr>
          <w:rFonts w:ascii="Arial" w:cs="Arial" w:eastAsia="Arial" w:hAnsi="Arial"/>
          <w:sz w:val="16"/>
          <w:szCs w:val="16"/>
          <w:color w:val="auto"/>
        </w:rPr>
      </w:pPr>
      <w:r>
        <w:rPr>
          <w:rFonts w:ascii="Arial" w:cs="Arial" w:eastAsia="Arial" w:hAnsi="Arial"/>
          <w:sz w:val="16"/>
          <w:szCs w:val="16"/>
          <w:b w:val="1"/>
          <w:bCs w:val="1"/>
          <w:color w:val="auto"/>
        </w:rPr>
        <w:t xml:space="preserve">Expiration of Restricted Period. </w:t>
      </w:r>
      <w:r>
        <w:rPr>
          <w:rFonts w:ascii="Arial" w:cs="Arial" w:eastAsia="Arial" w:hAnsi="Arial"/>
          <w:sz w:val="16"/>
          <w:szCs w:val="16"/>
          <w:color w:val="auto"/>
        </w:rPr>
        <w:t>Upon the expiration or termination of the Restricted Period applicable to Restricted Stock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53" w:lineRule="exact"/>
        <w:rPr>
          <w:rFonts w:ascii="Arial" w:cs="Arial" w:eastAsia="Arial" w:hAnsi="Arial"/>
          <w:sz w:val="16"/>
          <w:szCs w:val="16"/>
          <w:color w:val="auto"/>
        </w:rPr>
      </w:pPr>
    </w:p>
    <w:p>
      <w:pPr>
        <w:jc w:val="both"/>
        <w:ind w:left="1292" w:right="220" w:hanging="644"/>
        <w:spacing w:after="0" w:line="266" w:lineRule="auto"/>
        <w:tabs>
          <w:tab w:leader="none" w:pos="1292"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Vesting Events for Restricted Stock. </w:t>
      </w:r>
      <w:r>
        <w:rPr>
          <w:rFonts w:ascii="Arial" w:cs="Arial" w:eastAsia="Arial" w:hAnsi="Arial"/>
          <w:sz w:val="18"/>
          <w:szCs w:val="18"/>
          <w:color w:val="auto"/>
        </w:rPr>
        <w:t>If the Employee terminates employment by reason of death, all of his or her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shall become 100% vested upon the date of death. All Restricted Stock awards prior to the Effective Date are hereby amended to incorporate these terms.</w:t>
      </w:r>
    </w:p>
    <w:p>
      <w:pPr>
        <w:spacing w:after="0" w:line="67" w:lineRule="exact"/>
        <w:rPr>
          <w:rFonts w:ascii="Arial" w:cs="Arial" w:eastAsia="Arial" w:hAnsi="Arial"/>
          <w:sz w:val="18"/>
          <w:szCs w:val="18"/>
          <w:color w:val="auto"/>
        </w:rPr>
      </w:pPr>
    </w:p>
    <w:p>
      <w:pPr>
        <w:ind w:left="272" w:hanging="272"/>
        <w:spacing w:after="0"/>
        <w:tabs>
          <w:tab w:leader="none" w:pos="27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r>
        <w:rPr>
          <w:rFonts w:ascii="Arial" w:cs="Arial" w:eastAsia="Arial" w:hAnsi="Arial"/>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Committee is authorized to grant Restricted Stock Units to eligible persons, subject to the following terms and conditions:</w:t>
      </w:r>
    </w:p>
    <w:p>
      <w:pPr>
        <w:spacing w:after="0" w:line="113" w:lineRule="exact"/>
        <w:rPr>
          <w:sz w:val="20"/>
          <w:szCs w:val="20"/>
          <w:color w:val="auto"/>
        </w:rPr>
      </w:pPr>
    </w:p>
    <w:p>
      <w:pPr>
        <w:ind w:left="1292" w:hanging="644"/>
        <w:spacing w:after="0" w:line="261" w:lineRule="auto"/>
        <w:tabs>
          <w:tab w:leader="none" w:pos="1292"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Award and Restrictions. </w:t>
      </w:r>
      <w:r>
        <w:rPr>
          <w:rFonts w:ascii="Arial" w:cs="Arial" w:eastAsia="Arial" w:hAnsi="Arial"/>
          <w:sz w:val="18"/>
          <w:szCs w:val="18"/>
          <w:color w:val="auto"/>
        </w:rPr>
        <w:t>Restricted Stock Units shall be subject to such restrictions (which may include a risk of forfeiture)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71" w:lineRule="exact"/>
        <w:rPr>
          <w:rFonts w:ascii="Arial" w:cs="Arial" w:eastAsia="Arial" w:hAnsi="Arial"/>
          <w:sz w:val="18"/>
          <w:szCs w:val="18"/>
          <w:color w:val="auto"/>
        </w:rPr>
      </w:pPr>
    </w:p>
    <w:p>
      <w:pPr>
        <w:ind w:left="1292" w:right="140" w:hanging="644"/>
        <w:spacing w:after="0" w:line="258" w:lineRule="auto"/>
        <w:tabs>
          <w:tab w:leader="none" w:pos="1292"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Settlement of Restricted Stock Units shall occur upon expiration of the deferral period specified for such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Unit 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75" w:lineRule="exact"/>
        <w:rPr>
          <w:rFonts w:ascii="Arial" w:cs="Arial" w:eastAsia="Arial" w:hAnsi="Arial"/>
          <w:sz w:val="18"/>
          <w:szCs w:val="18"/>
          <w:color w:val="auto"/>
        </w:rPr>
      </w:pPr>
    </w:p>
    <w:p>
      <w:pPr>
        <w:ind w:left="1292" w:right="180" w:hanging="644"/>
        <w:spacing w:after="0" w:line="271" w:lineRule="auto"/>
        <w:tabs>
          <w:tab w:leader="none" w:pos="1292"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 xml:space="preserve">Dividends on Restricted Stock Units. </w:t>
      </w:r>
      <w:r>
        <w:rPr>
          <w:rFonts w:ascii="Arial" w:cs="Arial" w:eastAsia="Arial" w:hAnsi="Arial"/>
          <w:sz w:val="17"/>
          <w:szCs w:val="17"/>
          <w:color w:val="auto"/>
        </w:rPr>
        <w:t>The Committee may, in its sole discretion and as would be set forth in the applicable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65" w:lineRule="exact"/>
        <w:rPr>
          <w:rFonts w:ascii="Arial" w:cs="Arial" w:eastAsia="Arial" w:hAnsi="Arial"/>
          <w:sz w:val="17"/>
          <w:szCs w:val="17"/>
          <w:color w:val="auto"/>
        </w:rPr>
      </w:pPr>
    </w:p>
    <w:p>
      <w:pPr>
        <w:ind w:left="1292" w:hanging="644"/>
        <w:spacing w:after="0"/>
        <w:tabs>
          <w:tab w:leader="none" w:pos="1292"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Effect of Termination of Employment.</w:t>
      </w:r>
    </w:p>
    <w:p>
      <w:pPr>
        <w:spacing w:after="0" w:line="121" w:lineRule="exact"/>
        <w:rPr>
          <w:rFonts w:ascii="Arial" w:cs="Arial" w:eastAsia="Arial" w:hAnsi="Arial"/>
          <w:sz w:val="18"/>
          <w:szCs w:val="18"/>
          <w:color w:val="auto"/>
        </w:rPr>
      </w:pPr>
    </w:p>
    <w:p>
      <w:pPr>
        <w:ind w:left="1952" w:right="120" w:hanging="648"/>
        <w:spacing w:after="0" w:line="277" w:lineRule="auto"/>
        <w:rPr>
          <w:rFonts w:ascii="Arial" w:cs="Arial" w:eastAsia="Arial" w:hAnsi="Arial"/>
          <w:sz w:val="18"/>
          <w:szCs w:val="18"/>
          <w:color w:val="auto"/>
        </w:rPr>
      </w:pPr>
      <w:r>
        <w:rPr>
          <w:rFonts w:ascii="Arial" w:cs="Arial" w:eastAsia="Arial" w:hAnsi="Arial"/>
          <w:sz w:val="18"/>
          <w:szCs w:val="18"/>
          <w:color w:val="auto"/>
        </w:rPr>
        <w:t>a. Unless the applicable Award Agreement or the Committee determines otherwise, Restricted Stock Units that have not vested, together with Dividend Equivalents, if any, credited on such Restricted</w:t>
      </w:r>
    </w:p>
    <w:p>
      <w:pPr>
        <w:spacing w:after="0" w:line="3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32"/>
          </w:cols>
          <w:pgMar w:left="328" w:top="881" w:right="339" w:bottom="1440" w:gutter="0" w:footer="0" w:header="0"/>
        </w:sectPr>
      </w:pPr>
    </w:p>
    <w:bookmarkStart w:id="65" w:name="page66"/>
    <w:bookmarkEnd w:id="65"/>
    <w:p>
      <w:pPr>
        <w:ind w:left="1952"/>
        <w:spacing w:after="0"/>
        <w:rPr>
          <w:sz w:val="20"/>
          <w:szCs w:val="20"/>
          <w:color w:val="auto"/>
        </w:rPr>
      </w:pPr>
      <w:r>
        <w:rPr>
          <w:rFonts w:ascii="Arial" w:cs="Arial" w:eastAsia="Arial" w:hAnsi="Arial"/>
          <w:sz w:val="18"/>
          <w:szCs w:val="18"/>
          <w:color w:val="auto"/>
        </w:rPr>
        <w:t>Stock Units, shall be forfeited upon the Participant’s termination of employment for any reason other than death.</w:t>
      </w:r>
    </w:p>
    <w:p>
      <w:pPr>
        <w:spacing w:after="0" w:line="117" w:lineRule="exact"/>
        <w:rPr>
          <w:sz w:val="20"/>
          <w:szCs w:val="20"/>
          <w:color w:val="auto"/>
        </w:rPr>
      </w:pPr>
    </w:p>
    <w:p>
      <w:pPr>
        <w:ind w:left="1952" w:right="20" w:hanging="647"/>
        <w:spacing w:after="0" w:line="277" w:lineRule="auto"/>
        <w:rPr>
          <w:sz w:val="20"/>
          <w:szCs w:val="20"/>
          <w:color w:val="auto"/>
        </w:rPr>
      </w:pPr>
      <w:r>
        <w:rPr>
          <w:rFonts w:ascii="Arial" w:cs="Arial" w:eastAsia="Arial" w:hAnsi="Arial"/>
          <w:sz w:val="18"/>
          <w:szCs w:val="18"/>
          <w:color w:val="auto"/>
        </w:rPr>
        <w:t>b. If the Employee terminates employment by reason of death, all of his or her shares of Restricted Stock shall become 100% vested upon the date of death.</w:t>
      </w:r>
    </w:p>
    <w:p>
      <w:pPr>
        <w:spacing w:after="0" w:line="58" w:lineRule="exact"/>
        <w:rPr>
          <w:sz w:val="20"/>
          <w:szCs w:val="20"/>
          <w:color w:val="auto"/>
        </w:rPr>
      </w:pPr>
    </w:p>
    <w:p>
      <w:pPr>
        <w:ind w:left="252" w:hanging="252"/>
        <w:spacing w:after="0"/>
        <w:tabs>
          <w:tab w:leader="none" w:pos="25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ANNUAL INCENTIVE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hanging="644"/>
        <w:spacing w:after="0" w:line="258" w:lineRule="auto"/>
        <w:tabs>
          <w:tab w:leader="none" w:pos="814"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Awards. </w:t>
      </w:r>
      <w:r>
        <w:rPr>
          <w:rFonts w:ascii="Arial" w:cs="Arial" w:eastAsia="Arial" w:hAnsi="Arial"/>
          <w:sz w:val="18"/>
          <w:szCs w:val="18"/>
          <w:color w:val="auto"/>
        </w:rPr>
        <w:t>The Committee may grant annual incentive awards of Stock or cash (each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Annual Incentive Award</w:t>
      </w:r>
      <w:r>
        <w:rPr>
          <w:rFonts w:ascii="Arial" w:cs="Arial" w:eastAsia="Arial" w:hAnsi="Arial"/>
          <w:sz w:val="18"/>
          <w:szCs w:val="18"/>
          <w:i w:val="1"/>
          <w:iCs w:val="1"/>
          <w:color w:val="auto"/>
        </w:rPr>
        <w:t>”</w:t>
      </w:r>
      <w:r>
        <w:rPr>
          <w:rFonts w:ascii="Arial" w:cs="Arial" w:eastAsia="Arial" w:hAnsi="Arial"/>
          <w:sz w:val="18"/>
          <w:szCs w:val="18"/>
          <w:color w:val="auto"/>
        </w:rPr>
        <w: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79" w:lineRule="exact"/>
        <w:rPr>
          <w:rFonts w:ascii="Arial" w:cs="Arial" w:eastAsia="Arial" w:hAnsi="Arial"/>
          <w:sz w:val="18"/>
          <w:szCs w:val="18"/>
          <w:color w:val="auto"/>
        </w:rPr>
      </w:pPr>
    </w:p>
    <w:p>
      <w:pPr>
        <w:ind w:left="1952" w:right="440" w:hanging="656"/>
        <w:spacing w:after="0" w:line="277" w:lineRule="auto"/>
        <w:tabs>
          <w:tab w:leader="none" w:pos="146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Annual Incentive Awards shall be granted in connection with a 12-month Performance Cycle, which shall be the fiscal year of the Company.</w:t>
      </w:r>
    </w:p>
    <w:p>
      <w:pPr>
        <w:spacing w:after="0" w:line="62" w:lineRule="exact"/>
        <w:rPr>
          <w:rFonts w:ascii="Arial" w:cs="Arial" w:eastAsia="Arial" w:hAnsi="Arial"/>
          <w:sz w:val="18"/>
          <w:szCs w:val="18"/>
          <w:color w:val="auto"/>
        </w:rPr>
      </w:pPr>
    </w:p>
    <w:p>
      <w:pPr>
        <w:ind w:left="1952" w:right="140" w:hanging="656"/>
        <w:spacing w:after="0" w:line="277" w:lineRule="auto"/>
        <w:tabs>
          <w:tab w:leader="none" w:pos="148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Subject to Section 4.1, the Committee shall determine the Participants who shall be eligible to receive an Annual Incentive Award for such Performance Cycle.</w:t>
      </w:r>
    </w:p>
    <w:p>
      <w:pPr>
        <w:spacing w:after="0" w:line="62" w:lineRule="exact"/>
        <w:rPr>
          <w:rFonts w:ascii="Arial" w:cs="Arial" w:eastAsia="Arial" w:hAnsi="Arial"/>
          <w:sz w:val="18"/>
          <w:szCs w:val="18"/>
          <w:color w:val="auto"/>
        </w:rPr>
      </w:pPr>
    </w:p>
    <w:p>
      <w:pPr>
        <w:ind w:left="1952" w:right="140" w:hanging="656"/>
        <w:spacing w:after="0" w:line="311" w:lineRule="auto"/>
        <w:tabs>
          <w:tab w:leader="none" w:pos="1471"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40" w:lineRule="exact"/>
        <w:rPr>
          <w:rFonts w:ascii="Arial" w:cs="Arial" w:eastAsia="Arial" w:hAnsi="Arial"/>
          <w:sz w:val="16"/>
          <w:szCs w:val="16"/>
          <w:color w:val="auto"/>
        </w:rPr>
      </w:pPr>
    </w:p>
    <w:p>
      <w:pPr>
        <w:ind w:left="1952" w:right="500" w:hanging="656"/>
        <w:spacing w:after="0" w:line="277" w:lineRule="auto"/>
        <w:tabs>
          <w:tab w:leader="none" w:pos="147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Annual Incentive Awards shall be paid in the form of cash, Stock (including Restricted Stock) or any combination thereof, in the discretion of the Committee.</w:t>
      </w:r>
    </w:p>
    <w:p>
      <w:pPr>
        <w:spacing w:after="0" w:line="58" w:lineRule="exact"/>
        <w:rPr>
          <w:rFonts w:ascii="Arial" w:cs="Arial" w:eastAsia="Arial" w:hAnsi="Arial"/>
          <w:sz w:val="18"/>
          <w:szCs w:val="18"/>
          <w:color w:val="auto"/>
        </w:rPr>
      </w:pPr>
    </w:p>
    <w:p>
      <w:pPr>
        <w:ind w:left="272" w:hanging="272"/>
        <w:spacing w:after="0"/>
        <w:tabs>
          <w:tab w:leader="none" w:pos="272"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PERFORMANCE-BASED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292" w:right="220" w:hanging="644"/>
        <w:spacing w:after="0" w:line="256" w:lineRule="auto"/>
        <w:tabs>
          <w:tab w:leader="none" w:pos="1292"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Performance-Based Awards</w:t>
      </w:r>
      <w:r>
        <w:rPr>
          <w:rFonts w:ascii="Arial" w:cs="Arial" w:eastAsia="Arial" w:hAnsi="Arial"/>
          <w:sz w:val="18"/>
          <w:szCs w:val="18"/>
          <w:color w:val="auto"/>
        </w:rPr>
        <w:t>. Notwithstanding anything to the contrary contained herein, the Committee may designate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Awards available under the Plan (including but not limited to Options, Restricted Stock, Annual Incentive Awards and Discretionary Bonus Awards) as conditioned on the achievement of specified Performance Measures (each such Award a “</w:t>
      </w:r>
      <w:r>
        <w:rPr>
          <w:rFonts w:ascii="Arial" w:cs="Arial" w:eastAsia="Arial" w:hAnsi="Arial"/>
          <w:sz w:val="18"/>
          <w:szCs w:val="18"/>
          <w:b w:val="1"/>
          <w:bCs w:val="1"/>
          <w:i w:val="1"/>
          <w:iCs w:val="1"/>
          <w:color w:val="auto"/>
        </w:rPr>
        <w:t>Performance-Based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The grant, exercise, vesting or settlement of Performance-Based Awards may be conditioned on the achievement of specified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The Performance Cycle or performance period(s) applicable to a Performance-Based Award shall be any period of time determined by the Committee</w:t>
      </w:r>
      <w:r>
        <w:rPr>
          <w:rFonts w:ascii="Arial" w:cs="Arial" w:eastAsia="Arial" w:hAnsi="Arial"/>
          <w:sz w:val="18"/>
          <w:szCs w:val="18"/>
          <w:b w:val="1"/>
          <w:bCs w:val="1"/>
          <w:color w:val="auto"/>
        </w:rPr>
        <w:t>.</w:t>
      </w:r>
    </w:p>
    <w:p>
      <w:pPr>
        <w:spacing w:after="0" w:line="79" w:lineRule="exact"/>
        <w:rPr>
          <w:rFonts w:ascii="Arial" w:cs="Arial" w:eastAsia="Arial" w:hAnsi="Arial"/>
          <w:sz w:val="18"/>
          <w:szCs w:val="18"/>
          <w:color w:val="auto"/>
        </w:rPr>
      </w:pPr>
    </w:p>
    <w:p>
      <w:pPr>
        <w:ind w:left="1292" w:right="60" w:hanging="644"/>
        <w:spacing w:after="0" w:line="261" w:lineRule="auto"/>
        <w:tabs>
          <w:tab w:leader="none" w:pos="824" w:val="left"/>
        </w:tabs>
        <w:numPr>
          <w:ilvl w:val="1"/>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Objective Performance Goals and Performance Measures. </w:t>
      </w:r>
      <w:r>
        <w:rPr>
          <w:rFonts w:ascii="Arial" w:cs="Arial" w:eastAsia="Arial" w:hAnsi="Arial"/>
          <w:sz w:val="18"/>
          <w:szCs w:val="18"/>
          <w:color w:val="auto"/>
        </w:rPr>
        <w:t>A Performance Goal established in connection with a Performance-Based Award</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based on any one or more of the following performance measures (each, a “</w:t>
      </w:r>
      <w:r>
        <w:rPr>
          <w:rFonts w:ascii="Arial" w:cs="Arial" w:eastAsia="Arial" w:hAnsi="Arial"/>
          <w:sz w:val="18"/>
          <w:szCs w:val="18"/>
          <w:b w:val="1"/>
          <w:bCs w:val="1"/>
          <w:i w:val="1"/>
          <w:iCs w:val="1"/>
          <w:color w:val="auto"/>
        </w:rPr>
        <w:t>Performance Measure</w:t>
      </w:r>
      <w:r>
        <w:rPr>
          <w:rFonts w:ascii="Arial" w:cs="Arial" w:eastAsia="Arial" w:hAnsi="Arial"/>
          <w:sz w:val="18"/>
          <w:szCs w:val="18"/>
          <w:color w:val="auto"/>
        </w:rPr>
        <w:t>”) (which may be applied to an individual, a subsidiary, a business unit or division, or the Company and any one or more of its subsidiaries as a whole, as determined by the Committee):</w:t>
      </w:r>
    </w:p>
    <w:p>
      <w:pPr>
        <w:spacing w:after="0" w:line="75"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Net earnings or net income (before or after taxes, depreciation and amortization);</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Cash earnings;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Net sales or revenue growth;</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sales, or revenue);</w:t>
      </w:r>
    </w:p>
    <w:p>
      <w:pPr>
        <w:spacing w:after="0" w:line="117" w:lineRule="exact"/>
        <w:rPr>
          <w:rFonts w:ascii="Arial" w:cs="Arial" w:eastAsia="Arial" w:hAnsi="Arial"/>
          <w:sz w:val="18"/>
          <w:szCs w:val="18"/>
          <w:color w:val="auto"/>
        </w:rPr>
      </w:pPr>
    </w:p>
    <w:p>
      <w:pPr>
        <w:ind w:left="1952" w:right="80" w:hanging="656"/>
        <w:spacing w:after="0" w:line="277" w:lineRule="auto"/>
        <w:tabs>
          <w:tab w:leader="none" w:pos="195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cash flow return on equity, and cash flow return on investment (discounted or otherwise));</w:t>
      </w:r>
    </w:p>
    <w:p>
      <w:pPr>
        <w:spacing w:after="0" w:line="62" w:lineRule="exact"/>
        <w:rPr>
          <w:rFonts w:ascii="Arial" w:cs="Arial" w:eastAsia="Arial" w:hAnsi="Arial"/>
          <w:sz w:val="18"/>
          <w:szCs w:val="18"/>
          <w:color w:val="auto"/>
        </w:rPr>
      </w:pPr>
    </w:p>
    <w:p>
      <w:pPr>
        <w:ind w:left="1952" w:hanging="656"/>
        <w:spacing w:after="0"/>
        <w:tabs>
          <w:tab w:leader="none" w:pos="195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Operating income before interest, taxes, depreciation and amortization;</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Return on stockholders’ equity;</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Operating margins or operating expenses;</w:t>
      </w:r>
    </w:p>
    <w:p>
      <w:pPr>
        <w:spacing w:after="0" w:line="117" w:lineRule="exact"/>
        <w:rPr>
          <w:rFonts w:ascii="Arial" w:cs="Arial" w:eastAsia="Arial" w:hAnsi="Arial"/>
          <w:sz w:val="18"/>
          <w:szCs w:val="18"/>
          <w:color w:val="auto"/>
        </w:rPr>
      </w:pPr>
    </w:p>
    <w:p>
      <w:pPr>
        <w:ind w:left="1952" w:hanging="656"/>
        <w:spacing w:after="0"/>
        <w:tabs>
          <w:tab w:leader="none" w:pos="195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Value of the Company’s Stock or total return to stockholders;</w:t>
      </w:r>
    </w:p>
    <w:p>
      <w:pPr>
        <w:spacing w:after="0" w:line="117" w:lineRule="exact"/>
        <w:rPr>
          <w:rFonts w:ascii="Arial" w:cs="Arial" w:eastAsia="Arial" w:hAnsi="Arial"/>
          <w:sz w:val="18"/>
          <w:szCs w:val="18"/>
          <w:color w:val="auto"/>
        </w:rPr>
      </w:pPr>
    </w:p>
    <w:p>
      <w:pPr>
        <w:ind w:left="1932" w:hanging="636"/>
        <w:spacing w:after="0"/>
        <w:tabs>
          <w:tab w:leader="none" w:pos="1932" w:val="left"/>
        </w:tabs>
        <w:numPr>
          <w:ilvl w:val="2"/>
          <w:numId w:val="109"/>
        </w:numPr>
        <w:rPr>
          <w:rFonts w:ascii="Arial" w:cs="Arial" w:eastAsia="Arial" w:hAnsi="Arial"/>
          <w:sz w:val="18"/>
          <w:szCs w:val="18"/>
          <w:color w:val="auto"/>
        </w:rPr>
      </w:pPr>
      <w:r>
        <w:rPr>
          <w:rFonts w:ascii="Arial" w:cs="Arial" w:eastAsia="Arial" w:hAnsi="Arial"/>
          <w:sz w:val="18"/>
          <w:szCs w:val="18"/>
          <w:color w:val="auto"/>
        </w:rPr>
        <w:t>Value of an investment in the Company’s Stock assuming the reinvestment of dividends;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32"/>
          </w:cols>
          <w:pgMar w:left="328" w:top="881" w:right="339" w:bottom="1440" w:gutter="0" w:footer="0" w:header="0"/>
        </w:sectPr>
      </w:pPr>
    </w:p>
    <w:bookmarkStart w:id="66" w:name="page67"/>
    <w:bookmarkEnd w:id="66"/>
    <w:p>
      <w:pPr>
        <w:ind w:left="1940" w:hanging="636"/>
        <w:spacing w:after="0"/>
        <w:tabs>
          <w:tab w:leader="none" w:pos="1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Assets under management;</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Performance of one or more of our investment products on an absolute basis or relative to a benchmark or peer group;</w:t>
      </w:r>
    </w:p>
    <w:p>
      <w:pPr>
        <w:spacing w:after="0" w:line="128" w:lineRule="exact"/>
        <w:rPr>
          <w:rFonts w:ascii="Arial" w:cs="Arial" w:eastAsia="Arial" w:hAnsi="Arial"/>
          <w:sz w:val="17"/>
          <w:szCs w:val="17"/>
          <w:color w:val="auto"/>
        </w:rPr>
      </w:pPr>
    </w:p>
    <w:p>
      <w:pPr>
        <w:ind w:left="1960" w:hanging="656"/>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Adjusted pre-tax income;</w:t>
      </w:r>
    </w:p>
    <w:p>
      <w:pPr>
        <w:spacing w:after="0" w:line="117" w:lineRule="exact"/>
        <w:rPr>
          <w:rFonts w:ascii="Arial" w:cs="Arial" w:eastAsia="Arial" w:hAnsi="Arial"/>
          <w:sz w:val="18"/>
          <w:szCs w:val="18"/>
          <w:color w:val="auto"/>
        </w:rPr>
      </w:pPr>
    </w:p>
    <w:p>
      <w:pPr>
        <w:ind w:left="1960" w:hanging="656"/>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Cost targets, reductions and savings, productivity and efficiencies;</w:t>
      </w:r>
    </w:p>
    <w:p>
      <w:pPr>
        <w:spacing w:after="0" w:line="117" w:lineRule="exact"/>
        <w:rPr>
          <w:rFonts w:ascii="Arial" w:cs="Arial" w:eastAsia="Arial" w:hAnsi="Arial"/>
          <w:sz w:val="18"/>
          <w:szCs w:val="18"/>
          <w:color w:val="auto"/>
        </w:rPr>
      </w:pPr>
    </w:p>
    <w:p>
      <w:pPr>
        <w:ind w:left="1960" w:right="440" w:hanging="656"/>
        <w:spacing w:after="0" w:line="259" w:lineRule="auto"/>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78" w:lineRule="exact"/>
        <w:rPr>
          <w:rFonts w:ascii="Arial" w:cs="Arial" w:eastAsia="Arial" w:hAnsi="Arial"/>
          <w:sz w:val="18"/>
          <w:szCs w:val="18"/>
          <w:color w:val="auto"/>
        </w:rPr>
      </w:pPr>
    </w:p>
    <w:p>
      <w:pPr>
        <w:ind w:left="1960" w:right="200" w:hanging="656"/>
        <w:spacing w:after="0" w:line="263" w:lineRule="auto"/>
        <w:tabs>
          <w:tab w:leader="none" w:pos="19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75" w:lineRule="exact"/>
        <w:rPr>
          <w:rFonts w:ascii="Arial" w:cs="Arial" w:eastAsia="Arial" w:hAnsi="Arial"/>
          <w:sz w:val="18"/>
          <w:szCs w:val="18"/>
          <w:color w:val="auto"/>
        </w:rPr>
      </w:pPr>
    </w:p>
    <w:p>
      <w:pPr>
        <w:ind w:left="1940" w:hanging="636"/>
        <w:spacing w:after="0"/>
        <w:tabs>
          <w:tab w:leader="none" w:pos="1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other criteria as determined by the Committee in its sole discretion; and/or</w:t>
      </w:r>
    </w:p>
    <w:p>
      <w:pPr>
        <w:spacing w:after="0" w:line="117" w:lineRule="exact"/>
        <w:rPr>
          <w:rFonts w:ascii="Arial" w:cs="Arial" w:eastAsia="Arial" w:hAnsi="Arial"/>
          <w:sz w:val="18"/>
          <w:szCs w:val="18"/>
          <w:color w:val="auto"/>
        </w:rPr>
      </w:pPr>
    </w:p>
    <w:p>
      <w:pPr>
        <w:ind w:left="1940" w:hanging="636"/>
        <w:spacing w:after="0"/>
        <w:tabs>
          <w:tab w:leader="none" w:pos="19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combination of any or all of the foregoing criteria.</w:t>
      </w:r>
    </w:p>
    <w:p>
      <w:pPr>
        <w:spacing w:after="0" w:line="117" w:lineRule="exact"/>
        <w:rPr>
          <w:sz w:val="20"/>
          <w:szCs w:val="20"/>
          <w:color w:val="auto"/>
        </w:rPr>
      </w:pPr>
    </w:p>
    <w:p>
      <w:pPr>
        <w:jc w:val="both"/>
        <w:ind w:left="1300"/>
        <w:spacing w:after="0" w:line="275" w:lineRule="auto"/>
        <w:rPr>
          <w:sz w:val="20"/>
          <w:szCs w:val="20"/>
          <w:color w:val="auto"/>
        </w:rPr>
      </w:pPr>
      <w:r>
        <w:rPr>
          <w:rFonts w:ascii="Arial" w:cs="Arial" w:eastAsia="Arial" w:hAnsi="Arial"/>
          <w:sz w:val="17"/>
          <w:szCs w:val="17"/>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64" w:lineRule="exact"/>
        <w:rPr>
          <w:sz w:val="20"/>
          <w:szCs w:val="20"/>
          <w:color w:val="auto"/>
        </w:rPr>
      </w:pPr>
    </w:p>
    <w:p>
      <w:pPr>
        <w:ind w:left="1300" w:hanging="644"/>
        <w:spacing w:after="0" w:line="258" w:lineRule="auto"/>
        <w:tabs>
          <w:tab w:leader="none" w:pos="832"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Calculation of Performance-Based Award. </w:t>
      </w:r>
      <w:r>
        <w:rPr>
          <w:rFonts w:ascii="Arial" w:cs="Arial" w:eastAsia="Arial" w:hAnsi="Arial"/>
          <w:sz w:val="18"/>
          <w:szCs w:val="18"/>
          <w:color w:val="auto"/>
        </w:rPr>
        <w:t>At the expiration of the applicable performance period, the Committee shall determine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5" w:lineRule="exact"/>
        <w:rPr>
          <w:rFonts w:ascii="Arial" w:cs="Arial" w:eastAsia="Arial" w:hAnsi="Arial"/>
          <w:sz w:val="18"/>
          <w:szCs w:val="18"/>
          <w:color w:val="auto"/>
        </w:rPr>
      </w:pPr>
    </w:p>
    <w:p>
      <w:pPr>
        <w:ind w:left="280" w:hanging="272"/>
        <w:spacing w:after="0"/>
        <w:tabs>
          <w:tab w:leader="none" w:pos="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DISCRETIONARY BONUS AWARDS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right="120" w:hanging="644"/>
        <w:spacing w:after="0" w:line="266" w:lineRule="auto"/>
        <w:tabs>
          <w:tab w:leader="none" w:pos="832" w:val="left"/>
        </w:tabs>
        <w:numPr>
          <w:ilvl w:val="1"/>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Bonus Awards. </w:t>
      </w:r>
      <w:r>
        <w:rPr>
          <w:rFonts w:ascii="Arial" w:cs="Arial" w:eastAsia="Arial" w:hAnsi="Arial"/>
          <w:sz w:val="18"/>
          <w:szCs w:val="18"/>
          <w:color w:val="auto"/>
        </w:rPr>
        <w:t>The Committee may grant discretionary bonus awards of Stock or cash (each a “</w:t>
      </w:r>
      <w:r>
        <w:rPr>
          <w:rFonts w:ascii="Arial" w:cs="Arial" w:eastAsia="Arial" w:hAnsi="Arial"/>
          <w:sz w:val="18"/>
          <w:szCs w:val="18"/>
          <w:b w:val="1"/>
          <w:bCs w:val="1"/>
          <w:i w:val="1"/>
          <w:iCs w:val="1"/>
          <w:color w:val="auto"/>
        </w:rPr>
        <w:t>Discretionary Bonus Award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 officers and other key Employees of either the Company or any Subsidiary, in such amounts and subject to such terms and conditions as the Committee in its discretion may determine.</w:t>
      </w:r>
    </w:p>
    <w:p>
      <w:pPr>
        <w:spacing w:after="0" w:line="71" w:lineRule="exact"/>
        <w:rPr>
          <w:rFonts w:ascii="Arial" w:cs="Arial" w:eastAsia="Arial" w:hAnsi="Arial"/>
          <w:sz w:val="18"/>
          <w:szCs w:val="18"/>
          <w:color w:val="auto"/>
        </w:rPr>
      </w:pPr>
    </w:p>
    <w:p>
      <w:pPr>
        <w:ind w:left="1300" w:right="40" w:hanging="644"/>
        <w:spacing w:after="0" w:line="277" w:lineRule="auto"/>
        <w:tabs>
          <w:tab w:leader="none" w:pos="82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Committee may grant Discretionary Bonus Awards to eligible Participants in such amounts as the Committee may determine, subject to the limitations set forth in Section 4.1.</w:t>
      </w:r>
    </w:p>
    <w:p>
      <w:pPr>
        <w:spacing w:after="0" w:line="62" w:lineRule="exact"/>
        <w:rPr>
          <w:rFonts w:ascii="Arial" w:cs="Arial" w:eastAsia="Arial" w:hAnsi="Arial"/>
          <w:sz w:val="18"/>
          <w:szCs w:val="18"/>
          <w:color w:val="auto"/>
        </w:rPr>
      </w:pPr>
    </w:p>
    <w:p>
      <w:pPr>
        <w:ind w:left="1300" w:right="160" w:hanging="644"/>
        <w:spacing w:after="0" w:line="277" w:lineRule="auto"/>
        <w:tabs>
          <w:tab w:leader="none" w:pos="83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Discretionary Bonus Awards shall be paid in the form of cash, Stock (including Restricted Stock) or any combination thereof, in the discretion of the Committee.</w:t>
      </w:r>
    </w:p>
    <w:p>
      <w:pPr>
        <w:spacing w:after="0" w:line="58" w:lineRule="exact"/>
        <w:rPr>
          <w:rFonts w:ascii="Arial" w:cs="Arial" w:eastAsia="Arial" w:hAnsi="Arial"/>
          <w:sz w:val="18"/>
          <w:szCs w:val="18"/>
          <w:color w:val="auto"/>
        </w:rPr>
      </w:pPr>
    </w:p>
    <w:p>
      <w:pPr>
        <w:ind w:left="280" w:hanging="272"/>
        <w:spacing w:after="0"/>
        <w:tabs>
          <w:tab w:leader="none" w:pos="2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STOCK-BASED AWARDS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54" w:lineRule="exact"/>
        <w:rPr>
          <w:sz w:val="20"/>
          <w:szCs w:val="20"/>
          <w:color w:val="auto"/>
        </w:rPr>
      </w:pPr>
    </w:p>
    <w:p>
      <w:pPr>
        <w:ind w:left="280" w:hanging="272"/>
        <w:spacing w:after="0"/>
        <w:tabs>
          <w:tab w:leader="none" w:pos="2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VESTING LIMITATIONS</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81" w:right="3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18"/>
          <w:szCs w:val="18"/>
          <w:color w:val="auto"/>
        </w:rPr>
        <w:t>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2" w:lineRule="exact"/>
        <w:rPr>
          <w:sz w:val="20"/>
          <w:szCs w:val="20"/>
          <w:color w:val="auto"/>
        </w:rPr>
      </w:pPr>
    </w:p>
    <w:p>
      <w:pPr>
        <w:ind w:left="280" w:hanging="272"/>
        <w:spacing w:after="0"/>
        <w:tabs>
          <w:tab w:leader="none" w:pos="2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1300" w:right="140" w:hanging="644"/>
        <w:spacing w:after="0" w:line="286" w:lineRule="auto"/>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57" w:lineRule="exact"/>
        <w:rPr>
          <w:rFonts w:ascii="Arial" w:cs="Arial" w:eastAsia="Arial" w:hAnsi="Arial"/>
          <w:sz w:val="17"/>
          <w:szCs w:val="17"/>
          <w:color w:val="auto"/>
        </w:rPr>
      </w:pPr>
    </w:p>
    <w:p>
      <w:pPr>
        <w:ind w:left="1300" w:right="240" w:hanging="644"/>
        <w:spacing w:after="0" w:line="286" w:lineRule="auto"/>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57" w:lineRule="exact"/>
        <w:rPr>
          <w:rFonts w:ascii="Arial" w:cs="Arial" w:eastAsia="Arial" w:hAnsi="Arial"/>
          <w:sz w:val="17"/>
          <w:szCs w:val="17"/>
          <w:color w:val="auto"/>
        </w:rPr>
      </w:pPr>
    </w:p>
    <w:p>
      <w:pPr>
        <w:ind w:left="1300" w:right="640" w:hanging="644"/>
        <w:spacing w:after="0" w:line="308" w:lineRule="auto"/>
        <w:tabs>
          <w:tab w:leader="none" w:pos="130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1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940" w:hanging="636"/>
        <w:spacing w:after="0"/>
        <w:tabs>
          <w:tab w:leader="none" w:pos="1940" w:val="left"/>
        </w:tabs>
        <w:numPr>
          <w:ilvl w:val="2"/>
          <w:numId w:val="114"/>
        </w:numPr>
        <w:rPr>
          <w:rFonts w:ascii="Arial" w:cs="Arial" w:eastAsia="Arial" w:hAnsi="Arial"/>
          <w:sz w:val="16"/>
          <w:szCs w:val="16"/>
          <w:color w:val="auto"/>
        </w:rPr>
      </w:pPr>
      <w:r>
        <w:rPr>
          <w:rFonts w:ascii="Arial" w:cs="Arial" w:eastAsia="Arial" w:hAnsi="Arial"/>
          <w:sz w:val="16"/>
          <w:szCs w:val="16"/>
          <w:color w:val="auto"/>
        </w:rPr>
        <w:t>An “</w:t>
      </w:r>
      <w:r>
        <w:rPr>
          <w:rFonts w:ascii="Arial" w:cs="Arial" w:eastAsia="Arial" w:hAnsi="Arial"/>
          <w:sz w:val="16"/>
          <w:szCs w:val="16"/>
          <w:b w:val="1"/>
          <w:bCs w:val="1"/>
          <w:i w:val="1"/>
          <w:iCs w:val="1"/>
          <w:color w:val="auto"/>
        </w:rPr>
        <w:t>Ownership Change Event</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deemed to have occurred if any of the following occurs with respect to the Company:</w:t>
      </w:r>
    </w:p>
    <w:p>
      <w:pPr>
        <w:spacing w:after="0" w:line="46" w:lineRule="exact"/>
        <w:rPr>
          <w:rFonts w:ascii="Arial" w:cs="Arial" w:eastAsia="Arial" w:hAnsi="Arial"/>
          <w:sz w:val="16"/>
          <w:szCs w:val="16"/>
          <w:color w:val="auto"/>
        </w:rPr>
      </w:pPr>
    </w:p>
    <w:p>
      <w:pPr>
        <w:ind w:left="1960" w:right="20"/>
        <w:spacing w:after="0" w:line="253" w:lineRule="auto"/>
        <w:rPr>
          <w:rFonts w:ascii="Arial" w:cs="Arial" w:eastAsia="Arial" w:hAnsi="Arial"/>
          <w:sz w:val="16"/>
          <w:szCs w:val="16"/>
          <w:color w:val="auto"/>
        </w:rPr>
      </w:pPr>
      <w:r>
        <w:rPr>
          <w:rFonts w:ascii="Arial" w:cs="Arial" w:eastAsia="Arial" w:hAnsi="Arial"/>
          <w:sz w:val="18"/>
          <w:szCs w:val="18"/>
          <w:color w:val="auto"/>
        </w:rPr>
        <w:t>(i)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84" w:lineRule="exact"/>
        <w:rPr>
          <w:rFonts w:ascii="Arial" w:cs="Arial" w:eastAsia="Arial" w:hAnsi="Arial"/>
          <w:sz w:val="16"/>
          <w:szCs w:val="16"/>
          <w:color w:val="auto"/>
        </w:rPr>
      </w:pPr>
    </w:p>
    <w:p>
      <w:pPr>
        <w:ind w:left="1960" w:right="20" w:hanging="656"/>
        <w:spacing w:after="0" w:line="267" w:lineRule="auto"/>
        <w:tabs>
          <w:tab w:leader="none" w:pos="1960" w:val="left"/>
        </w:tabs>
        <w:numPr>
          <w:ilvl w:val="2"/>
          <w:numId w:val="114"/>
        </w:numPr>
        <w:rPr>
          <w:rFonts w:ascii="Arial" w:cs="Arial" w:eastAsia="Arial" w:hAnsi="Arial"/>
          <w:sz w:val="17"/>
          <w:szCs w:val="17"/>
          <w:color w:val="auto"/>
        </w:rPr>
      </w:pPr>
      <w:r>
        <w:rPr>
          <w:rFonts w:ascii="Arial" w:cs="Arial" w:eastAsia="Arial" w:hAnsi="Arial"/>
          <w:sz w:val="17"/>
          <w:szCs w:val="17"/>
          <w:i w:val="1"/>
          <w:iCs w:val="1"/>
          <w:color w:val="auto"/>
        </w:rPr>
        <w:t>A “</w:t>
      </w:r>
      <w:r>
        <w:rPr>
          <w:rFonts w:ascii="Arial" w:cs="Arial" w:eastAsia="Arial" w:hAnsi="Arial"/>
          <w:sz w:val="17"/>
          <w:szCs w:val="17"/>
          <w:b w:val="1"/>
          <w:bCs w:val="1"/>
          <w:i w:val="1"/>
          <w:iCs w:val="1"/>
          <w:color w:val="auto"/>
        </w:rPr>
        <w:t>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(i) a merger or consolidation of the Company with or into another corporation in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 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76" w:lineRule="exact"/>
        <w:rPr>
          <w:rFonts w:ascii="Arial" w:cs="Arial" w:eastAsia="Arial" w:hAnsi="Arial"/>
          <w:sz w:val="17"/>
          <w:szCs w:val="17"/>
          <w:color w:val="auto"/>
        </w:rPr>
      </w:pPr>
    </w:p>
    <w:p>
      <w:pPr>
        <w:ind w:left="1300" w:right="80" w:hanging="644"/>
        <w:spacing w:after="0" w:line="273" w:lineRule="auto"/>
        <w:tabs>
          <w:tab w:leader="none" w:pos="832" w:val="left"/>
        </w:tabs>
        <w:numPr>
          <w:ilvl w:val="1"/>
          <w:numId w:val="114"/>
        </w:numPr>
        <w:rPr>
          <w:rFonts w:ascii="Arial" w:cs="Arial" w:eastAsia="Arial" w:hAnsi="Arial"/>
          <w:sz w:val="17"/>
          <w:szCs w:val="17"/>
          <w:color w:val="auto"/>
        </w:rPr>
      </w:pPr>
      <w:r>
        <w:rPr>
          <w:rFonts w:ascii="Arial" w:cs="Arial" w:eastAsia="Arial" w:hAnsi="Arial"/>
          <w:sz w:val="17"/>
          <w:szCs w:val="17"/>
          <w:b w:val="1"/>
          <w:bCs w:val="1"/>
          <w:color w:val="auto"/>
        </w:rPr>
        <w:t xml:space="preserve">Effect of Change in Control on Awards. </w:t>
      </w:r>
      <w:r>
        <w:rPr>
          <w:rFonts w:ascii="Arial" w:cs="Arial" w:eastAsia="Arial" w:hAnsi="Arial"/>
          <w:sz w:val="17"/>
          <w:szCs w:val="17"/>
          <w:color w:val="auto"/>
        </w:rPr>
        <w:t>Upon a Change in Control, each outstanding Award shall become 100% vested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Arial" w:cs="Arial" w:eastAsia="Arial" w:hAnsi="Arial"/>
          <w:sz w:val="17"/>
          <w:szCs w:val="17"/>
          <w:b w:val="1"/>
          <w:bCs w:val="1"/>
          <w:i w:val="1"/>
          <w:iCs w:val="1"/>
          <w:color w:val="auto"/>
        </w:rPr>
        <w:t>Acquiring Corporation</w:t>
      </w:r>
      <w:r>
        <w:rPr>
          <w:rFonts w:ascii="Arial" w:cs="Arial" w:eastAsia="Arial" w:hAnsi="Arial"/>
          <w:sz w:val="17"/>
          <w:szCs w:val="17"/>
          <w:color w:val="auto"/>
        </w:rPr>
        <w:t>”) in connection with the Change in Control nor exercised as of the date of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81" w:right="339" w:bottom="1440" w:gutter="0" w:footer="0" w:header="0"/>
        </w:sectPr>
      </w:pPr>
    </w:p>
    <w:bookmarkStart w:id="68" w:name="page69"/>
    <w:bookmarkEnd w:id="68"/>
    <w:p>
      <w:pPr>
        <w:ind w:left="1300" w:right="40"/>
        <w:spacing w:after="0" w:line="268" w:lineRule="auto"/>
        <w:rPr>
          <w:sz w:val="20"/>
          <w:szCs w:val="20"/>
          <w:color w:val="auto"/>
        </w:rPr>
      </w:pPr>
      <w:r>
        <w:rPr>
          <w:rFonts w:ascii="Arial" w:cs="Arial" w:eastAsia="Arial" w:hAnsi="Arial"/>
          <w:sz w:val="17"/>
          <w:szCs w:val="17"/>
          <w:color w:val="auto"/>
        </w:rPr>
        <w:t xml:space="preserve">Change in Control shall terminate and cease to be outstanding effective as of the date of the Change in Control; except as would otherwise result in adverse tax consequences under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(b) the number of shares of Stock subject to the Option or SAR. Notwithstanding the foregoing, shares acquired pursuant to an Award 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72" w:lineRule="exact"/>
        <w:rPr>
          <w:sz w:val="20"/>
          <w:szCs w:val="20"/>
          <w:color w:val="auto"/>
        </w:rPr>
      </w:pPr>
    </w:p>
    <w:p>
      <w:pPr>
        <w:ind w:left="280" w:hanging="272"/>
        <w:spacing w:after="0"/>
        <w:tabs>
          <w:tab w:leader="none" w:pos="2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 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55" w:lineRule="exact"/>
        <w:rPr>
          <w:sz w:val="20"/>
          <w:szCs w:val="20"/>
          <w:color w:val="auto"/>
        </w:rPr>
      </w:pPr>
    </w:p>
    <w:p>
      <w:pPr>
        <w:ind w:left="280" w:hanging="272"/>
        <w:spacing w:after="0"/>
        <w:tabs>
          <w:tab w:leader="none" w:pos="2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 OF INFORMATION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Participant shall be given access to information concerning the Company equivalent to that information generally made available to the Company’s common stockholders.</w:t>
      </w:r>
    </w:p>
    <w:p>
      <w:pPr>
        <w:spacing w:after="0" w:line="58" w:lineRule="exact"/>
        <w:rPr>
          <w:sz w:val="20"/>
          <w:szCs w:val="20"/>
          <w:color w:val="auto"/>
        </w:rPr>
      </w:pPr>
    </w:p>
    <w:p>
      <w:pPr>
        <w:ind w:left="280" w:hanging="272"/>
        <w:spacing w:after="0"/>
        <w:tabs>
          <w:tab w:leader="none" w:pos="2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SECURITIES LAW</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67" w:lineRule="exact"/>
        <w:rPr>
          <w:sz w:val="20"/>
          <w:szCs w:val="20"/>
          <w:color w:val="auto"/>
        </w:rPr>
      </w:pPr>
    </w:p>
    <w:p>
      <w:pPr>
        <w:ind w:left="280" w:hanging="272"/>
        <w:spacing w:after="0"/>
        <w:tabs>
          <w:tab w:leader="none" w:pos="2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OR AMENDMENT OF PLAN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81" w:right="339" w:bottom="1440" w:gutter="0" w:footer="0" w:header="0"/>
        </w:sectPr>
      </w:pPr>
    </w:p>
    <w:bookmarkStart w:id="69" w:name="page70"/>
    <w:bookmarkEnd w:id="69"/>
    <w:p>
      <w:pPr>
        <w:jc w:val="both"/>
        <w:ind w:firstLine="648"/>
        <w:spacing w:after="0" w:line="271" w:lineRule="auto"/>
        <w:rPr>
          <w:sz w:val="20"/>
          <w:szCs w:val="20"/>
          <w:color w:val="auto"/>
        </w:rPr>
      </w:pPr>
      <w:r>
        <w:rPr>
          <w:rFonts w:ascii="Arial" w:cs="Arial" w:eastAsia="Arial" w:hAnsi="Arial"/>
          <w:sz w:val="17"/>
          <w:szCs w:val="17"/>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66" w:lineRule="exact"/>
        <w:rPr>
          <w:sz w:val="20"/>
          <w:szCs w:val="20"/>
          <w:color w:val="auto"/>
        </w:rPr>
      </w:pPr>
    </w:p>
    <w:p>
      <w:pPr>
        <w:ind w:left="280" w:hanging="272"/>
        <w:spacing w:after="0"/>
        <w:tabs>
          <w:tab w:leader="none" w:pos="2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Any increase in the maximum aggregate number of shares of Stock issuable under the Plan as provided in Section 4.1 (the “</w:t>
      </w:r>
      <w:r>
        <w:rPr>
          <w:rFonts w:ascii="Arial" w:cs="Arial" w:eastAsia="Arial" w:hAnsi="Arial"/>
          <w:sz w:val="18"/>
          <w:szCs w:val="18"/>
          <w:b w:val="1"/>
          <w:bCs w:val="1"/>
          <w:i w:val="1"/>
          <w:iCs w:val="1"/>
          <w:color w:val="auto"/>
        </w:rPr>
        <w:t>Authorized Shares</w:t>
      </w:r>
      <w:r>
        <w:rPr>
          <w:rFonts w:ascii="Arial" w:cs="Arial" w:eastAsia="Arial" w:hAnsi="Arial"/>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81"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503" w:lineRule="auto"/>
        <w:rPr>
          <w:sz w:val="20"/>
          <w:szCs w:val="20"/>
          <w:color w:val="auto"/>
        </w:rPr>
      </w:pPr>
      <w:r>
        <w:rPr>
          <w:rFonts w:ascii="Arial" w:cs="Arial" w:eastAsia="Arial" w:hAnsi="Arial"/>
          <w:sz w:val="16"/>
          <w:szCs w:val="16"/>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1174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11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-349885</wp:posOffset>
            </wp:positionV>
            <wp:extent cx="1174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-589915</wp:posOffset>
            </wp:positionV>
            <wp:extent cx="1174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-829945</wp:posOffset>
            </wp:positionV>
            <wp:extent cx="1174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-1069975</wp:posOffset>
            </wp:positionV>
            <wp:extent cx="1174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-1310005</wp:posOffset>
            </wp:positionV>
            <wp:extent cx="1174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-1550035</wp:posOffset>
            </wp:positionV>
            <wp:extent cx="1174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174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174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174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1174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174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80"/>
        <w:spacing w:after="0" w:line="553" w:lineRule="auto"/>
        <w:rPr>
          <w:sz w:val="20"/>
          <w:szCs w:val="20"/>
          <w:color w:val="auto"/>
        </w:rPr>
      </w:pPr>
      <w:r>
        <w:rPr>
          <w:rFonts w:ascii="Arial" w:cs="Arial" w:eastAsia="Arial" w:hAnsi="Arial"/>
          <w:sz w:val="16"/>
          <w:szCs w:val="16"/>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1174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-374650</wp:posOffset>
            </wp:positionV>
            <wp:extent cx="1174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174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174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1174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Arial" w:cs="Arial" w:eastAsia="Arial" w:hAnsi="Arial"/>
          <w:sz w:val="18"/>
          <w:szCs w:val="18"/>
          <w:b w:val="1"/>
          <w:bCs w:val="1"/>
          <w:u w:val="single" w:color="auto"/>
          <w:color w:val="auto"/>
        </w:rPr>
        <w:t>PLAN HISTORY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Compensation Committee amends Third Amended and Restated Plan, increasing the reserve by 700,000 shares and providing for performance-based awards, approved by stockholders at their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586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586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Compensation Committee amends Third Amended and Restated Plan, increasing the reserve by 750,000 shares. The Plan was also amended to clarify the Compensation Committee’s authority to prescribe adjustments to the performance measures set forth in Section 12.2 of the Plan, which are used to set performance goals for incentive awards under the Plan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586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Amend the material terms of the Plan to expand the possible performance measures that can be established by the Board or the Compensation Committee of the Board (the “Compensation Committee”) with respect to annual incentive awards or performance-based awards. The Fourth Amendment also permits the Board or the Compensation Committee to adjust the performance measures in a manner that complies with Treasury Regulations governing modifications to performance measures under Section 162(m) of the Internal Revenue Code. Additionally, under the Fourth Amendment, the Board or Compensation Committee may designate any awards available under the Plan as performance-based awards. Finally, the Fourth Amendment restricts the number of shares of the Company’s common stock that can be settled, or cash that can be paid, in respect of a performance-based award in a single calendar year to any Plan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586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58635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5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Compensation Committee adopts Fifth Amended and Restated Plan, increasing the reserve by 200,000 shares and prohibiting the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58635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Committee adopts Sixth Amended and Restated Plan, increasing the reserve by 200,000 shares. The Plan was also amended to (a) include Stock Appreciation Rights, Restricted Stock Units, and Other Stock-Based Awards as types of Awards available for issuance under the Plan, (b) conform the Plan to changes made to Section 162(m) of the Code by the Tax Cuts and Jobs Act of 2017, and (c) to make certain other clarifying and ministerial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58635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39370</wp:posOffset>
            </wp:positionV>
            <wp:extent cx="586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1340" w:space="620"/>
            <w:col w:w="9140"/>
          </w:cols>
          <w:pgMar w:left="340" w:top="769" w:right="459" w:bottom="1440" w:gutter="0" w:footer="0" w:header="0"/>
        </w:sectPr>
      </w:pPr>
    </w:p>
    <w:bookmarkStart w:id="71" w:name="page72"/>
    <w:bookmarkEnd w:id="71"/>
    <w:p>
      <w:pPr>
        <w:ind w:left="11120"/>
        <w:spacing w:after="0"/>
        <w:rPr>
          <w:sz w:val="20"/>
          <w:szCs w:val="20"/>
          <w:color w:val="auto"/>
        </w:rPr>
      </w:pPr>
      <w:r>
        <w:rPr>
          <w:rFonts w:ascii="Arial" w:cs="Arial" w:eastAsia="Arial" w:hAnsi="Arial"/>
          <w:sz w:val="18"/>
          <w:szCs w:val="18"/>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WESTWOOD HOLDINGS GROUP,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Arial" w:cs="Arial" w:eastAsia="Arial" w:hAnsi="Arial"/>
          <w:sz w:val="22"/>
          <w:szCs w:val="22"/>
          <w:b w:val="1"/>
          <w:bCs w:val="1"/>
          <w:color w:val="auto"/>
        </w:rPr>
        <w:t>PROXY SOLICITED BY THE BOARD OF DIRECTORS FOR</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22"/>
          <w:szCs w:val="22"/>
          <w:b w:val="1"/>
          <w:bCs w:val="1"/>
          <w:color w:val="auto"/>
        </w:rPr>
        <w:t>THE ANNUAL MEETING TO BE HELD ON APRIL 29, 2020</w:t>
      </w:r>
    </w:p>
    <w:p>
      <w:pPr>
        <w:spacing w:after="0" w:line="209" w:lineRule="exact"/>
        <w:rPr>
          <w:sz w:val="20"/>
          <w:szCs w:val="20"/>
          <w:color w:val="auto"/>
        </w:rPr>
      </w:pPr>
    </w:p>
    <w:p>
      <w:pPr>
        <w:jc w:val="both"/>
        <w:ind w:firstLine="526"/>
        <w:spacing w:after="0" w:line="275" w:lineRule="auto"/>
        <w:rPr>
          <w:sz w:val="20"/>
          <w:szCs w:val="20"/>
          <w:color w:val="auto"/>
        </w:rPr>
      </w:pPr>
      <w:r>
        <w:rPr>
          <w:rFonts w:ascii="Arial" w:cs="Arial" w:eastAsia="Arial" w:hAnsi="Arial"/>
          <w:sz w:val="17"/>
          <w:szCs w:val="17"/>
          <w:color w:val="auto"/>
        </w:rPr>
        <w:t>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The Crescent Club, 200 Crescent Court, Suite 1700, Dallas, Texas 75201, on Wednesday, April 29, 2020, at 10:00 a.m., Central Time, and any postponements or adjournments thereof, as fully as the undersigned could if personally present, revoking any proxy or proxies heretofore given.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06" w:right="339" w:bottom="1440" w:gutter="0" w:footer="0" w:header="0"/>
        </w:sectPr>
      </w:pPr>
    </w:p>
    <w:bookmarkStart w:id="72" w:name="page73"/>
    <w:bookmarkEnd w:id="72"/>
    <w:p>
      <w:pPr>
        <w:ind w:left="20"/>
        <w:spacing w:after="0"/>
        <w:tabs>
          <w:tab w:leader="none" w:pos="11100" w:val="left"/>
        </w:tabs>
        <w:rPr>
          <w:sz w:val="20"/>
          <w:szCs w:val="20"/>
          <w:color w:val="auto"/>
        </w:rPr>
      </w:pPr>
      <w:r>
        <w:rPr>
          <w:rFonts w:ascii="Arial" w:cs="Arial" w:eastAsia="Arial" w:hAnsi="Arial"/>
          <w:sz w:val="17"/>
          <w:szCs w:val="17"/>
          <w:color w:val="auto"/>
        </w:rPr>
        <w:t>n</w:t>
      </w:r>
      <w:r>
        <w:rPr>
          <w:sz w:val="20"/>
          <w:szCs w:val="20"/>
          <w:color w:val="auto"/>
        </w:rPr>
        <w:tab/>
      </w:r>
      <w:r>
        <w:rPr>
          <w:rFonts w:ascii="Arial" w:cs="Arial" w:eastAsia="Arial" w:hAnsi="Arial"/>
          <w:sz w:val="17"/>
          <w:szCs w:val="17"/>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7071995"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719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The Board of Directors recommends a vote “FOR” all director nominees in Proposal 1 and “FOR” Proposals 2, 3, and 4.</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PLEASE SIGN, DATE AND RETURN PROMPTLY IN THE ENCLOSED ENVELOPE. PLEASE MARK YOUR VOTE IN BLUE OR BLACK INK AS SHOWN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 xml:space="preserve">HERE  </w:t>
      </w:r>
      <w:r>
        <w:rPr>
          <w:rFonts w:ascii="Arial" w:cs="Arial" w:eastAsia="Arial" w:hAnsi="Arial"/>
          <w:sz w:val="14"/>
          <w:szCs w:val="14"/>
          <w:color w:val="auto"/>
        </w:rPr>
        <w:t>x</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340" w:type="dxa"/>
            <w:vAlign w:val="bottom"/>
            <w:tcBorders>
              <w:top w:val="single" w:sz="8" w:color="auto"/>
              <w:right w:val="single" w:sz="8" w:color="auto"/>
            </w:tcBorders>
          </w:tcPr>
          <w:p>
            <w:pPr>
              <w:spacing w:after="0"/>
              <w:rPr>
                <w:sz w:val="16"/>
                <w:szCs w:val="16"/>
                <w:color w:val="auto"/>
              </w:rPr>
            </w:pPr>
          </w:p>
        </w:tc>
        <w:tc>
          <w:tcPr>
            <w:tcW w:w="3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ind w:left="160"/>
              <w:spacing w:after="0"/>
              <w:rPr>
                <w:sz w:val="20"/>
                <w:szCs w:val="20"/>
                <w:color w:val="auto"/>
              </w:rPr>
            </w:pPr>
            <w:r>
              <w:rPr>
                <w:rFonts w:ascii="Arial" w:cs="Arial" w:eastAsia="Arial" w:hAnsi="Arial"/>
                <w:sz w:val="11"/>
                <w:szCs w:val="11"/>
                <w:color w:val="auto"/>
              </w:rPr>
              <w:t>FOR</w:t>
            </w:r>
          </w:p>
        </w:tc>
        <w:tc>
          <w:tcPr>
            <w:tcW w:w="86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AGAINST</w:t>
            </w:r>
          </w:p>
        </w:tc>
        <w:tc>
          <w:tcPr>
            <w:tcW w:w="1480" w:type="dxa"/>
            <w:vAlign w:val="bottom"/>
            <w:tcBorders>
              <w:top w:val="single" w:sz="8" w:color="auto"/>
            </w:tcBorders>
          </w:tcPr>
          <w:p>
            <w:pPr>
              <w:ind w:left="160"/>
              <w:spacing w:after="0"/>
              <w:rPr>
                <w:sz w:val="20"/>
                <w:szCs w:val="20"/>
                <w:color w:val="auto"/>
              </w:rPr>
            </w:pPr>
            <w:r>
              <w:rPr>
                <w:rFonts w:ascii="Arial" w:cs="Arial" w:eastAsia="Arial" w:hAnsi="Arial"/>
                <w:sz w:val="11"/>
                <w:szCs w:val="11"/>
                <w:color w:val="auto"/>
              </w:rPr>
              <w:t>ABSTAIN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680" w:type="dxa"/>
            <w:vAlign w:val="bottom"/>
            <w:gridSpan w:val="6"/>
          </w:tcPr>
          <w:p>
            <w:pPr>
              <w:spacing w:after="0"/>
              <w:rPr>
                <w:sz w:val="20"/>
                <w:szCs w:val="20"/>
                <w:color w:val="auto"/>
              </w:rPr>
            </w:pPr>
            <w:r>
              <w:rPr>
                <w:rFonts w:ascii="Arial" w:cs="Arial" w:eastAsia="Arial" w:hAnsi="Arial"/>
                <w:sz w:val="14"/>
                <w:szCs w:val="14"/>
                <w:color w:val="auto"/>
              </w:rPr>
              <w:t>1. Election of six directors to hold office until the next annual meeting of</w:t>
            </w:r>
          </w:p>
        </w:tc>
        <w:tc>
          <w:tcPr>
            <w:tcW w:w="340" w:type="dxa"/>
            <w:vAlign w:val="bottom"/>
            <w:tcBorders>
              <w:right w:val="single" w:sz="8" w:color="auto"/>
            </w:tcBorders>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2. Ratification of the appointment of Deloitte &amp;</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80" w:type="dxa"/>
            <w:vAlign w:val="bottom"/>
            <w:gridSpan w:val="6"/>
          </w:tcPr>
          <w:p>
            <w:pPr>
              <w:spacing w:after="0" w:line="149" w:lineRule="exact"/>
              <w:rPr>
                <w:sz w:val="20"/>
                <w:szCs w:val="20"/>
                <w:color w:val="auto"/>
              </w:rPr>
            </w:pPr>
            <w:r>
              <w:rPr>
                <w:rFonts w:ascii="Arial" w:cs="Arial" w:eastAsia="Arial" w:hAnsi="Arial"/>
                <w:sz w:val="14"/>
                <w:szCs w:val="14"/>
                <w:color w:val="auto"/>
                <w:w w:val="95"/>
              </w:rPr>
              <w:t>Westwood’s stockholders and until their respective successors shall have been</w:t>
            </w:r>
          </w:p>
        </w:tc>
        <w:tc>
          <w:tcPr>
            <w:tcW w:w="340" w:type="dxa"/>
            <w:vAlign w:val="bottom"/>
            <w:tcBorders>
              <w:right w:val="single" w:sz="8" w:color="auto"/>
            </w:tcBorders>
          </w:tcPr>
          <w:p>
            <w:pPr>
              <w:spacing w:after="0"/>
              <w:rPr>
                <w:sz w:val="12"/>
                <w:szCs w:val="12"/>
                <w:color w:val="auto"/>
              </w:rPr>
            </w:pPr>
          </w:p>
        </w:tc>
        <w:tc>
          <w:tcPr>
            <w:tcW w:w="3180" w:type="dxa"/>
            <w:vAlign w:val="bottom"/>
          </w:tcPr>
          <w:p>
            <w:pPr>
              <w:ind w:left="140"/>
              <w:spacing w:after="0" w:line="149" w:lineRule="exact"/>
              <w:rPr>
                <w:sz w:val="20"/>
                <w:szCs w:val="20"/>
                <w:color w:val="auto"/>
              </w:rPr>
            </w:pPr>
            <w:r>
              <w:rPr>
                <w:rFonts w:ascii="Arial" w:cs="Arial" w:eastAsia="Arial" w:hAnsi="Arial"/>
                <w:sz w:val="14"/>
                <w:szCs w:val="14"/>
                <w:color w:val="auto"/>
                <w:w w:val="97"/>
              </w:rPr>
              <w:t>Touche LLP as Westwood’s independent auditors</w:t>
            </w:r>
          </w:p>
        </w:tc>
        <w:tc>
          <w:tcPr>
            <w:tcW w:w="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o</w:t>
            </w:r>
          </w:p>
        </w:tc>
        <w:tc>
          <w:tcPr>
            <w:tcW w:w="8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o</w:t>
            </w:r>
          </w:p>
        </w:tc>
        <w:tc>
          <w:tcPr>
            <w:tcW w:w="14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00" w:type="dxa"/>
            <w:vAlign w:val="bottom"/>
            <w:gridSpan w:val="4"/>
          </w:tcPr>
          <w:p>
            <w:pPr>
              <w:spacing w:after="0"/>
              <w:rPr>
                <w:sz w:val="20"/>
                <w:szCs w:val="20"/>
                <w:color w:val="auto"/>
              </w:rPr>
            </w:pPr>
            <w:r>
              <w:rPr>
                <w:rFonts w:ascii="Arial" w:cs="Arial" w:eastAsia="Arial" w:hAnsi="Arial"/>
                <w:sz w:val="14"/>
                <w:szCs w:val="14"/>
                <w:color w:val="auto"/>
              </w:rPr>
              <w:t>duly elected and qualified.</w:t>
            </w:r>
          </w:p>
        </w:tc>
        <w:tc>
          <w:tcPr>
            <w:tcW w:w="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for the year ending December 31, 2020.</w:t>
            </w:r>
          </w:p>
        </w:tc>
        <w:tc>
          <w:tcPr>
            <w:tcW w:w="5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80" w:type="dxa"/>
            <w:vAlign w:val="bottom"/>
            <w:gridSpan w:val="2"/>
          </w:tcPr>
          <w:p>
            <w:pPr>
              <w:ind w:left="280"/>
              <w:spacing w:after="0"/>
              <w:rPr>
                <w:sz w:val="20"/>
                <w:szCs w:val="20"/>
                <w:color w:val="auto"/>
              </w:rPr>
            </w:pPr>
            <w:r>
              <w:rPr>
                <w:rFonts w:ascii="Arial" w:cs="Arial" w:eastAsia="Arial" w:hAnsi="Arial"/>
                <w:sz w:val="14"/>
                <w:szCs w:val="14"/>
                <w:b w:val="1"/>
                <w:bCs w:val="1"/>
                <w:color w:val="auto"/>
              </w:rPr>
              <w:t>NOMINEES:</w:t>
            </w:r>
          </w:p>
        </w:tc>
        <w:tc>
          <w:tcPr>
            <w:tcW w:w="340" w:type="dxa"/>
            <w:vAlign w:val="bottom"/>
            <w:tcBorders>
              <w:right w:val="single" w:sz="8" w:color="auto"/>
            </w:tcBorders>
          </w:tcPr>
          <w:p>
            <w:pPr>
              <w:spacing w:after="0"/>
              <w:rPr>
                <w:sz w:val="17"/>
                <w:szCs w:val="17"/>
                <w:color w:val="auto"/>
              </w:rPr>
            </w:pPr>
          </w:p>
        </w:tc>
        <w:tc>
          <w:tcPr>
            <w:tcW w:w="3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FOR ALL NOMINEES</w:t>
            </w:r>
          </w:p>
        </w:tc>
        <w:tc>
          <w:tcPr>
            <w:tcW w:w="460" w:type="dxa"/>
            <w:vAlign w:val="bottom"/>
          </w:tcPr>
          <w:p>
            <w:pPr>
              <w:ind w:left="280"/>
              <w:spacing w:after="0"/>
              <w:rPr>
                <w:sz w:val="20"/>
                <w:szCs w:val="20"/>
                <w:color w:val="auto"/>
              </w:rPr>
            </w:pPr>
            <w:r>
              <w:rPr>
                <w:rFonts w:ascii="Arial" w:cs="Arial" w:eastAsia="Arial" w:hAnsi="Arial"/>
                <w:sz w:val="14"/>
                <w:szCs w:val="14"/>
                <w:color w:val="auto"/>
              </w:rPr>
              <w:t>O</w:t>
            </w:r>
          </w:p>
        </w:tc>
        <w:tc>
          <w:tcPr>
            <w:tcW w:w="2220" w:type="dxa"/>
            <w:vAlign w:val="bottom"/>
          </w:tcPr>
          <w:p>
            <w:pPr>
              <w:ind w:left="100"/>
              <w:spacing w:after="0"/>
              <w:rPr>
                <w:sz w:val="20"/>
                <w:szCs w:val="20"/>
                <w:color w:val="auto"/>
              </w:rPr>
            </w:pPr>
            <w:r>
              <w:rPr>
                <w:rFonts w:ascii="Arial" w:cs="Arial" w:eastAsia="Arial" w:hAnsi="Arial"/>
                <w:sz w:val="14"/>
                <w:szCs w:val="14"/>
                <w:color w:val="auto"/>
              </w:rPr>
              <w:t>Brian O. Casey</w:t>
            </w:r>
          </w:p>
        </w:tc>
        <w:tc>
          <w:tcPr>
            <w:tcW w:w="340" w:type="dxa"/>
            <w:vAlign w:val="bottom"/>
            <w:tcBorders>
              <w:right w:val="single" w:sz="8" w:color="auto"/>
            </w:tcBorders>
          </w:tcPr>
          <w:p>
            <w:pPr>
              <w:spacing w:after="0"/>
              <w:rPr>
                <w:sz w:val="13"/>
                <w:szCs w:val="13"/>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w w:val="95"/>
              </w:rPr>
              <w:t>3. To approve the Seventh Amended and Restated</w:t>
            </w:r>
          </w:p>
        </w:tc>
        <w:tc>
          <w:tcPr>
            <w:tcW w:w="5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o</w:t>
            </w:r>
          </w:p>
        </w:tc>
        <w:tc>
          <w:tcPr>
            <w:tcW w:w="8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o</w:t>
            </w:r>
          </w:p>
        </w:tc>
        <w:tc>
          <w:tcPr>
            <w:tcW w:w="14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460" w:type="dxa"/>
            <w:vAlign w:val="bottom"/>
            <w:vMerge w:val="restart"/>
          </w:tcPr>
          <w:p>
            <w:pPr>
              <w:ind w:left="280"/>
              <w:spacing w:after="0" w:line="149" w:lineRule="exact"/>
              <w:rPr>
                <w:sz w:val="20"/>
                <w:szCs w:val="20"/>
                <w:color w:val="auto"/>
              </w:rPr>
            </w:pPr>
            <w:r>
              <w:rPr>
                <w:rFonts w:ascii="Arial" w:cs="Arial" w:eastAsia="Arial" w:hAnsi="Arial"/>
                <w:sz w:val="14"/>
                <w:szCs w:val="14"/>
                <w:color w:val="auto"/>
              </w:rPr>
              <w:t>O</w:t>
            </w:r>
          </w:p>
        </w:tc>
        <w:tc>
          <w:tcPr>
            <w:tcW w:w="222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Richard M. Frank</w:t>
            </w:r>
          </w:p>
        </w:tc>
        <w:tc>
          <w:tcPr>
            <w:tcW w:w="340" w:type="dxa"/>
            <w:vAlign w:val="bottom"/>
            <w:tcBorders>
              <w:right w:val="single" w:sz="8" w:color="auto"/>
            </w:tcBorders>
          </w:tcPr>
          <w:p>
            <w:pPr>
              <w:spacing w:after="0"/>
              <w:rPr>
                <w:sz w:val="7"/>
                <w:szCs w:val="7"/>
                <w:color w:val="auto"/>
              </w:rPr>
            </w:pPr>
          </w:p>
        </w:tc>
        <w:tc>
          <w:tcPr>
            <w:tcW w:w="3180" w:type="dxa"/>
            <w:vAlign w:val="bottom"/>
            <w:vMerge w:val="restart"/>
          </w:tcPr>
          <w:p>
            <w:pPr>
              <w:ind w:left="140"/>
              <w:spacing w:after="0" w:line="149" w:lineRule="exact"/>
              <w:rPr>
                <w:sz w:val="20"/>
                <w:szCs w:val="20"/>
                <w:color w:val="auto"/>
              </w:rPr>
            </w:pPr>
            <w:r>
              <w:rPr>
                <w:rFonts w:ascii="Arial" w:cs="Arial" w:eastAsia="Arial" w:hAnsi="Arial"/>
                <w:sz w:val="14"/>
                <w:szCs w:val="14"/>
                <w:color w:val="auto"/>
              </w:rPr>
              <w:t>Westwood Holdings Group, Inc. Stock Incentive</w:t>
            </w:r>
          </w:p>
        </w:tc>
        <w:tc>
          <w:tcPr>
            <w:tcW w:w="58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20" w:type="dxa"/>
            <w:vAlign w:val="bottom"/>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31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740" w:type="dxa"/>
            <w:vAlign w:val="bottom"/>
            <w:gridSpan w:val="3"/>
          </w:tcPr>
          <w:p>
            <w:pPr>
              <w:ind w:left="160"/>
              <w:spacing w:after="0"/>
              <w:rPr>
                <w:sz w:val="20"/>
                <w:szCs w:val="20"/>
                <w:color w:val="auto"/>
              </w:rPr>
            </w:pPr>
            <w:r>
              <w:rPr>
                <w:rFonts w:ascii="Arial" w:cs="Arial" w:eastAsia="Arial" w:hAnsi="Arial"/>
                <w:sz w:val="11"/>
                <w:szCs w:val="11"/>
                <w:b w:val="1"/>
                <w:bCs w:val="1"/>
                <w:color w:val="auto"/>
              </w:rPr>
              <w:t>WITHHOLD AUTHORITY</w:t>
            </w:r>
          </w:p>
        </w:tc>
        <w:tc>
          <w:tcPr>
            <w:tcW w:w="460" w:type="dxa"/>
            <w:vAlign w:val="bottom"/>
          </w:tcPr>
          <w:p>
            <w:pPr>
              <w:ind w:left="280"/>
              <w:spacing w:after="0"/>
              <w:rPr>
                <w:sz w:val="20"/>
                <w:szCs w:val="20"/>
                <w:color w:val="auto"/>
              </w:rPr>
            </w:pPr>
            <w:r>
              <w:rPr>
                <w:rFonts w:ascii="Arial" w:cs="Arial" w:eastAsia="Arial" w:hAnsi="Arial"/>
                <w:sz w:val="14"/>
                <w:szCs w:val="14"/>
                <w:color w:val="auto"/>
              </w:rPr>
              <w:t>O</w:t>
            </w:r>
          </w:p>
        </w:tc>
        <w:tc>
          <w:tcPr>
            <w:tcW w:w="2220" w:type="dxa"/>
            <w:vAlign w:val="bottom"/>
          </w:tcPr>
          <w:p>
            <w:pPr>
              <w:ind w:left="100"/>
              <w:spacing w:after="0"/>
              <w:rPr>
                <w:sz w:val="20"/>
                <w:szCs w:val="20"/>
                <w:color w:val="auto"/>
              </w:rPr>
            </w:pPr>
            <w:r>
              <w:rPr>
                <w:rFonts w:ascii="Arial" w:cs="Arial" w:eastAsia="Arial" w:hAnsi="Arial"/>
                <w:sz w:val="14"/>
                <w:szCs w:val="14"/>
                <w:color w:val="auto"/>
              </w:rPr>
              <w:t>Susan M. Byrne</w:t>
            </w:r>
          </w:p>
        </w:tc>
        <w:tc>
          <w:tcPr>
            <w:tcW w:w="340" w:type="dxa"/>
            <w:vAlign w:val="bottom"/>
            <w:tcBorders>
              <w:right w:val="single" w:sz="8" w:color="auto"/>
            </w:tcBorders>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Plan.</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74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FOR ALL NOMINEES</w:t>
            </w:r>
          </w:p>
        </w:tc>
        <w:tc>
          <w:tcPr>
            <w:tcW w:w="460" w:type="dxa"/>
            <w:vAlign w:val="bottom"/>
          </w:tcPr>
          <w:p>
            <w:pPr>
              <w:ind w:left="280"/>
              <w:spacing w:after="0" w:line="122" w:lineRule="exact"/>
              <w:rPr>
                <w:sz w:val="20"/>
                <w:szCs w:val="20"/>
                <w:color w:val="auto"/>
              </w:rPr>
            </w:pPr>
            <w:r>
              <w:rPr>
                <w:rFonts w:ascii="Arial" w:cs="Arial" w:eastAsia="Arial" w:hAnsi="Arial"/>
                <w:sz w:val="14"/>
                <w:szCs w:val="14"/>
                <w:color w:val="auto"/>
              </w:rPr>
              <w:t>O</w:t>
            </w:r>
          </w:p>
        </w:tc>
        <w:tc>
          <w:tcPr>
            <w:tcW w:w="2220" w:type="dxa"/>
            <w:vAlign w:val="bottom"/>
          </w:tcPr>
          <w:p>
            <w:pPr>
              <w:ind w:left="100"/>
              <w:spacing w:after="0" w:line="122" w:lineRule="exact"/>
              <w:rPr>
                <w:sz w:val="20"/>
                <w:szCs w:val="20"/>
                <w:color w:val="auto"/>
              </w:rPr>
            </w:pPr>
            <w:r>
              <w:rPr>
                <w:rFonts w:ascii="Arial" w:cs="Arial" w:eastAsia="Arial" w:hAnsi="Arial"/>
                <w:sz w:val="14"/>
                <w:szCs w:val="14"/>
                <w:color w:val="auto"/>
              </w:rPr>
              <w:t>Ellen H. Masterson</w:t>
            </w:r>
          </w:p>
        </w:tc>
        <w:tc>
          <w:tcPr>
            <w:tcW w:w="340" w:type="dxa"/>
            <w:vAlign w:val="bottom"/>
            <w:tcBorders>
              <w:right w:val="single" w:sz="8" w:color="auto"/>
            </w:tcBorders>
          </w:tcPr>
          <w:p>
            <w:pPr>
              <w:spacing w:after="0"/>
              <w:rPr>
                <w:sz w:val="10"/>
                <w:szCs w:val="10"/>
                <w:color w:val="auto"/>
              </w:rPr>
            </w:pPr>
          </w:p>
        </w:tc>
        <w:tc>
          <w:tcPr>
            <w:tcW w:w="3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ind w:left="280"/>
              <w:spacing w:after="0" w:line="81" w:lineRule="exact"/>
              <w:rPr>
                <w:sz w:val="20"/>
                <w:szCs w:val="20"/>
                <w:color w:val="auto"/>
              </w:rPr>
            </w:pPr>
            <w:r>
              <w:rPr>
                <w:rFonts w:ascii="Arial" w:cs="Arial" w:eastAsia="Arial" w:hAnsi="Arial"/>
                <w:sz w:val="9"/>
                <w:szCs w:val="9"/>
                <w:color w:val="auto"/>
              </w:rPr>
              <w:t>O</w:t>
            </w:r>
          </w:p>
        </w:tc>
        <w:tc>
          <w:tcPr>
            <w:tcW w:w="2220" w:type="dxa"/>
            <w:vAlign w:val="bottom"/>
          </w:tcPr>
          <w:p>
            <w:pPr>
              <w:ind w:left="100"/>
              <w:spacing w:after="0" w:line="81" w:lineRule="exact"/>
              <w:rPr>
                <w:sz w:val="20"/>
                <w:szCs w:val="20"/>
                <w:color w:val="auto"/>
              </w:rPr>
            </w:pPr>
            <w:r>
              <w:rPr>
                <w:rFonts w:ascii="Arial" w:cs="Arial" w:eastAsia="Arial" w:hAnsi="Arial"/>
                <w:sz w:val="9"/>
                <w:szCs w:val="9"/>
                <w:color w:val="auto"/>
              </w:rPr>
              <w:t>Geoffrey R. Norman</w:t>
            </w:r>
          </w:p>
        </w:tc>
        <w:tc>
          <w:tcPr>
            <w:tcW w:w="340" w:type="dxa"/>
            <w:vAlign w:val="bottom"/>
            <w:tcBorders>
              <w:right w:val="single" w:sz="8" w:color="auto"/>
            </w:tcBorders>
          </w:tcPr>
          <w:p>
            <w:pPr>
              <w:spacing w:after="0"/>
              <w:rPr>
                <w:sz w:val="7"/>
                <w:szCs w:val="7"/>
                <w:color w:val="auto"/>
              </w:rPr>
            </w:pPr>
          </w:p>
        </w:tc>
        <w:tc>
          <w:tcPr>
            <w:tcW w:w="3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o</w:t>
            </w:r>
          </w:p>
        </w:tc>
        <w:tc>
          <w:tcPr>
            <w:tcW w:w="1220" w:type="dxa"/>
            <w:vAlign w:val="bottom"/>
            <w:gridSpan w:val="2"/>
          </w:tcPr>
          <w:p>
            <w:pPr>
              <w:ind w:left="160"/>
              <w:spacing w:after="0"/>
              <w:rPr>
                <w:sz w:val="20"/>
                <w:szCs w:val="20"/>
                <w:color w:val="auto"/>
              </w:rPr>
            </w:pPr>
            <w:r>
              <w:rPr>
                <w:rFonts w:ascii="Arial" w:cs="Arial" w:eastAsia="Arial" w:hAnsi="Arial"/>
                <w:sz w:val="11"/>
                <w:szCs w:val="11"/>
                <w:b w:val="1"/>
                <w:bCs w:val="1"/>
                <w:color w:val="auto"/>
              </w:rPr>
              <w:t>FOR ALL EXCEPT</w:t>
            </w:r>
          </w:p>
        </w:tc>
        <w:tc>
          <w:tcPr>
            <w:tcW w:w="52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Arial" w:cs="Arial" w:eastAsia="Arial" w:hAnsi="Arial"/>
                <w:sz w:val="14"/>
                <w:szCs w:val="14"/>
                <w:color w:val="auto"/>
              </w:rPr>
              <w:t>O</w:t>
            </w:r>
          </w:p>
        </w:tc>
        <w:tc>
          <w:tcPr>
            <w:tcW w:w="2220" w:type="dxa"/>
            <w:vAlign w:val="bottom"/>
          </w:tcPr>
          <w:p>
            <w:pPr>
              <w:ind w:left="100"/>
              <w:spacing w:after="0"/>
              <w:rPr>
                <w:sz w:val="20"/>
                <w:szCs w:val="20"/>
                <w:color w:val="auto"/>
              </w:rPr>
            </w:pPr>
            <w:r>
              <w:rPr>
                <w:rFonts w:ascii="Arial" w:cs="Arial" w:eastAsia="Arial" w:hAnsi="Arial"/>
                <w:sz w:val="14"/>
                <w:szCs w:val="14"/>
                <w:color w:val="auto"/>
              </w:rPr>
              <w:t>Raymond E. Wooldridge</w:t>
            </w:r>
          </w:p>
        </w:tc>
        <w:tc>
          <w:tcPr>
            <w:tcW w:w="340" w:type="dxa"/>
            <w:vAlign w:val="bottom"/>
            <w:tcBorders>
              <w:right w:val="single" w:sz="8" w:color="auto"/>
            </w:tcBorders>
          </w:tcPr>
          <w:p>
            <w:pPr>
              <w:spacing w:after="0"/>
              <w:rPr>
                <w:sz w:val="14"/>
                <w:szCs w:val="14"/>
                <w:color w:val="auto"/>
              </w:rPr>
            </w:pPr>
          </w:p>
        </w:tc>
        <w:tc>
          <w:tcPr>
            <w:tcW w:w="3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220" w:type="dxa"/>
            <w:vAlign w:val="bottom"/>
            <w:gridSpan w:val="2"/>
          </w:tcPr>
          <w:p>
            <w:pPr>
              <w:ind w:left="160"/>
              <w:spacing w:after="0"/>
              <w:rPr>
                <w:sz w:val="20"/>
                <w:szCs w:val="20"/>
                <w:color w:val="auto"/>
              </w:rPr>
            </w:pPr>
            <w:r>
              <w:rPr>
                <w:rFonts w:ascii="Arial" w:cs="Arial" w:eastAsia="Arial" w:hAnsi="Arial"/>
                <w:sz w:val="11"/>
                <w:szCs w:val="11"/>
                <w:color w:val="auto"/>
                <w:w w:val="88"/>
              </w:rPr>
              <w:t>(See instructions below)</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3180" w:type="dxa"/>
            <w:vAlign w:val="bottom"/>
            <w:vMerge w:val="restart"/>
          </w:tcPr>
          <w:p>
            <w:pPr>
              <w:ind w:left="140"/>
              <w:spacing w:after="0"/>
              <w:rPr>
                <w:sz w:val="20"/>
                <w:szCs w:val="20"/>
                <w:color w:val="auto"/>
              </w:rPr>
            </w:pPr>
            <w:r>
              <w:rPr>
                <w:rFonts w:ascii="Arial" w:cs="Arial" w:eastAsia="Arial" w:hAnsi="Arial"/>
                <w:sz w:val="14"/>
                <w:szCs w:val="14"/>
                <w:color w:val="auto"/>
              </w:rPr>
              <w:t>4. To cast a non-binding, advisory vote on</w:t>
            </w:r>
          </w:p>
        </w:tc>
        <w:tc>
          <w:tcPr>
            <w:tcW w:w="580" w:type="dxa"/>
            <w:vAlign w:val="bottom"/>
            <w:vMerge w:val="restart"/>
          </w:tcPr>
          <w:p>
            <w:pPr>
              <w:ind w:left="160"/>
              <w:spacing w:after="0" w:line="178" w:lineRule="exact"/>
              <w:rPr>
                <w:sz w:val="20"/>
                <w:szCs w:val="20"/>
                <w:color w:val="auto"/>
              </w:rPr>
            </w:pPr>
            <w:r>
              <w:rPr>
                <w:rFonts w:ascii="Arial" w:cs="Arial" w:eastAsia="Arial" w:hAnsi="Arial"/>
                <w:sz w:val="18"/>
                <w:szCs w:val="18"/>
                <w:b w:val="1"/>
                <w:bCs w:val="1"/>
                <w:color w:val="auto"/>
              </w:rPr>
              <w:t>o</w:t>
            </w:r>
          </w:p>
        </w:tc>
        <w:tc>
          <w:tcPr>
            <w:tcW w:w="860" w:type="dxa"/>
            <w:vAlign w:val="bottom"/>
            <w:vMerge w:val="restart"/>
          </w:tcPr>
          <w:p>
            <w:pPr>
              <w:ind w:left="220"/>
              <w:spacing w:after="0" w:line="178" w:lineRule="exact"/>
              <w:rPr>
                <w:sz w:val="20"/>
                <w:szCs w:val="20"/>
                <w:color w:val="auto"/>
              </w:rPr>
            </w:pPr>
            <w:r>
              <w:rPr>
                <w:rFonts w:ascii="Arial" w:cs="Arial" w:eastAsia="Arial" w:hAnsi="Arial"/>
                <w:sz w:val="18"/>
                <w:szCs w:val="18"/>
                <w:b w:val="1"/>
                <w:bCs w:val="1"/>
                <w:color w:val="auto"/>
              </w:rPr>
              <w:t>o</w:t>
            </w:r>
          </w:p>
        </w:tc>
        <w:tc>
          <w:tcPr>
            <w:tcW w:w="1480" w:type="dxa"/>
            <w:vAlign w:val="bottom"/>
            <w:vMerge w:val="restart"/>
          </w:tcPr>
          <w:p>
            <w:pPr>
              <w:ind w:left="160"/>
              <w:spacing w:after="0" w:line="178" w:lineRule="exact"/>
              <w:rPr>
                <w:sz w:val="20"/>
                <w:szCs w:val="20"/>
                <w:color w:val="auto"/>
              </w:rPr>
            </w:pPr>
            <w:r>
              <w:rPr>
                <w:rFonts w:ascii="Arial" w:cs="Arial" w:eastAsia="Arial" w:hAnsi="Arial"/>
                <w:sz w:val="18"/>
                <w:szCs w:val="18"/>
                <w:b w:val="1"/>
                <w:bCs w:val="1"/>
                <w:color w:val="auto"/>
              </w:rPr>
              <w:t>o</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18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4"/>
                <w:szCs w:val="14"/>
                <w:color w:val="auto"/>
              </w:rPr>
              <w:t>Westwood's executive compensation.</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3200" w:type="dxa"/>
            <w:vAlign w:val="bottom"/>
            <w:gridSpan w:val="3"/>
          </w:tcPr>
          <w:p>
            <w:pPr>
              <w:ind w:left="20"/>
              <w:spacing w:after="0"/>
              <w:rPr>
                <w:sz w:val="20"/>
                <w:szCs w:val="20"/>
                <w:color w:val="auto"/>
              </w:rPr>
            </w:pPr>
            <w:r>
              <w:rPr>
                <w:rFonts w:ascii="Arial" w:cs="Arial" w:eastAsia="Arial" w:hAnsi="Arial"/>
                <w:sz w:val="14"/>
                <w:szCs w:val="14"/>
                <w:color w:val="auto"/>
              </w:rPr>
              <w:t>To withhold authority to vote for any</w:t>
            </w:r>
          </w:p>
        </w:tc>
        <w:tc>
          <w:tcPr>
            <w:tcW w:w="340" w:type="dxa"/>
            <w:vAlign w:val="bottom"/>
            <w:tcBorders>
              <w:right w:val="single" w:sz="8" w:color="auto"/>
            </w:tcBorders>
          </w:tcPr>
          <w:p>
            <w:pPr>
              <w:spacing w:after="0"/>
              <w:rPr>
                <w:sz w:val="22"/>
                <w:szCs w:val="22"/>
                <w:color w:val="auto"/>
              </w:rPr>
            </w:pPr>
          </w:p>
        </w:tc>
        <w:tc>
          <w:tcPr>
            <w:tcW w:w="3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0" w:type="dxa"/>
            <w:vAlign w:val="bottom"/>
            <w:gridSpan w:val="3"/>
          </w:tcPr>
          <w:p>
            <w:pPr>
              <w:ind w:left="20"/>
              <w:spacing w:after="0" w:line="95" w:lineRule="exact"/>
              <w:rPr>
                <w:sz w:val="20"/>
                <w:szCs w:val="20"/>
                <w:color w:val="auto"/>
              </w:rPr>
            </w:pPr>
            <w:r>
              <w:rPr>
                <w:rFonts w:ascii="Arial" w:cs="Arial" w:eastAsia="Arial" w:hAnsi="Arial"/>
                <w:sz w:val="10"/>
                <w:szCs w:val="10"/>
                <w:color w:val="auto"/>
              </w:rPr>
              <w:t xml:space="preserve">individual nominee(s), mark “ </w:t>
            </w:r>
            <w:r>
              <w:rPr>
                <w:rFonts w:ascii="Arial" w:cs="Arial" w:eastAsia="Arial" w:hAnsi="Arial"/>
                <w:sz w:val="10"/>
                <w:szCs w:val="10"/>
                <w:b w:val="1"/>
                <w:bCs w:val="1"/>
                <w:color w:val="auto"/>
              </w:rPr>
              <w:t>FOR ALL EXCEPT</w:t>
            </w:r>
            <w:r>
              <w:rPr>
                <w:rFonts w:ascii="Arial" w:cs="Arial" w:eastAsia="Arial" w:hAnsi="Arial"/>
                <w:sz w:val="10"/>
                <w:szCs w:val="10"/>
                <w:color w:val="auto"/>
              </w:rPr>
              <w:t xml:space="preserve"> ”</w:t>
            </w:r>
          </w:p>
        </w:tc>
        <w:tc>
          <w:tcPr>
            <w:tcW w:w="340" w:type="dxa"/>
            <w:vAlign w:val="bottom"/>
            <w:tcBorders>
              <w:right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gridSpan w:val="3"/>
          </w:tcPr>
          <w:p>
            <w:pPr>
              <w:ind w:left="20"/>
              <w:spacing w:after="0" w:line="143" w:lineRule="exact"/>
              <w:rPr>
                <w:sz w:val="20"/>
                <w:szCs w:val="20"/>
                <w:color w:val="auto"/>
              </w:rPr>
            </w:pPr>
            <w:r>
              <w:rPr>
                <w:rFonts w:ascii="Arial" w:cs="Arial" w:eastAsia="Arial" w:hAnsi="Arial"/>
                <w:sz w:val="14"/>
                <w:szCs w:val="14"/>
                <w:color w:val="auto"/>
                <w:w w:val="96"/>
              </w:rPr>
              <w:t>and fill in the circle next to each nominee you wish to</w:t>
            </w:r>
          </w:p>
        </w:tc>
        <w:tc>
          <w:tcPr>
            <w:tcW w:w="340" w:type="dxa"/>
            <w:vAlign w:val="bottom"/>
            <w:tcBorders>
              <w:right w:val="single" w:sz="8" w:color="auto"/>
            </w:tcBorders>
          </w:tcPr>
          <w:p>
            <w:pPr>
              <w:spacing w:after="0"/>
              <w:rPr>
                <w:sz w:val="12"/>
                <w:szCs w:val="12"/>
                <w:color w:val="auto"/>
              </w:rPr>
            </w:pPr>
          </w:p>
        </w:tc>
        <w:tc>
          <w:tcPr>
            <w:tcW w:w="3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gridSpan w:val="3"/>
          </w:tcPr>
          <w:p>
            <w:pPr>
              <w:ind w:left="20"/>
              <w:spacing w:after="0"/>
              <w:rPr>
                <w:sz w:val="20"/>
                <w:szCs w:val="20"/>
                <w:color w:val="auto"/>
              </w:rPr>
            </w:pPr>
            <w:r>
              <w:rPr>
                <w:rFonts w:ascii="Arial" w:cs="Arial" w:eastAsia="Arial" w:hAnsi="Arial"/>
                <w:sz w:val="14"/>
                <w:szCs w:val="14"/>
                <w:color w:val="auto"/>
              </w:rPr>
              <w:t>withhold, as shown here:  l</w:t>
            </w:r>
          </w:p>
        </w:tc>
        <w:tc>
          <w:tcPr>
            <w:tcW w:w="340" w:type="dxa"/>
            <w:vAlign w:val="bottom"/>
            <w:tcBorders>
              <w:right w:val="single" w:sz="8" w:color="auto"/>
            </w:tcBorders>
          </w:tcPr>
          <w:p>
            <w:pPr>
              <w:spacing w:after="0"/>
              <w:rPr>
                <w:sz w:val="15"/>
                <w:szCs w:val="15"/>
                <w:color w:val="auto"/>
              </w:rPr>
            </w:pPr>
          </w:p>
        </w:tc>
        <w:tc>
          <w:tcPr>
            <w:tcW w:w="3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6100" w:type="dxa"/>
            <w:vAlign w:val="bottom"/>
            <w:gridSpan w:val="4"/>
          </w:tcPr>
          <w:p>
            <w:pPr>
              <w:ind w:left="140"/>
              <w:spacing w:after="0"/>
              <w:rPr>
                <w:sz w:val="20"/>
                <w:szCs w:val="20"/>
                <w:color w:val="auto"/>
              </w:rPr>
            </w:pPr>
            <w:r>
              <w:rPr>
                <w:rFonts w:ascii="Arial" w:cs="Arial" w:eastAsia="Arial" w:hAnsi="Arial"/>
                <w:sz w:val="14"/>
                <w:szCs w:val="14"/>
                <w:color w:val="auto"/>
              </w:rPr>
              <w:t>IN THEIR DISCRETION, THE PROXIES ARE AUTHORIZED TO VOTE UPON SUCH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10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MATTERS AS MAY PROPERLY COME BEFORE THE ANNUAL MEETING OR ANY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3760" w:type="dxa"/>
            <w:vAlign w:val="bottom"/>
            <w:gridSpan w:val="2"/>
          </w:tcPr>
          <w:p>
            <w:pPr>
              <w:ind w:left="140"/>
              <w:spacing w:after="0"/>
              <w:rPr>
                <w:sz w:val="20"/>
                <w:szCs w:val="20"/>
                <w:color w:val="auto"/>
              </w:rPr>
            </w:pPr>
            <w:r>
              <w:rPr>
                <w:rFonts w:ascii="Arial" w:cs="Arial" w:eastAsia="Arial" w:hAnsi="Arial"/>
                <w:sz w:val="14"/>
                <w:szCs w:val="14"/>
                <w:color w:val="auto"/>
              </w:rPr>
              <w:t>POSTPONEMENTS OR ADJOURNMENTS THEREOF.</w:t>
            </w: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80" w:type="dxa"/>
            <w:vAlign w:val="bottom"/>
            <w:gridSpan w:val="6"/>
            <w:vMerge w:val="restart"/>
          </w:tcPr>
          <w:p>
            <w:pPr>
              <w:spacing w:after="0"/>
              <w:rPr>
                <w:sz w:val="20"/>
                <w:szCs w:val="20"/>
                <w:color w:val="auto"/>
              </w:rPr>
            </w:pPr>
            <w:r>
              <w:rPr>
                <w:rFonts w:ascii="Arial" w:cs="Arial" w:eastAsia="Arial" w:hAnsi="Arial"/>
                <w:sz w:val="14"/>
                <w:szCs w:val="14"/>
                <w:color w:val="auto"/>
              </w:rPr>
              <w:t>To change the address on your account, please check the box at right and</w:t>
            </w:r>
          </w:p>
        </w:tc>
        <w:tc>
          <w:tcPr>
            <w:tcW w:w="3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o</w:t>
            </w:r>
          </w:p>
        </w:tc>
        <w:tc>
          <w:tcPr>
            <w:tcW w:w="6100" w:type="dxa"/>
            <w:vAlign w:val="bottom"/>
            <w:gridSpan w:val="4"/>
          </w:tcPr>
          <w:p>
            <w:pPr>
              <w:ind w:left="140"/>
              <w:spacing w:after="0"/>
              <w:rPr>
                <w:sz w:val="20"/>
                <w:szCs w:val="20"/>
                <w:color w:val="auto"/>
              </w:rPr>
            </w:pPr>
            <w:r>
              <w:rPr>
                <w:rFonts w:ascii="Arial" w:cs="Arial" w:eastAsia="Arial" w:hAnsi="Arial"/>
                <w:sz w:val="13"/>
                <w:szCs w:val="13"/>
                <w:b w:val="1"/>
                <w:bCs w:val="1"/>
                <w:color w:val="auto"/>
              </w:rPr>
              <w:t>THIS PROXY, WHEN PROPERLY EXECUTED, WILL BE VOTED IN ACCORDANCE WITH THE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80" w:type="dxa"/>
            <w:vAlign w:val="bottom"/>
            <w:gridSpan w:val="6"/>
            <w:vMerge w:val="continue"/>
          </w:tcPr>
          <w:p>
            <w:pPr>
              <w:spacing w:after="0"/>
              <w:rPr>
                <w:sz w:val="3"/>
                <w:szCs w:val="3"/>
                <w:color w:val="auto"/>
              </w:rPr>
            </w:pPr>
          </w:p>
        </w:tc>
        <w:tc>
          <w:tcPr>
            <w:tcW w:w="340" w:type="dxa"/>
            <w:vAlign w:val="bottom"/>
            <w:tcBorders>
              <w:right w:val="single" w:sz="8" w:color="auto"/>
            </w:tcBorders>
            <w:vMerge w:val="continue"/>
          </w:tcPr>
          <w:p>
            <w:pPr>
              <w:spacing w:after="0"/>
              <w:rPr>
                <w:sz w:val="3"/>
                <w:szCs w:val="3"/>
                <w:color w:val="auto"/>
              </w:rPr>
            </w:pPr>
          </w:p>
        </w:tc>
        <w:tc>
          <w:tcPr>
            <w:tcW w:w="610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SPECIFICATIONS MADE BELOW, BUT IF NO CHOICE IS INDICATED, THIS PROXY WILL BE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gridSpan w:val="6"/>
          </w:tcPr>
          <w:p>
            <w:pPr>
              <w:spacing w:after="0" w:line="141" w:lineRule="exact"/>
              <w:rPr>
                <w:sz w:val="20"/>
                <w:szCs w:val="20"/>
                <w:color w:val="auto"/>
              </w:rPr>
            </w:pPr>
            <w:r>
              <w:rPr>
                <w:rFonts w:ascii="Arial" w:cs="Arial" w:eastAsia="Arial" w:hAnsi="Arial"/>
                <w:sz w:val="14"/>
                <w:szCs w:val="14"/>
                <w:color w:val="auto"/>
                <w:w w:val="92"/>
              </w:rPr>
              <w:t>indicate your new address in the address space above. Please note that changes</w:t>
            </w:r>
          </w:p>
        </w:tc>
        <w:tc>
          <w:tcPr>
            <w:tcW w:w="340" w:type="dxa"/>
            <w:vAlign w:val="bottom"/>
            <w:tcBorders>
              <w:right w:val="single" w:sz="8" w:color="auto"/>
            </w:tcBorders>
          </w:tcPr>
          <w:p>
            <w:pPr>
              <w:spacing w:after="0"/>
              <w:rPr>
                <w:sz w:val="12"/>
                <w:szCs w:val="12"/>
                <w:color w:val="auto"/>
              </w:rPr>
            </w:pPr>
          </w:p>
        </w:tc>
        <w:tc>
          <w:tcPr>
            <w:tcW w:w="6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680" w:type="dxa"/>
            <w:vAlign w:val="bottom"/>
            <w:gridSpan w:val="6"/>
            <w:vMerge w:val="restart"/>
          </w:tcPr>
          <w:p>
            <w:pPr>
              <w:spacing w:after="0"/>
              <w:rPr>
                <w:sz w:val="20"/>
                <w:szCs w:val="20"/>
                <w:color w:val="auto"/>
              </w:rPr>
            </w:pPr>
            <w:r>
              <w:rPr>
                <w:rFonts w:ascii="Arial" w:cs="Arial" w:eastAsia="Arial" w:hAnsi="Arial"/>
                <w:sz w:val="14"/>
                <w:szCs w:val="14"/>
                <w:color w:val="auto"/>
                <w:w w:val="94"/>
              </w:rPr>
              <w:t>to the registered name(s) on the account may not be submitted via this method.</w:t>
            </w:r>
          </w:p>
        </w:tc>
        <w:tc>
          <w:tcPr>
            <w:tcW w:w="340" w:type="dxa"/>
            <w:vAlign w:val="bottom"/>
            <w:tcBorders>
              <w:right w:val="single" w:sz="8" w:color="auto"/>
            </w:tcBorders>
          </w:tcPr>
          <w:p>
            <w:pPr>
              <w:spacing w:after="0"/>
              <w:rPr>
                <w:sz w:val="7"/>
                <w:szCs w:val="7"/>
                <w:color w:val="auto"/>
              </w:rPr>
            </w:pPr>
          </w:p>
        </w:tc>
        <w:tc>
          <w:tcPr>
            <w:tcW w:w="6100" w:type="dxa"/>
            <w:vAlign w:val="bottom"/>
            <w:gridSpan w:val="4"/>
          </w:tcPr>
          <w:p>
            <w:pPr>
              <w:ind w:left="140"/>
              <w:spacing w:after="0" w:line="90" w:lineRule="exact"/>
              <w:rPr>
                <w:sz w:val="20"/>
                <w:szCs w:val="20"/>
                <w:color w:val="auto"/>
              </w:rPr>
            </w:pPr>
            <w:r>
              <w:rPr>
                <w:rFonts w:ascii="Arial" w:cs="Arial" w:eastAsia="Arial" w:hAnsi="Arial"/>
                <w:sz w:val="10"/>
                <w:szCs w:val="10"/>
                <w:b w:val="1"/>
                <w:bCs w:val="1"/>
                <w:color w:val="auto"/>
              </w:rPr>
              <w:t>VOTED "FOR" ALL DIRECTOR NOMINEES IN PROPOSAL 1 AND "FOR" PROPOSALS 2, 3, AND 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680" w:type="dxa"/>
            <w:vAlign w:val="bottom"/>
            <w:gridSpan w:val="6"/>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10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rPr>
              <w:t>AND IN THE DISCRETION OF THE PROXIES WITH RESPECT TO ANY OTHER MATTER AS MAY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1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6100" w:type="dxa"/>
            <w:vAlign w:val="bottom"/>
            <w:gridSpan w:val="4"/>
          </w:tcPr>
          <w:p>
            <w:pPr>
              <w:ind w:left="140"/>
              <w:spacing w:after="0" w:line="135" w:lineRule="exact"/>
              <w:rPr>
                <w:sz w:val="20"/>
                <w:szCs w:val="20"/>
                <w:color w:val="auto"/>
              </w:rPr>
            </w:pPr>
            <w:r>
              <w:rPr>
                <w:rFonts w:ascii="Arial" w:cs="Arial" w:eastAsia="Arial" w:hAnsi="Arial"/>
                <w:sz w:val="13"/>
                <w:szCs w:val="13"/>
                <w:b w:val="1"/>
                <w:bCs w:val="1"/>
                <w:color w:val="auto"/>
              </w:rPr>
              <w:t>PROPERLY COME BEFORE THE ANNUAL MEETING OR ANY POSTPONEMENTS OR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3180" w:type="dxa"/>
            <w:vAlign w:val="bottom"/>
          </w:tcPr>
          <w:p>
            <w:pPr>
              <w:ind w:left="140"/>
              <w:spacing w:after="0"/>
              <w:rPr>
                <w:sz w:val="20"/>
                <w:szCs w:val="20"/>
                <w:color w:val="auto"/>
              </w:rPr>
            </w:pPr>
            <w:r>
              <w:rPr>
                <w:rFonts w:ascii="Arial" w:cs="Arial" w:eastAsia="Arial" w:hAnsi="Arial"/>
                <w:sz w:val="13"/>
                <w:szCs w:val="13"/>
                <w:b w:val="1"/>
                <w:bCs w:val="1"/>
                <w:color w:val="auto"/>
              </w:rPr>
              <w:t>ADJOURNMENTS THEREOF.</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922" w:right="319" w:bottom="1440" w:gutter="0" w:footer="0" w:header="0"/>
        </w:sectPr>
      </w:pPr>
    </w:p>
    <w:p>
      <w:pPr>
        <w:spacing w:after="0" w:line="267"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Signature of Stockholder</w:t>
      </w:r>
    </w:p>
    <w:p>
      <w:pPr>
        <w:spacing w:after="0" w:line="2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2"/>
        </w:trPr>
        <w:tc>
          <w:tcPr>
            <w:tcW w:w="17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7"/>
                <w:szCs w:val="17"/>
                <w:color w:val="auto"/>
              </w:rPr>
            </w:pPr>
          </w:p>
        </w:tc>
        <w:tc>
          <w:tcPr>
            <w:tcW w:w="22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color w:val="auto"/>
                <w:w w:val="99"/>
              </w:rPr>
              <w:t>Signature of Stockholder</w:t>
            </w:r>
          </w:p>
        </w:tc>
        <w:tc>
          <w:tcPr>
            <w:tcW w:w="1960" w:type="dxa"/>
            <w:vAlign w:val="bottom"/>
            <w:tcBorders>
              <w:top w:val="single" w:sz="8" w:color="auto"/>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Date:</w:t>
            </w:r>
          </w:p>
        </w:tc>
        <w:tc>
          <w:tcPr>
            <w:tcW w:w="1060" w:type="dxa"/>
            <w:vAlign w:val="bottom"/>
            <w:tcBorders>
              <w:top w:val="single" w:sz="8" w:color="auto"/>
              <w:bottom w:val="single" w:sz="8" w:color="auto"/>
              <w:right w:val="single" w:sz="8" w:color="auto"/>
            </w:tcBorders>
          </w:tcPr>
          <w:p>
            <w:pPr>
              <w:spacing w:after="0"/>
              <w:rPr>
                <w:sz w:val="17"/>
                <w:szCs w:val="17"/>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Please sign exactly as your name or names appear on this Proxy. When shares are held jointly, each holder should sign. When signing as</w:t>
      </w:r>
    </w:p>
    <w:p>
      <w:pPr>
        <w:ind w:left="20" w:right="40"/>
        <w:spacing w:after="0" w:line="182" w:lineRule="auto"/>
        <w:rPr>
          <w:sz w:val="20"/>
          <w:szCs w:val="20"/>
          <w:color w:val="auto"/>
        </w:rPr>
      </w:pPr>
      <w:r>
        <w:rPr>
          <w:rFonts w:ascii="Arial" w:cs="Arial" w:eastAsia="Arial" w:hAnsi="Arial"/>
          <w:sz w:val="12"/>
          <w:szCs w:val="12"/>
          <w:color w:val="auto"/>
        </w:rPr>
        <w:t xml:space="preserve">executor, administrator, attorney, trustee or guardian, please give full title as such. If the signer is a corporation, please sign full corporate </w:t>
      </w:r>
      <w:r>
        <w:rPr>
          <w:rFonts w:ascii="Arial" w:cs="Arial" w:eastAsia="Arial" w:hAnsi="Arial"/>
          <w:sz w:val="25"/>
          <w:szCs w:val="25"/>
          <w:color w:val="auto"/>
          <w:vertAlign w:val="superscript"/>
        </w:rPr>
        <w:t>n</w:t>
      </w:r>
      <w:r>
        <w:rPr>
          <w:rFonts w:ascii="Arial" w:cs="Arial" w:eastAsia="Arial" w:hAnsi="Arial"/>
          <w:sz w:val="12"/>
          <w:szCs w:val="12"/>
          <w:color w:val="auto"/>
        </w:rPr>
        <w:t xml:space="preserve"> name by duly authorized officer, giving full title as such. If signer is a partnership, please sign in partnership name by authorized person.</w:t>
      </w:r>
    </w:p>
    <w:p>
      <w:pPr>
        <w:spacing w:after="0" w:line="200" w:lineRule="exact"/>
        <w:rPr>
          <w:sz w:val="20"/>
          <w:szCs w:val="20"/>
          <w:color w:val="auto"/>
        </w:rPr>
      </w:pPr>
    </w:p>
    <w:p>
      <w:pPr>
        <w:sectPr>
          <w:pgSz w:w="11900" w:h="16838" w:orient="portrait"/>
          <w:cols w:equalWidth="0" w:num="2">
            <w:col w:w="1720" w:space="340"/>
            <w:col w:w="9200"/>
          </w:cols>
          <w:pgMar w:left="320" w:top="922" w:right="319" w:bottom="1440" w:gutter="0" w:footer="0" w:header="0"/>
          <w:type w:val="continuous"/>
        </w:sect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sectPr>
      <w:pgSz w:w="11900" w:h="16838" w:orient="portrait"/>
      <w:cols w:equalWidth="0" w:num="1">
        <w:col w:w="11260"/>
      </w:cols>
      <w:pgMar w:left="320" w:top="922"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x"/>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x"/>
      <w:numFmt w:val="bullet"/>
      <w:start w:val="1"/>
    </w:lvl>
  </w:abstractNum>
  <w:abstractNum w:abstractNumId="4">
    <w:nsid w:val="6157409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lvl w:ilvl="3">
      <w:lvlJc w:val="left"/>
      <w:lvlText w:val="(%4)"/>
      <w:numFmt w:val="decimal"/>
      <w:start w:val="3"/>
    </w:lvl>
  </w:abstractNum>
  <w:abstractNum w:abstractNumId="5">
    <w:nsid w:val="7E0C57B1"/>
    <w:multiLevelType w:val="hybridMultilevel"/>
    <w:lvl w:ilvl="0">
      <w:lvlJc w:val="left"/>
      <w:lvlText w:val="☐"/>
      <w:numFmt w:val="bullet"/>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6">
    <w:nsid w:val="77AE35EB"/>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7">
    <w:nsid w:val="579BE4F1"/>
    <w:multiLevelType w:val="hybridMultilevel"/>
    <w:lvl w:ilvl="0">
      <w:lvlJc w:val="left"/>
      <w:lvlText w:val="☐"/>
      <w:numFmt w:val="bullet"/>
      <w:start w:val="1"/>
    </w:lvl>
    <w:lvl w:ilvl="1">
      <w:lvlJc w:val="left"/>
      <w:lvlText w:val="(%2)"/>
      <w:numFmt w:val="decimal"/>
      <w:start w:val="3"/>
    </w:lvl>
    <w:lvl w:ilvl="2">
      <w:lvlJc w:val="left"/>
      <w:lvlText w:val="%3"/>
      <w:numFmt w:val="decimal"/>
      <w:start w:val="1"/>
    </w:lvl>
  </w:abstractNum>
  <w:abstractNum w:abstractNumId="8">
    <w:nsid w:val="310C50B3"/>
    <w:multiLevelType w:val="hybridMultilevel"/>
    <w:lvl w:ilvl="0">
      <w:lvlJc w:val="left"/>
      <w:lvlText w:val="%1:"/>
      <w:numFmt w:val="upperLetter"/>
      <w:start w:val="17"/>
    </w:lvl>
  </w:abstractNum>
  <w:abstractNum w:abstractNumId="9">
    <w:nsid w:val="5FF87E05"/>
    <w:multiLevelType w:val="hybridMultilevel"/>
    <w:lvl w:ilvl="0">
      <w:lvlJc w:val="left"/>
      <w:lvlText w:val="%1:"/>
      <w:numFmt w:val="upperLetter"/>
      <w:start w:val="1"/>
    </w:lvl>
  </w:abstractNum>
  <w:abstractNum w:abstractNumId="10">
    <w:nsid w:val="2F305DEF"/>
    <w:multiLevelType w:val="hybridMultilevel"/>
    <w:lvl w:ilvl="0">
      <w:lvlJc w:val="left"/>
      <w:lvlText w:val="%1:"/>
      <w:numFmt w:val="upperLetter"/>
      <w:start w:val="17"/>
    </w:lvl>
  </w:abstractNum>
  <w:abstractNum w:abstractNumId="11">
    <w:nsid w:val="25A70BF7"/>
    <w:multiLevelType w:val="hybridMultilevel"/>
    <w:lvl w:ilvl="0">
      <w:lvlJc w:val="left"/>
      <w:lvlText w:val="%1:"/>
      <w:numFmt w:val="upperLetter"/>
      <w:start w:val="1"/>
    </w:lvl>
    <w:lvl w:ilvl="1">
      <w:lvlJc w:val="left"/>
      <w:lvlText w:val="•"/>
      <w:numFmt w:val="bullet"/>
      <w:start w:val="1"/>
    </w:lvl>
  </w:abstractNum>
  <w:abstractNum w:abstractNumId="12">
    <w:nsid w:val="1DBABF00"/>
    <w:multiLevelType w:val="hybridMultilevel"/>
    <w:lvl w:ilvl="0">
      <w:lvlJc w:val="left"/>
      <w:lvlText w:val="%1:"/>
      <w:numFmt w:val="upperLetter"/>
      <w:start w:val="17"/>
    </w:lvl>
  </w:abstractNum>
  <w:abstractNum w:abstractNumId="13">
    <w:nsid w:val="4AD084E9"/>
    <w:multiLevelType w:val="hybridMultilevel"/>
    <w:lvl w:ilvl="0">
      <w:lvlJc w:val="left"/>
      <w:lvlText w:val="%1:"/>
      <w:numFmt w:val="upperLetter"/>
      <w:start w:val="1"/>
    </w:lvl>
  </w:abstractNum>
  <w:abstractNum w:abstractNumId="14">
    <w:nsid w:val="1F48EAA1"/>
    <w:multiLevelType w:val="hybridMultilevel"/>
    <w:lvl w:ilvl="0">
      <w:lvlJc w:val="left"/>
      <w:lvlText w:val="%1:"/>
      <w:numFmt w:val="upperLetter"/>
      <w:start w:val="17"/>
    </w:lvl>
  </w:abstractNum>
  <w:abstractNum w:abstractNumId="15">
    <w:nsid w:val="1381823A"/>
    <w:multiLevelType w:val="hybridMultilevel"/>
    <w:lvl w:ilvl="0">
      <w:lvlJc w:val="left"/>
      <w:lvlText w:val="%1:"/>
      <w:numFmt w:val="upperLetter"/>
      <w:start w:val="1"/>
    </w:lvl>
  </w:abstractNum>
  <w:abstractNum w:abstractNumId="16">
    <w:nsid w:val="5DB70AE5"/>
    <w:multiLevelType w:val="hybridMultilevel"/>
    <w:lvl w:ilvl="0">
      <w:lvlJc w:val="left"/>
      <w:lvlText w:val="%1:"/>
      <w:numFmt w:val="upperLetter"/>
      <w:start w:val="17"/>
    </w:lvl>
  </w:abstractNum>
  <w:abstractNum w:abstractNumId="17">
    <w:nsid w:val="100F8FCA"/>
    <w:multiLevelType w:val="hybridMultilevel"/>
    <w:lvl w:ilvl="0">
      <w:lvlJc w:val="left"/>
      <w:lvlText w:val="%1:"/>
      <w:numFmt w:val="upperLetter"/>
      <w:start w:val="1"/>
    </w:lvl>
  </w:abstractNum>
  <w:abstractNum w:abstractNumId="18">
    <w:nsid w:val="6590700B"/>
    <w:multiLevelType w:val="hybridMultilevel"/>
    <w:lvl w:ilvl="0">
      <w:lvlJc w:val="left"/>
      <w:lvlText w:val="%1:"/>
      <w:numFmt w:val="upperLetter"/>
      <w:start w:val="17"/>
    </w:lvl>
  </w:abstractNum>
  <w:abstractNum w:abstractNumId="19">
    <w:nsid w:val="15014ACB"/>
    <w:multiLevelType w:val="hybridMultilevel"/>
    <w:lvl w:ilvl="0">
      <w:lvlJc w:val="left"/>
      <w:lvlText w:val="%1:"/>
      <w:numFmt w:val="upperLetter"/>
      <w:start w:val="1"/>
    </w:lvl>
  </w:abstractNum>
  <w:abstractNum w:abstractNumId="20">
    <w:nsid w:val="5F5E7FD0"/>
    <w:multiLevelType w:val="hybridMultilevel"/>
    <w:lvl w:ilvl="0">
      <w:lvlJc w:val="left"/>
      <w:lvlText w:val="%1:"/>
      <w:numFmt w:val="upperLetter"/>
      <w:start w:val="17"/>
    </w:lvl>
  </w:abstractNum>
  <w:abstractNum w:abstractNumId="21">
    <w:nsid w:val="98A3148"/>
    <w:multiLevelType w:val="hybridMultilevel"/>
    <w:lvl w:ilvl="0">
      <w:lvlJc w:val="left"/>
      <w:lvlText w:val="%1:"/>
      <w:numFmt w:val="upperLetter"/>
      <w:start w:val="1"/>
    </w:lvl>
  </w:abstractNum>
  <w:abstractNum w:abstractNumId="22">
    <w:nsid w:val="799D0247"/>
    <w:multiLevelType w:val="hybridMultilevel"/>
    <w:lvl w:ilvl="0">
      <w:lvlJc w:val="left"/>
      <w:lvlText w:val="%1:"/>
      <w:numFmt w:val="upperLetter"/>
      <w:start w:val="17"/>
    </w:lvl>
  </w:abstractNum>
  <w:abstractNum w:abstractNumId="23">
    <w:nsid w:val="6B94764"/>
    <w:multiLevelType w:val="hybridMultilevel"/>
    <w:lvl w:ilvl="0">
      <w:lvlJc w:val="left"/>
      <w:lvlText w:val="%1:"/>
      <w:numFmt w:val="upperLetter"/>
      <w:start w:val="1"/>
    </w:lvl>
  </w:abstractNum>
  <w:abstractNum w:abstractNumId="24">
    <w:nsid w:val="42C296BD"/>
    <w:multiLevelType w:val="hybridMultilevel"/>
    <w:lvl w:ilvl="0">
      <w:lvlJc w:val="left"/>
      <w:lvlText w:val="%1:"/>
      <w:numFmt w:val="upperLetter"/>
      <w:start w:val="17"/>
    </w:lvl>
  </w:abstractNum>
  <w:abstractNum w:abstractNumId="25">
    <w:nsid w:val="168E121F"/>
    <w:multiLevelType w:val="hybridMultilevel"/>
    <w:lvl w:ilvl="0">
      <w:lvlJc w:val="left"/>
      <w:lvlText w:val="%1:"/>
      <w:numFmt w:val="upperLetter"/>
      <w:start w:val="1"/>
    </w:lvl>
  </w:abstractNum>
  <w:abstractNum w:abstractNumId="26">
    <w:nsid w:val="1EBA5D23"/>
    <w:multiLevelType w:val="hybridMultilevel"/>
    <w:lvl w:ilvl="0">
      <w:lvlJc w:val="left"/>
      <w:lvlText w:val="%1:"/>
      <w:numFmt w:val="upperLetter"/>
      <w:start w:val="17"/>
    </w:lvl>
  </w:abstractNum>
  <w:abstractNum w:abstractNumId="27">
    <w:nsid w:val="661E3F1E"/>
    <w:multiLevelType w:val="hybridMultilevel"/>
    <w:lvl w:ilvl="0">
      <w:lvlJc w:val="left"/>
      <w:lvlText w:val="%1:"/>
      <w:numFmt w:val="upperLetter"/>
      <w:start w:val="1"/>
    </w:lvl>
  </w:abstractNum>
  <w:abstractNum w:abstractNumId="28">
    <w:nsid w:val="5DC79EA8"/>
    <w:multiLevelType w:val="hybridMultilevel"/>
    <w:lvl w:ilvl="0">
      <w:lvlJc w:val="left"/>
      <w:lvlText w:val="%1:"/>
      <w:numFmt w:val="upperLetter"/>
      <w:start w:val="17"/>
    </w:lvl>
  </w:abstractNum>
  <w:abstractNum w:abstractNumId="29">
    <w:nsid w:val="540A471C"/>
    <w:multiLevelType w:val="hybridMultilevel"/>
    <w:lvl w:ilvl="0">
      <w:lvlJc w:val="left"/>
      <w:lvlText w:val="%1:"/>
      <w:numFmt w:val="upperLetter"/>
      <w:start w:val="1"/>
    </w:lvl>
    <w:lvl w:ilvl="1">
      <w:lvlJc w:val="left"/>
      <w:lvlText w:val="•"/>
      <w:numFmt w:val="bullet"/>
      <w:start w:val="1"/>
    </w:lvl>
  </w:abstractNum>
  <w:abstractNum w:abstractNumId="30">
    <w:nsid w:val="7BD3EE7B"/>
    <w:multiLevelType w:val="hybridMultilevel"/>
    <w:lvl w:ilvl="0">
      <w:lvlJc w:val="left"/>
      <w:lvlText w:val="%1:"/>
      <w:numFmt w:val="upperLetter"/>
      <w:start w:val="17"/>
    </w:lvl>
  </w:abstractNum>
  <w:abstractNum w:abstractNumId="31">
    <w:nsid w:val="51D9C564"/>
    <w:multiLevelType w:val="hybridMultilevel"/>
    <w:lvl w:ilvl="0">
      <w:lvlJc w:val="left"/>
      <w:lvlText w:val="%1:"/>
      <w:numFmt w:val="upperLetter"/>
      <w:start w:val="1"/>
    </w:lvl>
  </w:abstractNum>
  <w:abstractNum w:abstractNumId="32">
    <w:nsid w:val="613EFDC5"/>
    <w:multiLevelType w:val="hybridMultilevel"/>
    <w:lvl w:ilvl="0">
      <w:lvlJc w:val="left"/>
      <w:lvlText w:val="%1:"/>
      <w:numFmt w:val="upperLetter"/>
      <w:start w:val="17"/>
    </w:lvl>
  </w:abstractNum>
  <w:abstractNum w:abstractNumId="33">
    <w:nsid w:val="BF72B14"/>
    <w:multiLevelType w:val="hybridMultilevel"/>
    <w:lvl w:ilvl="0">
      <w:lvlJc w:val="left"/>
      <w:lvlText w:val="%1:"/>
      <w:numFmt w:val="upperLetter"/>
      <w:start w:val="1"/>
    </w:lvl>
  </w:abstractNum>
  <w:abstractNum w:abstractNumId="34">
    <w:nsid w:val="11447B73"/>
    <w:multiLevelType w:val="hybridMultilevel"/>
    <w:lvl w:ilvl="0">
      <w:lvlJc w:val="left"/>
      <w:lvlText w:val="%1:"/>
      <w:numFmt w:val="upperLetter"/>
      <w:start w:val="17"/>
    </w:lvl>
  </w:abstractNum>
  <w:abstractNum w:abstractNumId="35">
    <w:nsid w:val="42963E5A"/>
    <w:multiLevelType w:val="hybridMultilevel"/>
    <w:lvl w:ilvl="0">
      <w:lvlJc w:val="left"/>
      <w:lvlText w:val="%1:"/>
      <w:numFmt w:val="upperLetter"/>
      <w:start w:val="1"/>
    </w:lvl>
  </w:abstractNum>
  <w:abstractNum w:abstractNumId="36">
    <w:nsid w:val="A0382C5"/>
    <w:multiLevelType w:val="hybridMultilevel"/>
    <w:lvl w:ilvl="0">
      <w:lvlJc w:val="left"/>
      <w:lvlText w:val="%1:"/>
      <w:numFmt w:val="upperLetter"/>
      <w:start w:val="17"/>
    </w:lvl>
  </w:abstractNum>
  <w:abstractNum w:abstractNumId="37">
    <w:nsid w:val="8F2B15E"/>
    <w:multiLevelType w:val="hybridMultilevel"/>
    <w:lvl w:ilvl="0">
      <w:lvlJc w:val="left"/>
      <w:lvlText w:val="%1:"/>
      <w:numFmt w:val="upperLetter"/>
      <w:start w:val="1"/>
    </w:lvl>
  </w:abstractNum>
  <w:abstractNum w:abstractNumId="38">
    <w:nsid w:val="1A32234B"/>
    <w:multiLevelType w:val="hybridMultilevel"/>
    <w:lvl w:ilvl="0">
      <w:lvlJc w:val="left"/>
      <w:lvlText w:val="%1:"/>
      <w:numFmt w:val="upperLetter"/>
      <w:start w:val="17"/>
    </w:lvl>
  </w:abstractNum>
  <w:abstractNum w:abstractNumId="39">
    <w:nsid w:val="3B0FD379"/>
    <w:multiLevelType w:val="hybridMultilevel"/>
    <w:lvl w:ilvl="0">
      <w:lvlJc w:val="left"/>
      <w:lvlText w:val="%1:"/>
      <w:numFmt w:val="upperLetter"/>
      <w:start w:val="1"/>
    </w:lvl>
  </w:abstractNum>
  <w:abstractNum w:abstractNumId="40">
    <w:nsid w:val="68EB2F63"/>
    <w:multiLevelType w:val="hybridMultilevel"/>
    <w:lvl w:ilvl="0">
      <w:lvlJc w:val="left"/>
      <w:lvlText w:val="%1:"/>
      <w:numFmt w:val="upperLetter"/>
      <w:start w:val="17"/>
    </w:lvl>
  </w:abstractNum>
  <w:abstractNum w:abstractNumId="41">
    <w:nsid w:val="4962813B"/>
    <w:multiLevelType w:val="hybridMultilevel"/>
    <w:lvl w:ilvl="0">
      <w:lvlJc w:val="left"/>
      <w:lvlText w:val="%1:"/>
      <w:numFmt w:val="upperLetter"/>
      <w:start w:val="1"/>
    </w:lvl>
  </w:abstractNum>
  <w:abstractNum w:abstractNumId="42">
    <w:nsid w:val="60B6DF70"/>
    <w:multiLevelType w:val="hybridMultilevel"/>
    <w:lvl w:ilvl="0">
      <w:lvlJc w:val="left"/>
      <w:lvlText w:val="%1:"/>
      <w:numFmt w:val="upperLetter"/>
      <w:start w:val="17"/>
    </w:lvl>
  </w:abstractNum>
  <w:abstractNum w:abstractNumId="43">
    <w:nsid w:val="6A5EE64"/>
    <w:multiLevelType w:val="hybridMultilevel"/>
    <w:lvl w:ilvl="0">
      <w:lvlJc w:val="left"/>
      <w:lvlText w:val="%1:"/>
      <w:numFmt w:val="upperLetter"/>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1)"/>
      <w:numFmt w:val="decimal"/>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decimal"/>
      <w:start w:val="1"/>
    </w:lvl>
    <w:lvl w:ilvl="1">
      <w:lvlJc w:val="left"/>
      <w:lvlText w:val="%2."/>
      <w:numFmt w:val="decimal"/>
      <w:start w:val="718"/>
    </w:lvl>
  </w:abstractNum>
  <w:abstractNum w:abstractNumId="53">
    <w:nsid w:val="885E1B"/>
    <w:multiLevelType w:val="hybridMultilevel"/>
    <w:lvl w:ilvl="0">
      <w:lvlJc w:val="left"/>
      <w:lvlText w:val="(%1)"/>
      <w:numFmt w:val="decimal"/>
      <w:start w:val="1"/>
    </w:lvl>
  </w:abstractNum>
  <w:abstractNum w:abstractNumId="54">
    <w:nsid w:val="76272110"/>
    <w:multiLevelType w:val="hybridMultilevel"/>
    <w:lvl w:ilvl="0">
      <w:lvlJc w:val="left"/>
      <w:lvlText w:val="(%1)"/>
      <w:numFmt w:val="decimal"/>
      <w:start w:val="5"/>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1)"/>
      <w:numFmt w:val="decimal"/>
      <w:start w:val="1"/>
    </w:lvl>
  </w:abstractNum>
  <w:abstractNum w:abstractNumId="58">
    <w:nsid w:val="3222E7CD"/>
    <w:multiLevelType w:val="hybridMultilevel"/>
    <w:lvl w:ilvl="0">
      <w:lvlJc w:val="left"/>
      <w:lvlText w:val="(%1)"/>
      <w:numFmt w:val="decimal"/>
      <w:start w:val="1"/>
    </w:lvl>
  </w:abstractNum>
  <w:abstractNum w:abstractNumId="59">
    <w:nsid w:val="74DE0EE3"/>
    <w:multiLevelType w:val="hybridMultilevel"/>
    <w:lvl w:ilvl="0">
      <w:lvlJc w:val="left"/>
      <w:lvlText w:val="(%1)"/>
      <w:numFmt w:val="decimal"/>
      <w:start w:val="2"/>
    </w:lvl>
  </w:abstractNum>
  <w:abstractNum w:abstractNumId="60">
    <w:nsid w:val="68EBC550"/>
    <w:multiLevelType w:val="hybridMultilevel"/>
    <w:lvl w:ilvl="0">
      <w:lvlJc w:val="left"/>
      <w:lvlText w:val="(%1)"/>
      <w:numFmt w:val="decimal"/>
      <w:start w:val="3"/>
    </w:lvl>
  </w:abstractNum>
  <w:abstractNum w:abstractNumId="61">
    <w:nsid w:val="2DF6D648"/>
    <w:multiLevelType w:val="hybridMultilevel"/>
    <w:lvl w:ilvl="0">
      <w:lvlJc w:val="left"/>
      <w:lvlText w:val="(%1)"/>
      <w:numFmt w:val="decimal"/>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
      <w:numFmt w:val="bullet"/>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
      <w:numFmt w:val="bullet"/>
      <w:start w:val="1"/>
    </w:lvl>
  </w:abstractNum>
  <w:abstractNum w:abstractNumId="70">
    <w:nsid w:val="7F01579B"/>
    <w:multiLevelType w:val="hybridMultilevel"/>
    <w:lvl w:ilvl="0">
      <w:lvlJc w:val="left"/>
      <w:lvlText w:val="•"/>
      <w:numFmt w:val="bullet"/>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
      <w:numFmt w:val="bullet"/>
      <w:start w:val="1"/>
    </w:lvl>
  </w:abstractNum>
  <w:abstractNum w:abstractNumId="75">
    <w:nsid w:val="488AC1A"/>
    <w:multiLevelType w:val="hybridMultilevel"/>
    <w:lvl w:ilvl="0">
      <w:lvlJc w:val="left"/>
      <w:lvlText w:val="(%1)"/>
      <w:numFmt w:val="decimal"/>
      <w:start w:val="1"/>
    </w:lvl>
  </w:abstractNum>
  <w:abstractNum w:abstractNumId="76">
    <w:nsid w:val="5FB8011C"/>
    <w:multiLevelType w:val="hybridMultilevel"/>
    <w:lvl w:ilvl="0">
      <w:lvlJc w:val="left"/>
      <w:lvlText w:val="(%1)"/>
      <w:numFmt w:val="lowerRoman"/>
      <w:start w:val="2"/>
    </w:lvl>
  </w:abstractNum>
  <w:abstractNum w:abstractNumId="77">
    <w:nsid w:val="6AA78F7F"/>
    <w:multiLevelType w:val="hybridMultilevel"/>
    <w:lvl w:ilvl="0">
      <w:lvlJc w:val="left"/>
      <w:lvlText w:val="•"/>
      <w:numFmt w:val="bullet"/>
      <w:start w:val="1"/>
    </w:lvl>
  </w:abstractNum>
  <w:abstractNum w:abstractNumId="78">
    <w:nsid w:val="7672BD23"/>
    <w:multiLevelType w:val="hybridMultilevel"/>
    <w:lvl w:ilvl="0">
      <w:lvlJc w:val="left"/>
      <w:lvlText w:val="•"/>
      <w:numFmt w:val="bullet"/>
      <w:start w:val="1"/>
    </w:lvl>
  </w:abstractNum>
  <w:abstractNum w:abstractNumId="79">
    <w:nsid w:val="6FC75AF8"/>
    <w:multiLevelType w:val="hybridMultilevel"/>
    <w:lvl w:ilvl="0">
      <w:lvlJc w:val="left"/>
      <w:lvlText w:val="(%1)"/>
      <w:numFmt w:val="decimal"/>
      <w:start w:val="1"/>
    </w:lvl>
  </w:abstractNum>
  <w:abstractNum w:abstractNumId="80">
    <w:nsid w:val="6A5F7029"/>
    <w:multiLevelType w:val="hybridMultilevel"/>
    <w:lvl w:ilvl="0">
      <w:lvlJc w:val="left"/>
      <w:lvlText w:val="•"/>
      <w:numFmt w:val="bullet"/>
      <w:start w:val="1"/>
    </w:lvl>
  </w:abstractNum>
  <w:abstractNum w:abstractNumId="81">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82">
    <w:nsid w:val="5F3534A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83">
    <w:nsid w:val="73A1821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84">
    <w:nsid w:val="7DE67713"/>
    <w:multiLevelType w:val="hybridMultilevel"/>
    <w:lvl w:ilvl="0">
      <w:lvlJc w:val="left"/>
      <w:lvlText w:val="%1."/>
      <w:numFmt w:val="lowerLetter"/>
      <w:start w:val="8"/>
    </w:lvl>
    <w:lvl w:ilvl="1">
      <w:lvlJc w:val="left"/>
      <w:lvlText w:val="%2."/>
      <w:numFmt w:val="lowerRoman"/>
      <w:start w:val="1"/>
    </w:lvl>
  </w:abstractNum>
  <w:abstractNum w:abstractNumId="85">
    <w:nsid w:val="555C55B5"/>
    <w:multiLevelType w:val="hybridMultilevel"/>
    <w:lvl w:ilvl="0">
      <w:lvlJc w:val="left"/>
      <w:lvlText w:val="%1."/>
      <w:numFmt w:val="lowerLetter"/>
      <w:start w:val="19"/>
    </w:lvl>
  </w:abstractNum>
  <w:abstractNum w:abstractNumId="86">
    <w:nsid w:val="3FA62ACA"/>
    <w:multiLevelType w:val="hybridMultilevel"/>
    <w:lvl w:ilvl="0">
      <w:lvlJc w:val="left"/>
      <w:lvlText w:val="%1."/>
      <w:numFmt w:val="lowerLetter"/>
      <w:start w:val="27"/>
    </w:lvl>
  </w:abstractNum>
  <w:abstractNum w:abstractNumId="87">
    <w:nsid w:val="14FCE74E"/>
    <w:multiLevelType w:val="hybridMultilevel"/>
    <w:lvl w:ilvl="0">
      <w:lvlJc w:val="left"/>
      <w:lvlText w:val="%1."/>
      <w:numFmt w:val="decimal"/>
      <w:start w:val="2"/>
    </w:lvl>
  </w:abstractNum>
  <w:abstractNum w:abstractNumId="88">
    <w:nsid w:val="6A3DD3E8"/>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89">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90">
    <w:nsid w:val="9DAF63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1">
    <w:nsid w:val="53299938"/>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92">
    <w:nsid w:val="1FBFE8E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93">
    <w:nsid w:val="5092CA7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94">
    <w:nsid w:val="1D545C4D"/>
    <w:multiLevelType w:val="hybridMultilevel"/>
    <w:lvl w:ilvl="0">
      <w:lvlJc w:val="left"/>
      <w:lvlText w:val="%1."/>
      <w:numFmt w:val="decimal"/>
      <w:start w:val="1"/>
    </w:lvl>
  </w:abstractNum>
  <w:abstractNum w:abstractNumId="95">
    <w:nsid w:val="59ADEA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6">
    <w:nsid w:val="288F1A3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2"/>
    </w:lvl>
  </w:abstractNum>
  <w:abstractNum w:abstractNumId="97">
    <w:nsid w:val="2A155D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lvl w:ilvl="4">
      <w:lvlJc w:val="left"/>
      <w:lvlText w:val="%5"/>
      <w:numFmt w:val="lowerRoman"/>
      <w:start w:val="1"/>
    </w:lvl>
  </w:abstractNum>
  <w:abstractNum w:abstractNumId="98">
    <w:nsid w:val="1D9F6E5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99">
    <w:nsid w:val="97E1B4E"/>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0">
    <w:nsid w:val="51088277"/>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1">
    <w:nsid w:val="1CA0C5FA"/>
    <w:multiLevelType w:val="hybridMultilevel"/>
    <w:lvl w:ilvl="0">
      <w:lvlJc w:val="left"/>
      <w:lvlText w:val="%1."/>
      <w:numFmt w:val="lowerLetter"/>
      <w:start w:val="1"/>
    </w:lvl>
  </w:abstractNum>
  <w:abstractNum w:abstractNumId="102">
    <w:nsid w:val="53584BCB"/>
    <w:multiLevelType w:val="hybridMultilevel"/>
    <w:lvl w:ilvl="0">
      <w:lvlJc w:val="left"/>
      <w:lvlText w:val="%1."/>
      <w:numFmt w:val="decimal"/>
      <w:start w:val="8"/>
    </w:lvl>
  </w:abstractNum>
  <w:abstractNum w:abstractNumId="103">
    <w:nsid w:val="415E286C"/>
    <w:multiLevelType w:val="hybridMultilevel"/>
    <w:lvl w:ilvl="0">
      <w:lvlJc w:val="left"/>
      <w:lvlText w:val="(%1)"/>
      <w:numFmt w:val="lowerLetter"/>
      <w:start w:val="2"/>
    </w:lvl>
  </w:abstractNum>
  <w:abstractNum w:abstractNumId="104">
    <w:nsid w:val="7C58FD05"/>
    <w:multiLevelType w:val="hybridMultilevel"/>
    <w:lvl w:ilvl="0">
      <w:lvlJc w:val="left"/>
      <w:lvlText w:val="%1."/>
      <w:numFmt w:val="decimal"/>
      <w:start w:val="9"/>
    </w:lvl>
    <w:lvl w:ilvl="1">
      <w:lvlJc w:val="left"/>
      <w:lvlText w:val="%2."/>
      <w:numFmt w:val="decimal"/>
      <w:start w:val="1"/>
    </w:lvl>
  </w:abstractNum>
  <w:abstractNum w:abstractNumId="105">
    <w:nsid w:val="23D86AAC"/>
    <w:multiLevelType w:val="hybridMultilevel"/>
    <w:lvl w:ilvl="0">
      <w:lvlJc w:val="left"/>
      <w:lvlText w:val="%1"/>
      <w:numFmt w:val="decimal"/>
      <w:start w:val="1"/>
    </w:lvl>
    <w:lvl w:ilvl="1">
      <w:lvlJc w:val="left"/>
      <w:lvlText w:val="%2."/>
      <w:numFmt w:val="decimal"/>
      <w:start w:val="3"/>
    </w:lvl>
  </w:abstractNum>
  <w:abstractNum w:abstractNumId="106">
    <w:nsid w:val="45E6D486"/>
    <w:multiLevelType w:val="hybridMultilevel"/>
    <w:lvl w:ilvl="0">
      <w:lvlJc w:val="left"/>
      <w:lvlText w:val="%1."/>
      <w:numFmt w:val="decimal"/>
      <w:start w:val="10"/>
    </w:lvl>
    <w:lvl w:ilvl="1">
      <w:lvlJc w:val="left"/>
      <w:lvlText w:val="%2"/>
      <w:numFmt w:val="decimal"/>
      <w:start w:val="1"/>
    </w:lvl>
  </w:abstractNum>
  <w:abstractNum w:abstractNumId="107">
    <w:nsid w:val="5C10FE21"/>
    <w:multiLevelType w:val="hybridMultilevel"/>
    <w:lvl w:ilvl="0">
      <w:lvlJc w:val="left"/>
      <w:lvlText w:val="%1."/>
      <w:numFmt w:val="decimal"/>
      <w:start w:val="1"/>
    </w:lvl>
    <w:lvl w:ilvl="1">
      <w:lvlJc w:val="left"/>
      <w:lvlText w:val="%2"/>
      <w:numFmt w:val="lowerLetter"/>
      <w:start w:val="1"/>
    </w:lvl>
  </w:abstractNum>
  <w:abstractNum w:abstractNumId="108">
    <w:nsid w:val="E7FFA2B"/>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109">
    <w:nsid w:val="3C5991AA"/>
    <w:multiLevelType w:val="hybridMultilevel"/>
    <w:lvl w:ilvl="0">
      <w:lvlJc w:val="left"/>
      <w:lvlText w:val="%1."/>
      <w:numFmt w:val="lowerLetter"/>
      <w:start w:val="13"/>
    </w:lvl>
  </w:abstractNum>
  <w:abstractNum w:abstractNumId="110">
    <w:nsid w:val="4BD8591A"/>
    <w:multiLevelType w:val="hybridMultilevel"/>
    <w:lvl w:ilvl="0">
      <w:lvlJc w:val="left"/>
      <w:lvlText w:val="%1"/>
      <w:numFmt w:val="decimal"/>
      <w:start w:val="1"/>
    </w:lvl>
    <w:lvl w:ilvl="1">
      <w:lvlJc w:val="left"/>
      <w:lvlText w:val="%2."/>
      <w:numFmt w:val="decimal"/>
      <w:start w:val="3"/>
    </w:lvl>
  </w:abstractNum>
  <w:abstractNum w:abstractNumId="111">
    <w:nsid w:val="78DF6A55"/>
    <w:multiLevelType w:val="hybridMultilevel"/>
    <w:lvl w:ilvl="0">
      <w:lvlJc w:val="left"/>
      <w:lvlText w:val="%1."/>
      <w:numFmt w:val="decimal"/>
      <w:start w:val="13"/>
    </w:lvl>
    <w:lvl w:ilvl="1">
      <w:lvlJc w:val="left"/>
      <w:lvlText w:val="%2."/>
      <w:numFmt w:val="decimal"/>
      <w:start w:val="1"/>
    </w:lvl>
  </w:abstractNum>
  <w:abstractNum w:abstractNumId="112">
    <w:nsid w:val="39B7AAA2"/>
    <w:multiLevelType w:val="hybridMultilevel"/>
    <w:lvl w:ilvl="0">
      <w:lvlJc w:val="left"/>
      <w:lvlText w:val="%1."/>
      <w:numFmt w:val="decimal"/>
      <w:start w:val="15"/>
    </w:lvl>
  </w:abstractNum>
  <w:abstractNum w:abstractNumId="113">
    <w:nsid w:val="2B0D8DBE"/>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114">
    <w:nsid w:val="6C80EC70"/>
    <w:multiLevelType w:val="hybridMultilevel"/>
    <w:lvl w:ilvl="0">
      <w:lvlJc w:val="left"/>
      <w:lvlText w:val="%1."/>
      <w:numFmt w:val="decimal"/>
      <w:start w:val="18"/>
    </w:lvl>
  </w:abstractNum>
  <w:abstractNum w:abstractNumId="115">
    <w:nsid w:val="379E21B5"/>
    <w:multiLevelType w:val="hybridMultilevel"/>
    <w:lvl w:ilvl="0">
      <w:lvlJc w:val="left"/>
      <w:lvlText w:val="%1."/>
      <w:numFmt w:val="decimal"/>
      <w:start w:val="19"/>
    </w:lvl>
  </w:abstractNum>
  <w:abstractNum w:abstractNumId="116">
    <w:nsid w:val="69E373"/>
    <w:multiLevelType w:val="hybridMultilevel"/>
    <w:lvl w:ilvl="0">
      <w:lvlJc w:val="left"/>
      <w:lvlText w:val="%1."/>
      <w:numFmt w:val="decimal"/>
      <w:start w:val="20"/>
    </w:lvl>
  </w:abstractNum>
  <w:abstractNum w:abstractNumId="117">
    <w:nsid w:val="2C27173B"/>
    <w:multiLevelType w:val="hybridMultilevel"/>
    <w:lvl w:ilvl="0">
      <w:lvlJc w:val="left"/>
      <w:lvlText w:val="%1."/>
      <w:numFmt w:val="decimal"/>
      <w:start w:val="21"/>
    </w:lvl>
  </w:abstractNum>
  <w:abstractNum w:abstractNumId="118">
    <w:nsid w:val="4C9B090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2020-03-06T15:15:15Z</dcterms:created>
  <dcterms:modified xsi:type="dcterms:W3CDTF">2020-03-06T15:15:15Z</dcterms:modified>
</cp:coreProperties>
</file>