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20" w:after="283"/>
        <w:jc w:val="center"/>
        <w:rPr/>
      </w:pPr>
      <w:r>
        <w:rPr>
          <w:color w:val="000000"/>
        </w:rPr>
        <w:t> </w:t>
      </w: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April 30,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WESTWOOD HOLDINGS GROUP,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tbl>
      <w:tblPr>
        <w:tblW w:w="8092" w:type="dxa"/>
        <w:jc w:val="left"/>
        <w:tblInd w:w="0" w:type="dxa"/>
        <w:tblLayout w:type="fixed"/>
        <w:tblCellMar>
          <w:top w:w="28" w:type="dxa"/>
          <w:left w:w="28" w:type="dxa"/>
          <w:bottom w:w="28" w:type="dxa"/>
          <w:right w:w="28" w:type="dxa"/>
        </w:tblCellMar>
      </w:tblPr>
      <w:tblGrid>
        <w:gridCol w:w="812"/>
        <w:gridCol w:w="715"/>
        <w:gridCol w:w="722"/>
        <w:gridCol w:w="109"/>
        <w:gridCol w:w="109"/>
        <w:gridCol w:w="109"/>
        <w:gridCol w:w="762"/>
        <w:gridCol w:w="762"/>
        <w:gridCol w:w="770"/>
        <w:gridCol w:w="109"/>
        <w:gridCol w:w="109"/>
        <w:gridCol w:w="109"/>
        <w:gridCol w:w="845"/>
        <w:gridCol w:w="845"/>
        <w:gridCol w:w="1205"/>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001-31234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75-2969997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 Crescent Court, Suite 1200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Dallas, Texas 75201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(214) 756-6900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20"/>
        </w:rPr>
        <w:t xml:space="preserve">see </w:t>
      </w:r>
      <w:r>
        <w:rPr>
          <w:rFonts w:ascii="Times New Roman;sans-serif" w:hAnsi="Times New Roman;sans-serif"/>
          <w:b w:val="false"/>
          <w:color w:val="000000"/>
          <w:sz w:val="20"/>
        </w:rPr>
        <w:t>General Instruction A.2. below):</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1252"/>
        <w:gridCol w:w="1103"/>
        <w:gridCol w:w="1109"/>
        <w:gridCol w:w="539"/>
        <w:gridCol w:w="539"/>
        <w:gridCol w:w="541"/>
        <w:gridCol w:w="1138"/>
        <w:gridCol w:w="1138"/>
        <w:gridCol w:w="1609"/>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WHG</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2" w:before="180" w:after="283"/>
        <w:jc w:val="left"/>
        <w:rPr/>
      </w:pPr>
      <w:r>
        <w:rPr>
          <w:rFonts w:ascii="Times New Roman;sans-serif" w:hAnsi="Times New Roman;sans-serif"/>
          <w:b w:val="false"/>
          <w:color w:val="000000"/>
          <w:sz w:val="18"/>
        </w:rPr>
        <w:t>Emerging growth company  </w:t>
      </w:r>
      <w:r>
        <w:rPr>
          <w:color w:val="000000"/>
        </w:rPr>
        <w:t>☐</w:t>
      </w:r>
    </w:p>
    <w:p>
      <w:pPr>
        <w:pStyle w:val="TextBody"/>
        <w:bidi w:val="0"/>
        <w:spacing w:lineRule="auto" w:line="312" w:before="180" w:after="283"/>
        <w:jc w:val="left"/>
        <w:rPr/>
      </w:pPr>
      <w:r>
        <w:rPr>
          <w:rFonts w:ascii="Times New Roman;sans-serif" w:hAnsi="Times New Roman;sans-serif"/>
          <w:b w:val="false"/>
          <w:color w:val="000000"/>
          <w:sz w:val="20"/>
        </w:rPr>
        <w:t>If an emerging growth company, indicate by checkmark if the registrant has elected not to use the extended transition period for complying with any new revised financial accounting standards provided pursuant to Section 13(a) of the Exchange Act.</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announced and as further described under Item 5.07, on April 30, 2025, Westwood Holdings Group, Inc. (the “Company”) virtually held its annual meeting of stockholders (the “Annual Meeting”).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approved the Eleventh Amended and Restated Westwood Holdings Group, Inc. Stock Incentive Plan (the “Incentive Plan”). The material revisions included: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 the total number of shares currently authorized under the Incentive Plan by 200,000 shares.</w:t>
      </w:r>
    </w:p>
    <w:p>
      <w:pPr>
        <w:pStyle w:val="TextBody"/>
        <w:bidi w:val="0"/>
        <w:spacing w:lineRule="auto" w:line="288" w:before="120" w:after="283"/>
        <w:jc w:val="left"/>
        <w:rPr/>
      </w:pPr>
      <w:r>
        <w:rPr>
          <w:rFonts w:ascii="Times New Roman;sans-serif" w:hAnsi="Times New Roman;sans-serif"/>
          <w:b w:val="false"/>
          <w:color w:val="000000"/>
          <w:sz w:val="20"/>
        </w:rPr>
        <w:t xml:space="preserve">The Incentive Plan was included as Appendix A to the Definitive Proxy Statement filed with the SEC on </w:t>
      </w:r>
      <w:r>
        <w:rPr>
          <w:rFonts w:ascii="Times New Roman;sans-serif" w:hAnsi="Times New Roman;sans-serif"/>
          <w:b w:val="false"/>
          <w:color w:val="000000"/>
          <w:sz w:val="20"/>
          <w:shd w:fill="FFFFFF" w:val="clear"/>
        </w:rPr>
        <w:t>March 12, 2025.</w:t>
      </w:r>
    </w:p>
    <w:p>
      <w:pPr>
        <w:pStyle w:val="TextBody"/>
        <w:bidi w:val="0"/>
        <w:spacing w:lineRule="auto" w:line="288" w:before="120" w:after="283"/>
        <w:ind w:left="0" w:right="0" w:hanging="1440"/>
        <w:jc w:val="left"/>
        <w:rPr>
          <w:rFonts w:ascii="Times New Roman;sans-serif" w:hAnsi="Times New Roman;sans-serif"/>
          <w:b/>
          <w:color w:val="000000"/>
          <w:sz w:val="22"/>
        </w:rPr>
      </w:pPr>
      <w:r>
        <w:rPr>
          <w:rFonts w:ascii="Times New Roman;sans-serif" w:hAnsi="Times New Roman;sans-serif"/>
          <w:b/>
          <w:color w:val="000000"/>
          <w:sz w:val="22"/>
        </w:rPr>
        <w:t>Item 5.07    Submission of Matters to a Vote of Security Holders.</w:t>
      </w:r>
    </w:p>
    <w:p>
      <w:pPr>
        <w:pStyle w:val="TextBody"/>
        <w:bidi w:val="0"/>
        <w:spacing w:lineRule="auto" w:line="288" w:before="120" w:after="283"/>
        <w:jc w:val="left"/>
        <w:rPr/>
      </w:pPr>
      <w:r>
        <w:rPr>
          <w:rFonts w:ascii="Times New Roman;sans-serif" w:hAnsi="Times New Roman;sans-serif"/>
          <w:b w:val="false"/>
          <w:color w:val="000000"/>
          <w:sz w:val="20"/>
        </w:rPr>
        <w:t xml:space="preserve">At the Annual Meeting, the following Proposals 1, 2, 3 and 4 were approved by the Company’s stockholders. No other business was brought before the Annual Meeting. The Proposals are described in detail in the Company’s definitive proxy statement filed with the SEC on </w:t>
      </w:r>
      <w:r>
        <w:rPr>
          <w:rFonts w:ascii="Times New Roman;sans-serif" w:hAnsi="Times New Roman;sans-serif"/>
          <w:b w:val="false"/>
          <w:color w:val="000000"/>
          <w:sz w:val="20"/>
          <w:shd w:fill="FFFFFF" w:val="clear"/>
        </w:rPr>
        <w:t>March 12, 2025.</w:t>
      </w:r>
      <w:r>
        <w:rPr>
          <w:color w:val="000000"/>
        </w:rPr>
        <w:t xml:space="preserve"> </w:t>
      </w:r>
      <w:r>
        <w:rPr>
          <w:rFonts w:ascii="Times New Roman;sans-serif" w:hAnsi="Times New Roman;sans-serif"/>
          <w:b w:val="false"/>
          <w:color w:val="000000"/>
          <w:sz w:val="20"/>
        </w:rPr>
        <w:t>The voting results for the Annual Meeting are set forth below.</w:t>
      </w:r>
    </w:p>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Proposal 1</w:t>
      </w:r>
      <w:r>
        <w:rPr>
          <w:rFonts w:ascii="Times New Roman;sans-serif" w:hAnsi="Times New Roman;sans-serif"/>
          <w:b w:val="false"/>
          <w:color w:val="000000"/>
          <w:sz w:val="20"/>
        </w:rPr>
        <w:t>: The stockholders elected the directors listed below to hold office until the next annual meeting and until their respective successors shall have been duly elected and qualified. The voting results for this Proposal 1 were as follows:</w:t>
      </w:r>
    </w:p>
    <w:tbl>
      <w:tblPr>
        <w:tblW w:w="7118" w:type="dxa"/>
        <w:jc w:val="center"/>
        <w:tblInd w:w="0" w:type="dxa"/>
        <w:tblLayout w:type="fixed"/>
        <w:tblCellMar>
          <w:top w:w="28" w:type="dxa"/>
          <w:left w:w="28" w:type="dxa"/>
          <w:bottom w:w="28" w:type="dxa"/>
          <w:right w:w="28" w:type="dxa"/>
        </w:tblCellMar>
      </w:tblPr>
      <w:tblGrid>
        <w:gridCol w:w="630"/>
        <w:gridCol w:w="554"/>
        <w:gridCol w:w="556"/>
        <w:gridCol w:w="488"/>
        <w:gridCol w:w="488"/>
        <w:gridCol w:w="126"/>
        <w:gridCol w:w="109"/>
        <w:gridCol w:w="109"/>
        <w:gridCol w:w="109"/>
        <w:gridCol w:w="413"/>
        <w:gridCol w:w="413"/>
        <w:gridCol w:w="221"/>
        <w:gridCol w:w="109"/>
        <w:gridCol w:w="109"/>
        <w:gridCol w:w="109"/>
        <w:gridCol w:w="308"/>
        <w:gridCol w:w="308"/>
        <w:gridCol w:w="221"/>
        <w:gridCol w:w="109"/>
        <w:gridCol w:w="109"/>
        <w:gridCol w:w="109"/>
        <w:gridCol w:w="413"/>
        <w:gridCol w:w="413"/>
        <w:gridCol w:w="585"/>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Nominee</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 Non-Vote</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O. Casey</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7,027,969 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296,380 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613,065 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 H. Masterson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7,011,389 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314,994 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613,065 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Geoffrey R. Norman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6,970,279 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355,073 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613,065 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A. Bowman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6,995,907 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328,445 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613,065 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Hale Hoak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7,168,227 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157,124 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613,065 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Murray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7,166,355 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158,993 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613,065 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Proposal 2</w:t>
      </w:r>
      <w:r>
        <w:rPr>
          <w:rFonts w:ascii="Times New Roman;sans-serif" w:hAnsi="Times New Roman;sans-serif"/>
          <w:b w:val="false"/>
          <w:color w:val="000000"/>
          <w:sz w:val="20"/>
        </w:rPr>
        <w:t>: The stockholders ratified BDO USA, P.C. as the Company’s independent auditors for the year ending December 31, 2025. The voting results for this Proposal 2 were as follows:</w:t>
      </w:r>
    </w:p>
    <w:tbl>
      <w:tblPr>
        <w:tblW w:w="3102" w:type="dxa"/>
        <w:jc w:val="center"/>
        <w:tblInd w:w="0" w:type="dxa"/>
        <w:tblLayout w:type="fixed"/>
        <w:tblCellMar>
          <w:top w:w="28" w:type="dxa"/>
          <w:left w:w="28" w:type="dxa"/>
          <w:bottom w:w="28" w:type="dxa"/>
          <w:right w:w="28" w:type="dxa"/>
        </w:tblCellMar>
      </w:tblPr>
      <w:tblGrid>
        <w:gridCol w:w="341"/>
        <w:gridCol w:w="300"/>
        <w:gridCol w:w="305"/>
        <w:gridCol w:w="109"/>
        <w:gridCol w:w="109"/>
        <w:gridCol w:w="109"/>
        <w:gridCol w:w="224"/>
        <w:gridCol w:w="224"/>
        <w:gridCol w:w="228"/>
        <w:gridCol w:w="109"/>
        <w:gridCol w:w="109"/>
        <w:gridCol w:w="109"/>
        <w:gridCol w:w="241"/>
        <w:gridCol w:w="241"/>
        <w:gridCol w:w="344"/>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Abstain</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7,671,752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195,349</w:t>
            </w:r>
          </w:p>
        </w:tc>
      </w:tr>
    </w:tbl>
    <w:p>
      <w:pPr>
        <w:pStyle w:val="TextBody"/>
        <w:bidi w:val="0"/>
        <w:spacing w:lineRule="auto" w:line="288" w:before="120" w:after="283"/>
        <w:jc w:val="center"/>
        <w:rPr>
          <w:color w:val="000000"/>
        </w:rPr>
      </w:pPr>
      <w:r>
        <w:rPr>
          <w:color w:val="000000"/>
        </w:rPr>
        <w:t> </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Proposal 3</w:t>
      </w:r>
      <w:r>
        <w:rPr>
          <w:rFonts w:ascii="Times New Roman;sans-serif" w:hAnsi="Times New Roman;sans-serif"/>
          <w:b w:val="false"/>
          <w:color w:val="000000"/>
          <w:sz w:val="20"/>
        </w:rPr>
        <w:t>: The stockholders approved the Eleventh Amended and Restated Westwood Holdings Group, Inc. Stock Incentive Plan. The voting results for this Proposal 3 were as follows:</w:t>
      </w:r>
    </w:p>
    <w:tbl>
      <w:tblPr>
        <w:tblW w:w="4930" w:type="dxa"/>
        <w:jc w:val="center"/>
        <w:tblInd w:w="0" w:type="dxa"/>
        <w:tblLayout w:type="fixed"/>
        <w:tblCellMar>
          <w:top w:w="28" w:type="dxa"/>
          <w:left w:w="28" w:type="dxa"/>
          <w:bottom w:w="28" w:type="dxa"/>
          <w:right w:w="28" w:type="dxa"/>
        </w:tblCellMar>
      </w:tblPr>
      <w:tblGrid>
        <w:gridCol w:w="341"/>
        <w:gridCol w:w="300"/>
        <w:gridCol w:w="305"/>
        <w:gridCol w:w="109"/>
        <w:gridCol w:w="109"/>
        <w:gridCol w:w="109"/>
        <w:gridCol w:w="309"/>
        <w:gridCol w:w="309"/>
        <w:gridCol w:w="313"/>
        <w:gridCol w:w="109"/>
        <w:gridCol w:w="109"/>
        <w:gridCol w:w="109"/>
        <w:gridCol w:w="220"/>
        <w:gridCol w:w="220"/>
        <w:gridCol w:w="221"/>
        <w:gridCol w:w="109"/>
        <w:gridCol w:w="109"/>
        <w:gridCol w:w="109"/>
        <w:gridCol w:w="413"/>
        <w:gridCol w:w="413"/>
        <w:gridCol w:w="585"/>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 Non-Vote</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4,594,356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2,727,420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613,065</w:t>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Proposal 4</w:t>
      </w:r>
      <w:r>
        <w:rPr>
          <w:rFonts w:ascii="Times New Roman;sans-serif" w:hAnsi="Times New Roman;sans-serif"/>
          <w:b w:val="false"/>
          <w:color w:val="000000"/>
          <w:sz w:val="20"/>
        </w:rPr>
        <w:t>: The stockholders approved, on a non-binding, advisory basis, the Company's executive compensation. The voting results for this Proposal 4 were as follows:</w:t>
      </w:r>
    </w:p>
    <w:tbl>
      <w:tblPr>
        <w:tblW w:w="4795" w:type="dxa"/>
        <w:jc w:val="center"/>
        <w:tblInd w:w="0" w:type="dxa"/>
        <w:tblLayout w:type="fixed"/>
        <w:tblCellMar>
          <w:top w:w="28" w:type="dxa"/>
          <w:left w:w="28" w:type="dxa"/>
          <w:bottom w:w="28" w:type="dxa"/>
          <w:right w:w="28" w:type="dxa"/>
        </w:tblCellMar>
      </w:tblPr>
      <w:tblGrid>
        <w:gridCol w:w="341"/>
        <w:gridCol w:w="300"/>
        <w:gridCol w:w="305"/>
        <w:gridCol w:w="109"/>
        <w:gridCol w:w="109"/>
        <w:gridCol w:w="109"/>
        <w:gridCol w:w="259"/>
        <w:gridCol w:w="259"/>
        <w:gridCol w:w="263"/>
        <w:gridCol w:w="109"/>
        <w:gridCol w:w="109"/>
        <w:gridCol w:w="109"/>
        <w:gridCol w:w="224"/>
        <w:gridCol w:w="224"/>
        <w:gridCol w:w="228"/>
        <w:gridCol w:w="109"/>
        <w:gridCol w:w="109"/>
        <w:gridCol w:w="109"/>
        <w:gridCol w:w="413"/>
        <w:gridCol w:w="413"/>
        <w:gridCol w:w="585"/>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 Non-Vote</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6,862,241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613,065</w:t>
            </w:r>
          </w:p>
        </w:tc>
      </w:tr>
    </w:tbl>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Item 9.01    Financial Statements and Exhibits.</w:t>
      </w:r>
    </w:p>
    <w:p>
      <w:pPr>
        <w:pStyle w:val="TextBody"/>
        <w:bidi w:val="0"/>
        <w:spacing w:lineRule="auto" w:line="288" w:before="120" w:after="60"/>
        <w:jc w:val="left"/>
        <w:rPr>
          <w:rFonts w:ascii="Times New Roman;sans-serif" w:hAnsi="Times New Roman;sans-serif"/>
          <w:b w:val="false"/>
          <w:color w:val="000000"/>
          <w:sz w:val="22"/>
        </w:rPr>
      </w:pPr>
      <w:r>
        <w:rPr>
          <w:rFonts w:ascii="Times New Roman;sans-serif" w:hAnsi="Times New Roman;sans-serif"/>
          <w:b w:val="false"/>
          <w:color w:val="000000"/>
          <w:sz w:val="22"/>
        </w:rPr>
        <w:t>(d) Exhibits</w:t>
      </w:r>
    </w:p>
    <w:tbl>
      <w:tblPr>
        <w:tblW w:w="8410"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8"/>
        <w:gridCol w:w="1928"/>
        <w:gridCol w:w="274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689"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09"/>
        <w:gridCol w:w="109"/>
        <w:gridCol w:w="109"/>
        <w:gridCol w:w="109"/>
        <w:gridCol w:w="109"/>
        <w:gridCol w:w="109"/>
        <w:gridCol w:w="109"/>
        <w:gridCol w:w="109"/>
        <w:gridCol w:w="109"/>
        <w:gridCol w:w="109"/>
        <w:gridCol w:w="109"/>
        <w:gridCol w:w="109"/>
        <w:gridCol w:w="1001"/>
        <w:gridCol w:w="1001"/>
        <w:gridCol w:w="141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O. Casey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O. Casey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4343</Characters>
  <CharactersWithSpaces>5036</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