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3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4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10, 2023</w:t>
      </w:r>
    </w:p>
    <w:p>
      <w:pPr>
        <w:spacing w:after="0" w:line="27"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w:t>
      </w:r>
    </w:p>
    <w:p>
      <w:pPr>
        <w:spacing w:after="0" w:line="21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WESTWOOD HOLDINGS GROUP, INC.</w:t>
      </w:r>
    </w:p>
    <w:p>
      <w:pPr>
        <w:spacing w:after="0" w:line="4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7"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w:t>
      </w:r>
    </w:p>
    <w:p>
      <w:pPr>
        <w:sectPr>
          <w:pgSz w:w="11900" w:h="16838" w:orient="portrait"/>
          <w:cols w:equalWidth="0" w:num="1">
            <w:col w:w="11040"/>
          </w:cols>
          <w:pgMar w:left="320" w:top="1051" w:right="539" w:bottom="1440" w:gutter="0" w:footer="0" w:header="0"/>
        </w:sectPr>
      </w:pPr>
    </w:p>
    <w:p>
      <w:pPr>
        <w:spacing w:after="0" w:line="274"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001-31234</w:t>
      </w:r>
    </w:p>
    <w:p>
      <w:pPr>
        <w:spacing w:after="0" w:line="27"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75-2969997</w:t>
      </w:r>
    </w:p>
    <w:p>
      <w:pPr>
        <w:spacing w:after="0" w:line="27"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34" w:lineRule="exact"/>
        <w:rPr>
          <w:sz w:val="24"/>
          <w:szCs w:val="24"/>
          <w:color w:val="auto"/>
        </w:rPr>
      </w:pPr>
    </w:p>
    <w:p>
      <w:pPr>
        <w:sectPr>
          <w:pgSz w:w="11900" w:h="16838" w:orient="portrait"/>
          <w:cols w:equalWidth="0" w:num="3">
            <w:col w:w="3880" w:space="720"/>
            <w:col w:w="2820" w:space="720"/>
            <w:col w:w="2900"/>
          </w:cols>
          <w:pgMar w:left="320" w:top="1051" w:right="53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34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200 Crescent Court, Suite 1200</w:t>
      </w:r>
    </w:p>
    <w:p>
      <w:pPr>
        <w:spacing w:after="0" w:line="2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Dallas, Texas 75201</w:t>
      </w:r>
    </w:p>
    <w:p>
      <w:pPr>
        <w:spacing w:after="0" w:line="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(214) 756-6900</w:t>
      </w:r>
    </w:p>
    <w:p>
      <w:pPr>
        <w:spacing w:after="0" w:line="2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040"/>
          </w:cols>
          <w:pgMar w:left="320" w:top="1051" w:right="539" w:bottom="1440" w:gutter="0" w:footer="0" w:header="0"/>
          <w:type w:val="continuous"/>
        </w:sectPr>
      </w:pPr>
    </w:p>
    <w:p>
      <w:pPr>
        <w:spacing w:after="0" w:line="259" w:lineRule="exact"/>
        <w:rPr>
          <w:sz w:val="24"/>
          <w:szCs w:val="24"/>
          <w:color w:val="auto"/>
        </w:rPr>
      </w:pPr>
    </w:p>
    <w:p>
      <w:pPr>
        <w:ind w:right="300" w:firstLine="180"/>
        <w:spacing w:after="0" w:line="29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203" w:lineRule="exact"/>
        <w:rPr>
          <w:sz w:val="24"/>
          <w:szCs w:val="24"/>
          <w:color w:val="auto"/>
        </w:rPr>
      </w:pPr>
    </w:p>
    <w:p>
      <w:pPr>
        <w:ind w:left="520" w:hanging="332"/>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65" w:lineRule="exact"/>
        <w:rPr>
          <w:rFonts w:ascii="Wingdings" w:cs="Wingdings" w:eastAsia="Wingdings" w:hAnsi="Wingdings"/>
          <w:sz w:val="18"/>
          <w:szCs w:val="18"/>
          <w:b w:val="1"/>
          <w:bCs w:val="1"/>
          <w:color w:val="auto"/>
        </w:rPr>
      </w:pPr>
    </w:p>
    <w:p>
      <w:pPr>
        <w:ind w:left="520" w:hanging="332"/>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65" w:lineRule="exact"/>
        <w:rPr>
          <w:rFonts w:ascii="Wingdings" w:cs="Wingdings" w:eastAsia="Wingdings" w:hAnsi="Wingdings"/>
          <w:sz w:val="18"/>
          <w:szCs w:val="18"/>
          <w:b w:val="1"/>
          <w:bCs w:val="1"/>
          <w:color w:val="auto"/>
        </w:rPr>
      </w:pPr>
    </w:p>
    <w:p>
      <w:pPr>
        <w:ind w:left="520" w:hanging="332"/>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9" w:lineRule="exact"/>
        <w:rPr>
          <w:rFonts w:ascii="Wingdings" w:cs="Wingdings" w:eastAsia="Wingdings" w:hAnsi="Wingdings"/>
          <w:sz w:val="18"/>
          <w:szCs w:val="18"/>
          <w:b w:val="1"/>
          <w:bCs w:val="1"/>
          <w:color w:val="auto"/>
        </w:rPr>
      </w:pPr>
    </w:p>
    <w:p>
      <w:pPr>
        <w:ind w:left="520" w:hanging="332"/>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73" w:lineRule="exact"/>
        <w:rPr>
          <w:sz w:val="24"/>
          <w:szCs w:val="24"/>
          <w:color w:val="auto"/>
        </w:rPr>
      </w:pPr>
    </w:p>
    <w:tbl>
      <w:tblPr>
        <w:tblLayout w:type="fixed"/>
        <w:tblInd w:w="560" w:type="dxa"/>
        <w:tblCellMar>
          <w:top w:w="0" w:type="dxa"/>
          <w:left w:w="0" w:type="dxa"/>
          <w:bottom w:w="0" w:type="dxa"/>
          <w:right w:w="0" w:type="dxa"/>
        </w:tblCellMar>
      </w:tblPr>
      <w:tr>
        <w:trPr>
          <w:trHeight w:val="210"/>
        </w:trPr>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180" w:type="dxa"/>
            <w:vAlign w:val="bottom"/>
            <w:gridSpan w:val="5"/>
          </w:tcPr>
          <w:p>
            <w:pPr>
              <w:jc w:val="center"/>
              <w:ind w:right="315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209"/>
        </w:trPr>
        <w:tc>
          <w:tcPr>
            <w:tcW w:w="8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6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96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r>
        <w:trPr>
          <w:trHeight w:val="250"/>
        </w:trPr>
        <w:tc>
          <w:tcPr>
            <w:tcW w:w="3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60" w:type="dxa"/>
            <w:vAlign w:val="bottom"/>
          </w:tcPr>
          <w:p>
            <w:pPr>
              <w:spacing w:after="0"/>
              <w:rPr>
                <w:sz w:val="21"/>
                <w:szCs w:val="21"/>
                <w:color w:val="auto"/>
              </w:rPr>
            </w:pPr>
          </w:p>
        </w:tc>
        <w:tc>
          <w:tcPr>
            <w:tcW w:w="196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WHG</w:t>
            </w:r>
          </w:p>
        </w:tc>
        <w:tc>
          <w:tcPr>
            <w:tcW w:w="6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333" w:lineRule="exact"/>
        <w:rPr>
          <w:sz w:val="24"/>
          <w:szCs w:val="24"/>
          <w:color w:val="auto"/>
        </w:rPr>
      </w:pPr>
    </w:p>
    <w:p>
      <w:pPr>
        <w:ind w:right="360"/>
        <w:spacing w:after="0" w:line="297" w:lineRule="auto"/>
        <w:rPr>
          <w:sz w:val="20"/>
          <w:szCs w:val="20"/>
          <w:color w:val="auto"/>
        </w:rPr>
      </w:pPr>
      <w:r>
        <w:rPr>
          <w:rFonts w:ascii="Times New Roman" w:cs="Times New Roman" w:eastAsia="Times New Roman" w:hAnsi="Times New Roman"/>
          <w:sz w:val="18"/>
          <w:szCs w:val="18"/>
          <w:color w:val="auto"/>
        </w:rPr>
        <w:t>Indicate by checkmark whether the registrant is an emerging growth company as defined in Rule 405 of the Securities Act of 1933 (§230.405 of this chapter) or Rule 12b-2 of the Securities Exchange Act of 1934 (§240.12b-2 of this chapter).</w:t>
      </w:r>
    </w:p>
    <w:p>
      <w:pPr>
        <w:spacing w:after="0" w:line="8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16" w:lineRule="exact"/>
        <w:rPr>
          <w:sz w:val="24"/>
          <w:szCs w:val="24"/>
          <w:color w:val="auto"/>
        </w:rPr>
      </w:pPr>
    </w:p>
    <w:p>
      <w:pPr>
        <w:spacing w:after="0" w:line="24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checkmark if the registrant has elected not to use the extended transition period for complying with any new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537845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51" w:right="539" w:bottom="1440" w:gutter="0" w:footer="0" w:header="0"/>
          <w:type w:val="continuous"/>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t>ITEM 5.02: Departure of Directors or Certain Officers; Election of Directors; Appointment of Certain Officers; Compensatory Arrangements of Certain Officers.</w:t>
      </w:r>
    </w:p>
    <w:p>
      <w:pPr>
        <w:spacing w:after="0" w:line="54"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On February 10, 2023, Julie K. Gerron, the Senior Vice President, General Counsel and Chief Compliance Officer of Westwood Holdings Group, Inc. (the “Company”), informed the Company of her decision to resign from the Company and pursue employment at another company. Ms. Gerron has agreed to stay on with the Company through April 3, 2023 in order to provide transition assistance to the Company. Ms. Gerron has been a valued employee of the Company for the past 19 years, and the Company wishes her well in the next phase of her career.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99" w:right="47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20"/>
          <w:szCs w:val="20"/>
          <w:color w:val="auto"/>
        </w:rPr>
        <w:t>SIGNATURES</w:t>
      </w:r>
    </w:p>
    <w:p>
      <w:pPr>
        <w:spacing w:after="0" w:line="256" w:lineRule="exact"/>
        <w:rPr>
          <w:sz w:val="20"/>
          <w:szCs w:val="20"/>
          <w:color w:val="auto"/>
        </w:rPr>
      </w:pPr>
    </w:p>
    <w:p>
      <w:pPr>
        <w:ind w:right="360" w:firstLine="486"/>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16, 2023</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WESTWOOD HOLDINGS GROUP, INC.</w:t>
      </w:r>
    </w:p>
    <w:p>
      <w:pPr>
        <w:spacing w:after="0" w:line="200" w:lineRule="exact"/>
        <w:rPr>
          <w:sz w:val="20"/>
          <w:szCs w:val="20"/>
          <w:color w:val="auto"/>
        </w:rPr>
      </w:pPr>
    </w:p>
    <w:p>
      <w:pPr>
        <w:spacing w:after="0" w:line="363"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Brian O. Casey</w:t>
      </w:r>
    </w:p>
    <w:p>
      <w:pPr>
        <w:spacing w:after="0" w:line="2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Brian O. Casey</w:t>
      </w:r>
    </w:p>
    <w:p>
      <w:pPr>
        <w:spacing w:after="0" w:line="23"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Chief Executive Officer</w:t>
      </w:r>
    </w:p>
    <w:sectPr>
      <w:pgSz w:w="11900" w:h="16838" w:orient="portrait"/>
      <w:cols w:equalWidth="0" w:num="1">
        <w:col w:w="11060"/>
      </w:cols>
      <w:pgMar w:left="320" w:top="88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2023-02-16T16:45:32Z</dcterms:created>
  <dcterms:modified xsi:type="dcterms:W3CDTF">2023-02-16T16:45:32Z</dcterms:modified>
</cp:coreProperties>
</file>