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CURRENT REPORT</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339"/>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Date of Report (Date of earliest event reported): October 25, 2017</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00" w:lineRule="exact"/>
        <w:rPr>
          <w:sz w:val="24"/>
          <w:szCs w:val="24"/>
          <w:color w:val="auto"/>
        </w:rPr>
      </w:pPr>
    </w:p>
    <w:p>
      <w:pPr>
        <w:spacing w:after="0" w:line="237" w:lineRule="exact"/>
        <w:rPr>
          <w:sz w:val="24"/>
          <w:szCs w:val="24"/>
          <w:color w:val="auto"/>
        </w:rPr>
      </w:pPr>
    </w:p>
    <w:p>
      <w:pPr>
        <w:ind w:left="500"/>
        <w:spacing w:after="0"/>
        <w:tabs>
          <w:tab w:leader="none" w:pos="1440" w:val="left"/>
          <w:tab w:leader="none" w:pos="2480" w:val="left"/>
        </w:tabs>
        <w:rPr>
          <w:sz w:val="20"/>
          <w:szCs w:val="20"/>
          <w:color w:val="auto"/>
        </w:rPr>
      </w:pPr>
      <w:r>
        <w:rPr>
          <w:rFonts w:ascii="Times New Roman" w:cs="Times New Roman" w:eastAsia="Times New Roman" w:hAnsi="Times New Roman"/>
          <w:sz w:val="20"/>
          <w:szCs w:val="20"/>
          <w:color w:val="auto"/>
        </w:rPr>
        <w:t>Delaware</w:t>
        <w:tab/>
        <w:t>001-31234</w:t>
      </w:r>
      <w:r>
        <w:rPr>
          <w:sz w:val="20"/>
          <w:szCs w:val="20"/>
          <w:color w:val="auto"/>
        </w:rPr>
        <w:tab/>
      </w:r>
      <w:r>
        <w:rPr>
          <w:rFonts w:ascii="Times New Roman" w:cs="Times New Roman" w:eastAsia="Times New Roman" w:hAnsi="Times New Roman"/>
          <w:sz w:val="19"/>
          <w:szCs w:val="19"/>
          <w:color w:val="auto"/>
        </w:rPr>
        <w:t>75-2969997</w:t>
      </w:r>
    </w:p>
    <w:p>
      <w:pPr>
        <w:spacing w:after="0" w:line="21" w:lineRule="exact"/>
        <w:rPr>
          <w:sz w:val="24"/>
          <w:szCs w:val="24"/>
          <w:color w:val="auto"/>
        </w:rPr>
      </w:pPr>
    </w:p>
    <w:p>
      <w:pPr>
        <w:spacing w:after="0"/>
        <w:tabs>
          <w:tab w:leader="none" w:pos="2260" w:val="left"/>
          <w:tab w:leader="none" w:pos="3540" w:val="left"/>
        </w:tabs>
        <w:rPr>
          <w:sz w:val="20"/>
          <w:szCs w:val="20"/>
          <w:color w:val="auto"/>
        </w:rPr>
      </w:pPr>
      <w:r>
        <w:rPr>
          <w:rFonts w:ascii="Times New Roman" w:cs="Times New Roman" w:eastAsia="Times New Roman" w:hAnsi="Times New Roman"/>
          <w:sz w:val="20"/>
          <w:szCs w:val="20"/>
          <w:color w:val="auto"/>
        </w:rPr>
        <w:t>(State or other jurisdiction</w:t>
        <w:tab/>
        <w:t>(Commission</w:t>
      </w:r>
      <w:r>
        <w:rPr>
          <w:sz w:val="20"/>
          <w:szCs w:val="20"/>
          <w:color w:val="auto"/>
        </w:rPr>
        <w:tab/>
      </w:r>
      <w:r>
        <w:rPr>
          <w:rFonts w:ascii="Times New Roman" w:cs="Times New Roman" w:eastAsia="Times New Roman" w:hAnsi="Times New Roman"/>
          <w:sz w:val="19"/>
          <w:szCs w:val="19"/>
          <w:color w:val="auto"/>
        </w:rPr>
        <w:t>(IRS Employer</w:t>
      </w:r>
    </w:p>
    <w:p>
      <w:pPr>
        <w:ind w:left="340"/>
        <w:spacing w:after="0"/>
        <w:tabs>
          <w:tab w:leader="none" w:pos="1900" w:val="left"/>
          <w:tab w:leader="none" w:pos="3180" w:val="left"/>
        </w:tabs>
        <w:rPr>
          <w:sz w:val="20"/>
          <w:szCs w:val="20"/>
          <w:color w:val="auto"/>
        </w:rPr>
      </w:pPr>
      <w:r>
        <w:rPr>
          <w:rFonts w:ascii="Times New Roman" w:cs="Times New Roman" w:eastAsia="Times New Roman" w:hAnsi="Times New Roman"/>
          <w:sz w:val="20"/>
          <w:szCs w:val="20"/>
          <w:color w:val="auto"/>
        </w:rPr>
        <w:t>of incorporation)</w:t>
        <w:tab/>
        <w:t>File Number)</w:t>
      </w:r>
      <w:r>
        <w:rPr>
          <w:sz w:val="20"/>
          <w:szCs w:val="20"/>
          <w:color w:val="auto"/>
        </w:rPr>
        <w:tab/>
      </w:r>
      <w:r>
        <w:rPr>
          <w:rFonts w:ascii="Times New Roman" w:cs="Times New Roman" w:eastAsia="Times New Roman" w:hAnsi="Times New Roman"/>
          <w:sz w:val="19"/>
          <w:szCs w:val="19"/>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200 Crescent Court, Suite 1200</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Dallas, Texas 75201</w:t>
      </w:r>
    </w:p>
    <w:p>
      <w:pPr>
        <w:jc w:val="center"/>
        <w:ind w:right="-33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(214) 756-6900</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ind w:firstLine="324"/>
        <w:spacing w:after="0" w:line="297"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i w:val="1"/>
          <w:iCs w:val="1"/>
          <w:color w:val="auto"/>
        </w:rPr>
        <w:t>see</w:t>
      </w:r>
      <w:r>
        <w:rPr>
          <w:rFonts w:ascii="Times New Roman" w:cs="Times New Roman" w:eastAsia="Times New Roman" w:hAnsi="Times New Roman"/>
          <w:sz w:val="20"/>
          <w:szCs w:val="20"/>
          <w:color w:val="auto"/>
        </w:rPr>
        <w:t xml:space="preserve"> General Instruction A.2. below):</w:t>
      </w:r>
    </w:p>
    <w:p>
      <w:pPr>
        <w:spacing w:after="0" w:line="214" w:lineRule="exact"/>
        <w:rPr>
          <w:sz w:val="24"/>
          <w:szCs w:val="24"/>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ectPr>
          <w:pgSz w:w="11900" w:h="16838" w:orient="portrait"/>
          <w:cols w:equalWidth="0" w:num="1">
            <w:col w:w="11100"/>
          </w:cols>
          <w:pgMar w:left="240" w:top="684" w:right="5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On October 25, 2017, Westwood Holdings Group, Inc. (“Westwood”) issued a press release entitled “Westwood Holdings Group, Inc. Reports Third Quarter 2017 Results; Quarterly Dividend Increased 10%”, a copy of which is furnished with this Current Report on Form 8-K as Exhibit 99.1.</w:t>
      </w:r>
    </w:p>
    <w:p>
      <w:pPr>
        <w:spacing w:after="0" w:line="18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22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$0.68 per common share, an increase of 10% from the previous quarterly dividend rate, payable on January 2, 2018 to stockholders of record on December 8, 2017.</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following exhibit is furnished with this report:</w:t>
      </w:r>
    </w:p>
    <w:p>
      <w:pPr>
        <w:sectPr>
          <w:pgSz w:w="11900" w:h="16838" w:orient="portrait"/>
          <w:cols w:equalWidth="0" w:num="1">
            <w:col w:w="11400"/>
          </w:cols>
          <w:pgMar w:left="240" w:top="576" w:right="2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Description</w:t>
      </w:r>
    </w:p>
    <w:p>
      <w:pPr>
        <w:spacing w:after="0" w:line="200" w:lineRule="exact"/>
        <w:rPr>
          <w:sz w:val="20"/>
          <w:szCs w:val="20"/>
          <w:color w:val="auto"/>
        </w:rPr>
      </w:pPr>
    </w:p>
    <w:p>
      <w:pPr>
        <w:sectPr>
          <w:pgSz w:w="11900" w:h="16838" w:orient="portrait"/>
          <w:cols w:equalWidth="0" w:num="2">
            <w:col w:w="1560" w:space="720"/>
            <w:col w:w="9120"/>
          </w:cols>
          <w:pgMar w:left="240" w:top="576" w:right="259" w:bottom="1440" w:gutter="0" w:footer="0" w:header="0"/>
          <w:type w:val="continuous"/>
        </w:sectPr>
      </w:pPr>
    </w:p>
    <w:p>
      <w:pPr>
        <w:spacing w:after="0" w:line="41" w:lineRule="exact"/>
        <w:rPr>
          <w:sz w:val="20"/>
          <w:szCs w:val="20"/>
          <w:color w:val="auto"/>
        </w:rPr>
      </w:pPr>
    </w:p>
    <w:p>
      <w:pPr>
        <w:ind w:left="1300" w:right="780" w:hanging="1296"/>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20"/>
          <w:szCs w:val="20"/>
          <w:color w:val="auto"/>
        </w:rPr>
        <w:t>Press Release dated October 25, 2017, entitled “Westwood Holdings Group, Inc. Reports Third Quarter 2017 Results; Quarterly Dividend Increased 10%”.</w:t>
      </w:r>
    </w:p>
    <w:p>
      <w:pPr>
        <w:sectPr>
          <w:pgSz w:w="11900" w:h="16838" w:orient="portrait"/>
          <w:cols w:equalWidth="0" w:num="1">
            <w:col w:w="11400"/>
          </w:cols>
          <w:pgMar w:left="240" w:top="576" w:right="2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25, 2017</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Tiffany B. Kice</w:t>
      </w:r>
    </w:p>
    <w:p>
      <w:pPr>
        <w:ind w:left="45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INDEX</w:t>
            </w:r>
          </w:p>
        </w:tc>
      </w:tr>
      <w:tr>
        <w:trPr>
          <w:trHeight w:val="439"/>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Description</w:t>
            </w:r>
          </w:p>
        </w:tc>
        <w:tc>
          <w:tcPr>
            <w:tcW w:w="1460" w:type="dxa"/>
            <w:vAlign w:val="bottom"/>
            <w:tcBorders>
              <w:top w:val="single" w:sz="8" w:color="auto"/>
            </w:tcBorders>
            <w:gridSpan w:val="2"/>
          </w:tcPr>
          <w:p>
            <w:pPr>
              <w:spacing w:after="0"/>
              <w:rPr>
                <w:sz w:val="24"/>
                <w:szCs w:val="24"/>
                <w:color w:val="auto"/>
              </w:rPr>
            </w:pPr>
          </w:p>
        </w:tc>
        <w:tc>
          <w:tcPr>
            <w:tcW w:w="494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20" w:type="dxa"/>
            <w:vAlign w:val="bottom"/>
            <w:tcBorders>
              <w:bottom w:val="single" w:sz="8" w:color="0000FF"/>
            </w:tcBorders>
            <w:gridSpan w:val="5"/>
          </w:tcPr>
          <w:p>
            <w:pPr>
              <w:spacing w:after="0"/>
              <w:rPr>
                <w:rFonts w:ascii="Times New Roman" w:cs="Times New Roman" w:eastAsia="Times New Roman" w:hAnsi="Times New Roman"/>
                <w:sz w:val="22"/>
                <w:szCs w:val="22"/>
                <w:color w:val="0000FF"/>
                <w:w w:val="97"/>
              </w:rPr>
            </w:pPr>
            <w:hyperlink w:anchor="page5">
              <w:r>
                <w:rPr>
                  <w:rFonts w:ascii="Times New Roman" w:cs="Times New Roman" w:eastAsia="Times New Roman" w:hAnsi="Times New Roman"/>
                  <w:sz w:val="22"/>
                  <w:szCs w:val="22"/>
                  <w:color w:val="0000FF"/>
                  <w:w w:val="97"/>
                </w:rPr>
                <w:t>Press Release dated October 25, 2017, entitled “Westwood Holdings Group, Inc. Reports Third Quarter 2017</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20" w:type="dxa"/>
            <w:vAlign w:val="bottom"/>
            <w:tcBorders>
              <w:bottom w:val="single" w:sz="8" w:color="0000FF"/>
            </w:tcBorders>
            <w:gridSpan w:val="3"/>
          </w:tcPr>
          <w:p>
            <w:pPr>
              <w:spacing w:after="0" w:line="237" w:lineRule="exact"/>
              <w:rPr>
                <w:rFonts w:ascii="Times New Roman" w:cs="Times New Roman" w:eastAsia="Times New Roman" w:hAnsi="Times New Roman"/>
                <w:sz w:val="22"/>
                <w:szCs w:val="22"/>
                <w:color w:val="0000FF"/>
                <w:w w:val="97"/>
              </w:rPr>
            </w:pPr>
            <w:hyperlink w:anchor="page5">
              <w:r>
                <w:rPr>
                  <w:rFonts w:ascii="Times New Roman" w:cs="Times New Roman" w:eastAsia="Times New Roman" w:hAnsi="Times New Roman"/>
                  <w:sz w:val="22"/>
                  <w:szCs w:val="22"/>
                  <w:color w:val="0000FF"/>
                  <w:w w:val="97"/>
                </w:rPr>
                <w:t>Results; Quarterly Dividend Increased 10%”.</w:t>
              </w:r>
            </w:hyperlink>
          </w:p>
        </w:tc>
        <w:tc>
          <w:tcPr>
            <w:tcW w:w="5500" w:type="dxa"/>
            <w:vAlign w:val="bottom"/>
            <w:gridSpan w:val="2"/>
          </w:tcPr>
          <w:p>
            <w:pPr>
              <w:spacing w:after="0"/>
              <w:rPr>
                <w:sz w:val="20"/>
                <w:szCs w:val="20"/>
                <w:color w:val="auto"/>
              </w:rPr>
            </w:pPr>
          </w:p>
        </w:tc>
      </w:tr>
    </w:tbl>
    <w:p>
      <w:pPr>
        <w:sectPr>
          <w:pgSz w:w="11900" w:h="16838" w:orient="portrait"/>
          <w:cols w:equalWidth="0" w:num="1">
            <w:col w:w="11380"/>
          </w:cols>
          <w:pgMar w:left="240" w:top="787"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Third Quarter 2017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Dividend Increased 10%</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Dallas, TX, October 25, 2017 – Westwood Holdings Group, Inc. (NYSE: WHG) today reported third quarter 2017 revenues of $33.5 million compared to $31.8 million in the third quarter of 2016 and $33.8 million in the second quarter of 2017. The increase from the prior year quarter primarily related to higher average assets under management ("AUM") due to market appreciation. The decrease from the immediately preceding quarter was primarily due to performance fees earned in the second quarter of 2017, partially offset by higher average AUM.</w:t>
      </w:r>
    </w:p>
    <w:p>
      <w:pPr>
        <w:spacing w:after="0" w:line="2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AUM at September 30, 2017 totaled $23.6 billion, up from $21.3 billion and $22.6 billion at September 30, 2016 and June 30, 2017, respectively.</w:t>
      </w:r>
      <w:r>
        <w:rPr>
          <w:rFonts w:ascii="Times New Roman" w:cs="Times New Roman" w:eastAsia="Times New Roman" w:hAnsi="Times New Roman"/>
          <w:sz w:val="28"/>
          <w:szCs w:val="28"/>
          <w:color w:val="auto"/>
          <w:vertAlign w:val="superscript"/>
        </w:rPr>
        <w:t>1</w:t>
      </w:r>
    </w:p>
    <w:p>
      <w:pPr>
        <w:spacing w:after="0" w:line="10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During the quarter, we recorded a $2.5 million legal settlement charge, net of insurance recovery and taxes, related to resolution of litigation, which decreased third quarter 2017 diluted earnings per share by $0.30.</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Third quarter net income of $4.1 million compared with $5.9 million in the third quarter of 2016. The decrease primarily related to the settlement noted above, partially offset by higher revenues. Diluted earnings per share of $0.49 in the third quarter of 2017 compared to $0.72 in the third quarter of 2016. Non-GAAP Economic Earnings for the quarter decreased from $10.6 million, or $1.30 per share, in 2016's third quarter, to $9.0 million, or $1.07 per share, in the third quarter of 2017.</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Third quarter net income of $4.1 million compared with $6.9 million in the second quarter of 2017. The decrease was driven primarily by the settlement noted above. Diluted earnings per share for the quarter of $0.49 compared to $0.83 for the second quarter of 2017. Non-GAAP Economic Earnings for the quarter of $9.0 million, or $1.07 per share, compared to $11.7 million, or $1.41 per share, in the immediately preceding quarter.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related to the third quarter 2017 include:</w:t>
      </w:r>
    </w:p>
    <w:p>
      <w:pPr>
        <w:spacing w:after="0" w:line="166" w:lineRule="exact"/>
        <w:rPr>
          <w:sz w:val="20"/>
          <w:szCs w:val="20"/>
          <w:color w:val="auto"/>
        </w:rPr>
      </w:pPr>
    </w:p>
    <w:p>
      <w:pPr>
        <w:ind w:left="660" w:right="38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$33.5 million increased $1.7 million from the third quarter of 2016 and were relatively flat with the second quarter of 2017.</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Top quartile performance was delivered by our SmallCap Value and LargeCap Value strategies.</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U.S. value strategies provided strong absolute and relative returns for two consecutive quarters.</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 of the AGF litigation.</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agreed to sell our Omaha-based Private Wealth operations, which is expected to close by year end.</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22"/>
          <w:szCs w:val="22"/>
          <w:color w:val="auto"/>
        </w:rPr>
        <w:t>Brian Casey, Westwood’s President &amp; CEO, commented, "</w:t>
      </w:r>
      <w:r>
        <w:rPr>
          <w:rFonts w:ascii="Times New Roman" w:cs="Times New Roman" w:eastAsia="Times New Roman" w:hAnsi="Times New Roman"/>
          <w:sz w:val="19"/>
          <w:szCs w:val="19"/>
          <w:color w:val="auto"/>
        </w:rPr>
        <w:t>W</w:t>
      </w:r>
      <w:r>
        <w:rPr>
          <w:rFonts w:ascii="Times New Roman" w:cs="Times New Roman" w:eastAsia="Times New Roman" w:hAnsi="Times New Roman"/>
          <w:sz w:val="22"/>
          <w:szCs w:val="22"/>
          <w:color w:val="auto"/>
        </w:rPr>
        <w:t>ithin our U.S. value strategies, we were very pleased that first half performance momentum continued in both absolute and relative terms into the third quarter, most notably for our SmallCap Value and LargeCap Value strategies. Recognizing that an earnings-driven market has historically supported our investment philosophy, we are optimistic that our strategies can deliver excess returns and client-specific outcomes. Additionally, we were pleased to resolve AGF's litigation and believe that the resolution was in the best interests of our company and our shareholders. Finally, this marks the fifteenth consecutive year that we have increased our dividend, and more than $165 million in dividends has been returned to shareholders over this period."</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Westwood’s Board of Directors declared a quarterly cash dividend of $0.68 per common share, an increase of 10% from the previous quarterly dividend rate, payable on January 2, 2018 to stockholders of record on December 8, 2017. At quarter-end, Westwood had $99.5 million in cash and investments, stockholders’ equity of $155.4 million, and no debt.</w:t>
      </w:r>
    </w:p>
    <w:p>
      <w:pPr>
        <w:spacing w:after="0" w:line="21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Economic Earnings and Economic Earnings per Share ("Economic EPS") are non-GAAP performance measures and are explained and reconciled with the most comparable GAAP numbers in the attached tables.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Westwood will host a conference call to discuss third quarter 2017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November 1, 2017 by dialing 855-859-2056 (domestic and Canada) or 404-537-3406 (international) and then entering the passcode 88303365.</w:t>
      </w:r>
    </w:p>
    <w:p>
      <w:pPr>
        <w:spacing w:after="0" w:line="204" w:lineRule="exact"/>
        <w:rPr>
          <w:sz w:val="20"/>
          <w:szCs w:val="20"/>
          <w:color w:val="auto"/>
        </w:rPr>
      </w:pPr>
    </w:p>
    <w:p>
      <w:pPr>
        <w:ind w:left="340" w:right="20" w:hanging="332"/>
        <w:spacing w:after="0" w:line="281"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under advisement ("AUA") totaled $362 million compared to $1.1 billion and $1.0 billion at September 30, 2016 and June 30, 2017, respectively, reflecting the transfer of $713 million of AUA to AUM during the third quarter of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w:t>
      </w:r>
    </w:p>
    <w:p>
      <w:pPr>
        <w:spacing w:after="0" w:line="2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Westwood Holdings Group, Inc. provides investment management services to institutional investors, private wealth clients and financial intermediaries. With $23.6 billion in assets under management (as of September 30, 2017), our firm offers a range of investment strategies including U.S. equities, Master Limited Partnerships (MLPs), Multi-Asset, Global and Emerging Markets equities, and Global Convertible securities portfolios. Access to our strategies is available through separate accounts, commingled funds,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Omaha, and Houston.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www.westwoodgroup.com.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the Westwood Funds®, please visit www.westwoodfunds.com.</w:t>
      </w:r>
    </w:p>
    <w:p>
      <w:pPr>
        <w:sectPr>
          <w:pgSz w:w="11900" w:h="16838" w:orient="portrait"/>
          <w:cols w:equalWidth="0" w:num="1">
            <w:col w:w="11420"/>
          </w:cols>
          <w:pgMar w:left="240" w:top="625"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relationships with current and potential customers; our ability to retain qualified personnel; our ability to maintain effective cyber security; our ability to maintain effective information systems; our ability to pursue and properly integrate acquired businesses;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2016 and its quarterly reports on Form 10-Q for the quarters ended March 31, 2017, June 30, 2017 and September 30, 2017.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Tiffany B. Kice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420"/>
          </w:cols>
          <w:pgMar w:left="240" w:top="621"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ind w:right="3460"/>
        <w:spacing w:after="0" w:line="248" w:lineRule="auto"/>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25,334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23,447</w:t>
            </w:r>
          </w:p>
        </w:tc>
      </w:tr>
      <w:tr>
        <w:trPr>
          <w:trHeight w:val="243"/>
        </w:trPr>
        <w:tc>
          <w:tcPr>
            <w:tcW w:w="6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7,690</w:t>
            </w: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31,777</w:t>
            </w:r>
          </w:p>
        </w:tc>
      </w:tr>
      <w:tr>
        <w:trPr>
          <w:trHeight w:val="270"/>
        </w:trPr>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15,637</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w:t>
            </w: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1,903</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Legal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22,724</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9,053</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w:t>
            </w:r>
          </w:p>
        </w:tc>
      </w:tr>
      <w:tr>
        <w:trPr>
          <w:trHeight w:val="237"/>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5,887</w:t>
            </w:r>
          </w:p>
        </w:tc>
      </w:tr>
      <w:tr>
        <w:trPr>
          <w:trHeight w:val="67"/>
        </w:trPr>
        <w:tc>
          <w:tcPr>
            <w:tcW w:w="66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664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6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6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0.72</w:t>
            </w:r>
          </w:p>
        </w:tc>
      </w:tr>
      <w:tr>
        <w:trPr>
          <w:trHeight w:val="297"/>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8,171,809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8,167,277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7,995,680</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8,420,749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8,316,508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8,179,956</w:t>
            </w:r>
          </w:p>
        </w:tc>
      </w:tr>
      <w:tr>
        <w:trPr>
          <w:trHeight w:val="297"/>
        </w:trPr>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10,615</w:t>
            </w: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 EPS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6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r>
    </w:tbl>
    <w:p>
      <w:pPr>
        <w:sectPr>
          <w:pgSz w:w="11900" w:h="16838" w:orient="portrait"/>
          <w:cols w:equalWidth="0" w:num="1">
            <w:col w:w="11420"/>
          </w:cols>
          <w:pgMar w:left="240" w:top="6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ind w:right="3460"/>
        <w:spacing w:after="0" w:line="248" w:lineRule="auto"/>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67,928</w:t>
            </w:r>
          </w:p>
        </w:tc>
      </w:tr>
      <w:tr>
        <w:trPr>
          <w:trHeight w:val="243"/>
        </w:trPr>
        <w:tc>
          <w:tcPr>
            <w:tcW w:w="7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22,798</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91,929</w:t>
            </w: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47,239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1,423</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2,282</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6,039</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Legal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7,028</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23,211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shd w:val="clear" w:color="auto" w:fill="CCEEFF"/>
          </w:tcPr>
          <w:p>
            <w:pPr>
              <w:ind w:left="380"/>
              <w:spacing w:after="0" w:line="270" w:lineRule="exact"/>
              <w:rPr>
                <w:sz w:val="20"/>
                <w:szCs w:val="20"/>
                <w:color w:val="auto"/>
              </w:rPr>
            </w:pPr>
            <w:r>
              <w:rPr>
                <w:rFonts w:ascii="Times New Roman" w:cs="Times New Roman" w:eastAsia="Times New Roman" w:hAnsi="Times New Roman"/>
                <w:sz w:val="18"/>
                <w:szCs w:val="18"/>
                <w:color w:val="auto"/>
              </w:rPr>
              <w:t>Provision for income taxes</w:t>
            </w:r>
            <w:r>
              <w:rPr>
                <w:rFonts w:ascii="Times New Roman" w:cs="Times New Roman" w:eastAsia="Times New Roman" w:hAnsi="Times New Roman"/>
                <w:sz w:val="25"/>
                <w:szCs w:val="25"/>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17,092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15,070</w:t>
            </w:r>
          </w:p>
        </w:tc>
      </w:tr>
      <w:tr>
        <w:trPr>
          <w:trHeight w:val="67"/>
        </w:trPr>
        <w:tc>
          <w:tcPr>
            <w:tcW w:w="79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16,077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r>
      <w:tr>
        <w:trPr>
          <w:trHeight w:val="297"/>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8,136,350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7,952,938</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8,350,926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8,212,468</w:t>
            </w:r>
          </w:p>
        </w:tc>
      </w:tr>
      <w:tr>
        <w:trPr>
          <w:trHeight w:val="297"/>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29,094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182"/>
        </w:trPr>
        <w:tc>
          <w:tcPr>
            <w:tcW w:w="79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_____________________</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ind w:left="820" w:right="380" w:hanging="326"/>
        <w:spacing w:after="0" w:line="258" w:lineRule="auto"/>
        <w:tabs>
          <w:tab w:leader="none" w:pos="8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 adjusted tax rate for the first nine months of 2017 of 29.1% included a $1.0 million discrete tax benefit associated with the adoption of new accounting guidance related to stock–based compensation awards that vested during the first quarter of 2017.</w:t>
      </w:r>
    </w:p>
    <w:p>
      <w:pPr>
        <w:sectPr>
          <w:pgSz w:w="11900" w:h="16838" w:orient="portrait"/>
          <w:cols w:equalWidth="0" w:num="1">
            <w:col w:w="11420"/>
          </w:cols>
          <w:pgMar w:left="240" w:top="621" w:right="239" w:bottom="1440" w:gutter="0" w:footer="0" w:header="0"/>
        </w:sectPr>
      </w:pPr>
    </w:p>
    <w:bookmarkStart w:id="9" w:name="page10"/>
    <w:bookmarkEnd w:id="9"/>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CONDENSED CONSOLIDATED BALANCE SHEETS (in thousands, except par value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8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33,679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56,485</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w:t>
            </w:r>
          </w:p>
        </w:tc>
      </w:tr>
      <w:tr>
        <w:trPr>
          <w:trHeight w:val="23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130,697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115,957</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27,144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$5,354 and $4,590</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191,362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179,678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litigation settlement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6,679</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17,200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r>
      <w:tr>
        <w:trPr>
          <w:trHeight w:val="237"/>
        </w:trPr>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29,668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33,609</w:t>
            </w:r>
          </w:p>
        </w:tc>
      </w:tr>
      <w:tr>
        <w:trPr>
          <w:trHeight w:val="297"/>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5"/>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9,986,076 and outstanding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8,884,421 shares at September 30, 2017; issued 9,801,938 and outstanding 8,810,375 shares at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December 31, 2016</w:t>
            </w: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162,730</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- 1,101,655 shares at September 30, 2017; 991,563 shares at December 31, 2016</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31,881</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155,429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146,069</w:t>
            </w:r>
          </w:p>
        </w:tc>
      </w:tr>
      <w:tr>
        <w:trPr>
          <w:trHeight w:val="257"/>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191,362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179,678</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9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2016</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3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17,092</w:t>
            </w:r>
          </w:p>
        </w:tc>
        <w:tc>
          <w:tcPr>
            <w:tcW w:w="12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15,070</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722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732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1,449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1,470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Unrealized gains on trading investments</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12,298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12,164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1,481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114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26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18"/>
                <w:szCs w:val="18"/>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275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sales of investments- trading securities</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8,931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23,147</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1,686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(2,711)</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(3,881)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litigation settlement</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8,018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(6,758)</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Income taxes payable</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(4,637)</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154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7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tcPr>
          <w:p>
            <w:pPr>
              <w:spacing w:after="0"/>
              <w:rPr>
                <w:sz w:val="16"/>
                <w:szCs w:val="16"/>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39,447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38,997</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26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(5,629)</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Purchase of treasury stock under employee stock plans</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(1,326)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Restricted stock returned for payment of taxes</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260" w:type="dxa"/>
            <w:vAlign w:val="bottom"/>
          </w:tcPr>
          <w:p>
            <w:pPr>
              <w:spacing w:after="0"/>
              <w:rPr>
                <w:sz w:val="18"/>
                <w:szCs w:val="18"/>
                <w:color w:val="auto"/>
              </w:rPr>
            </w:pPr>
          </w:p>
        </w:tc>
        <w:tc>
          <w:tcPr>
            <w:tcW w:w="1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Payment of contingent consideration in acquisition</w:t>
            </w:r>
          </w:p>
        </w:tc>
        <w:tc>
          <w:tcPr>
            <w:tcW w:w="26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(5,562)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dividends</w:t>
            </w:r>
          </w:p>
        </w:tc>
        <w:tc>
          <w:tcPr>
            <w:tcW w:w="260" w:type="dxa"/>
            <w:vAlign w:val="bottom"/>
          </w:tcPr>
          <w:p>
            <w:pPr>
              <w:spacing w:after="0"/>
              <w:rPr>
                <w:sz w:val="18"/>
                <w:szCs w:val="18"/>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(16,787)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(14,827)</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(23,344)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(30,177)</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Effect of currency rate changes on cash</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2,191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812</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26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17,757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7,952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33,679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22,740</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51,436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30,692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10,245</w:t>
            </w:r>
          </w:p>
        </w:tc>
        <w:tc>
          <w:tcPr>
            <w:tcW w:w="12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12,632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Common stock issued for acquisition</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3,734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Accrued dividends</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8,161</w:t>
            </w:r>
          </w:p>
        </w:tc>
        <w:tc>
          <w:tcPr>
            <w:tcW w:w="12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7,682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Tenant allowance included in Property and equipment</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36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11" w:name="page12"/>
    <w:bookmarkEnd w:id="11"/>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Reconciliation of Net Income to Economic Earnings (in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4,132</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Stock based compensation expense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8,420,749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8,316,508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8,179,956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r>
      <w:tr>
        <w:trPr>
          <w:trHeight w:val="405"/>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15,070</w:t>
            </w:r>
          </w:p>
        </w:tc>
      </w:tr>
      <w:tr>
        <w:trPr>
          <w:trHeight w:val="243"/>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Stock based compensation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12,164</w:t>
            </w: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r>
      <w:tr>
        <w:trPr>
          <w:trHeight w:val="243"/>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8,350,926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8,212,468</w:t>
            </w:r>
          </w:p>
        </w:tc>
      </w:tr>
      <w:tr>
        <w:trPr>
          <w:trHeight w:val="243"/>
        </w:trPr>
        <w:tc>
          <w:tcPr>
            <w:tcW w:w="67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bl>
    <w:p>
      <w:pPr>
        <w:spacing w:after="0" w:line="2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2019-12-29T04:17:01Z</dcterms:created>
  <dcterms:modified xsi:type="dcterms:W3CDTF">2019-12-29T04:17:01Z</dcterms:modified>
</cp:coreProperties>
</file>