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6"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9"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w:t>
      </w:r>
    </w:p>
    <w:p>
      <w:pPr>
        <w:spacing w:after="0" w:line="15" w:lineRule="exact"/>
        <w:rPr>
          <w:sz w:val="24"/>
          <w:szCs w:val="24"/>
          <w:color w:val="auto"/>
        </w:rPr>
      </w:pPr>
    </w:p>
    <w:p>
      <w:pPr>
        <w:ind w:left="480" w:hanging="321"/>
        <w:spacing w:after="0"/>
        <w:tabs>
          <w:tab w:leader="none" w:pos="4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2025</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3" w:lineRule="exact"/>
        <w:rPr>
          <w:sz w:val="24"/>
          <w:szCs w:val="24"/>
          <w:color w:val="auto"/>
        </w:rPr>
      </w:pPr>
    </w:p>
    <w:p>
      <w:pPr>
        <w:ind w:left="480" w:hanging="311"/>
        <w:spacing w:after="0"/>
        <w:tabs>
          <w:tab w:leader="none" w:pos="4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56" w:lineRule="exact"/>
        <w:rPr>
          <w:sz w:val="24"/>
          <w:szCs w:val="24"/>
          <w:color w:val="auto"/>
        </w:rPr>
      </w:pPr>
    </w:p>
    <w:tbl>
      <w:tblPr>
        <w:tblLayout w:type="fixed"/>
        <w:tblInd w:w="4180" w:type="dxa"/>
        <w:tblCellMar>
          <w:top w:w="0" w:type="dxa"/>
          <w:left w:w="0" w:type="dxa"/>
          <w:bottom w:w="0" w:type="dxa"/>
          <w:right w:w="0" w:type="dxa"/>
        </w:tblCellMar>
      </w:tblPr>
      <w:tr>
        <w:trPr>
          <w:trHeight w:val="161"/>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420" w:type="dxa"/>
            <w:vAlign w:val="bottom"/>
          </w:tcPr>
          <w:p>
            <w:pPr>
              <w:spacing w:after="0"/>
              <w:rPr>
                <w:sz w:val="13"/>
                <w:szCs w:val="13"/>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8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6"/>
        </w:trPr>
        <w:tc>
          <w:tcPr>
            <w:tcW w:w="248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Commission file number 1-31234</w:t>
            </w: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ind w:left="21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WESTWOOD HOLDINGS GROUP,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7"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w:t>
      </w:r>
    </w:p>
    <w:p>
      <w:pPr>
        <w:spacing w:after="0" w:line="24" w:lineRule="exact"/>
        <w:rPr>
          <w:sz w:val="24"/>
          <w:szCs w:val="24"/>
          <w:color w:val="auto"/>
        </w:rPr>
      </w:pPr>
    </w:p>
    <w:tbl>
      <w:tblPr>
        <w:tblLayout w:type="fixed"/>
        <w:tblInd w:w="800" w:type="dxa"/>
        <w:tblCellMar>
          <w:top w:w="0" w:type="dxa"/>
          <w:left w:w="0" w:type="dxa"/>
          <w:bottom w:w="0" w:type="dxa"/>
          <w:right w:w="0" w:type="dxa"/>
        </w:tblCellMar>
      </w:tblPr>
      <w:tr>
        <w:trPr>
          <w:trHeight w:val="180"/>
        </w:trPr>
        <w:tc>
          <w:tcPr>
            <w:tcW w:w="3180" w:type="dxa"/>
            <w:vAlign w:val="bottom"/>
          </w:tcPr>
          <w:p>
            <w:pPr>
              <w:jc w:val="center"/>
              <w:ind w:right="395"/>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5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75-2969997</w:t>
            </w:r>
          </w:p>
        </w:tc>
      </w:tr>
      <w:tr>
        <w:trPr>
          <w:trHeight w:val="147"/>
        </w:trPr>
        <w:tc>
          <w:tcPr>
            <w:tcW w:w="3180" w:type="dxa"/>
            <w:vAlign w:val="bottom"/>
          </w:tcPr>
          <w:p>
            <w:pPr>
              <w:jc w:val="center"/>
              <w:ind w:right="415"/>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5920" w:type="dxa"/>
            <w:vAlign w:val="bottom"/>
          </w:tcPr>
          <w:p>
            <w:pPr>
              <w:jc w:val="center"/>
              <w:ind w:left="4296"/>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352"/>
        </w:trPr>
        <w:tc>
          <w:tcPr>
            <w:tcW w:w="3180" w:type="dxa"/>
            <w:vAlign w:val="bottom"/>
          </w:tcPr>
          <w:p>
            <w:pPr>
              <w:jc w:val="center"/>
              <w:ind w:right="395"/>
              <w:spacing w:after="0"/>
              <w:rPr>
                <w:sz w:val="20"/>
                <w:szCs w:val="20"/>
                <w:color w:val="auto"/>
              </w:rPr>
            </w:pPr>
            <w:r>
              <w:rPr>
                <w:rFonts w:ascii="Times New Roman" w:cs="Times New Roman" w:eastAsia="Times New Roman" w:hAnsi="Times New Roman"/>
                <w:sz w:val="14"/>
                <w:szCs w:val="14"/>
                <w:b w:val="1"/>
                <w:bCs w:val="1"/>
                <w:color w:val="auto"/>
              </w:rPr>
              <w:t>200 CRESCENT COURT, SUITE 1200</w:t>
            </w:r>
          </w:p>
        </w:tc>
        <w:tc>
          <w:tcPr>
            <w:tcW w:w="5920" w:type="dxa"/>
            <w:vAlign w:val="bottom"/>
          </w:tcPr>
          <w:p>
            <w:pPr>
              <w:spacing w:after="0"/>
              <w:rPr>
                <w:sz w:val="24"/>
                <w:szCs w:val="24"/>
                <w:color w:val="auto"/>
              </w:rPr>
            </w:pPr>
          </w:p>
        </w:tc>
      </w:tr>
      <w:tr>
        <w:trPr>
          <w:trHeight w:val="180"/>
        </w:trPr>
        <w:tc>
          <w:tcPr>
            <w:tcW w:w="318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DALLAS, Texas</w:t>
            </w:r>
          </w:p>
        </w:tc>
        <w:tc>
          <w:tcPr>
            <w:tcW w:w="59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75201</w:t>
            </w:r>
          </w:p>
        </w:tc>
      </w:tr>
      <w:tr>
        <w:trPr>
          <w:trHeight w:val="147"/>
        </w:trPr>
        <w:tc>
          <w:tcPr>
            <w:tcW w:w="3180" w:type="dxa"/>
            <w:vAlign w:val="bottom"/>
          </w:tcPr>
          <w:p>
            <w:pPr>
              <w:jc w:val="center"/>
              <w:ind w:right="395"/>
              <w:spacing w:after="0"/>
              <w:rPr>
                <w:sz w:val="20"/>
                <w:szCs w:val="20"/>
                <w:color w:val="auto"/>
              </w:rPr>
            </w:pPr>
            <w:r>
              <w:rPr>
                <w:rFonts w:ascii="Times New Roman" w:cs="Times New Roman" w:eastAsia="Times New Roman" w:hAnsi="Times New Roman"/>
                <w:sz w:val="11"/>
                <w:szCs w:val="11"/>
                <w:color w:val="auto"/>
              </w:rPr>
              <w:t>(Address of principal executive office)</w:t>
            </w:r>
          </w:p>
        </w:tc>
        <w:tc>
          <w:tcPr>
            <w:tcW w:w="5920" w:type="dxa"/>
            <w:vAlign w:val="bottom"/>
          </w:tcPr>
          <w:p>
            <w:pPr>
              <w:jc w:val="center"/>
              <w:ind w:left="4276"/>
              <w:spacing w:after="0"/>
              <w:rPr>
                <w:sz w:val="20"/>
                <w:szCs w:val="20"/>
                <w:color w:val="auto"/>
              </w:rPr>
            </w:pPr>
            <w:r>
              <w:rPr>
                <w:rFonts w:ascii="Times New Roman" w:cs="Times New Roman" w:eastAsia="Times New Roman" w:hAnsi="Times New Roman"/>
                <w:sz w:val="11"/>
                <w:szCs w:val="11"/>
                <w:color w:val="auto"/>
              </w:rPr>
              <w:t>(Zip Code)</w:t>
            </w:r>
          </w:p>
        </w:tc>
      </w:tr>
      <w:tr>
        <w:trPr>
          <w:trHeight w:val="288"/>
        </w:trPr>
        <w:tc>
          <w:tcPr>
            <w:tcW w:w="3180" w:type="dxa"/>
            <w:vAlign w:val="bottom"/>
          </w:tcPr>
          <w:p>
            <w:pPr>
              <w:spacing w:after="0"/>
              <w:rPr>
                <w:sz w:val="24"/>
                <w:szCs w:val="24"/>
                <w:color w:val="auto"/>
              </w:rPr>
            </w:pPr>
          </w:p>
        </w:tc>
        <w:tc>
          <w:tcPr>
            <w:tcW w:w="5920" w:type="dxa"/>
            <w:vAlign w:val="bottom"/>
          </w:tcPr>
          <w:p>
            <w:pPr>
              <w:jc w:val="right"/>
              <w:ind w:right="3756"/>
              <w:spacing w:after="0"/>
              <w:rPr>
                <w:sz w:val="20"/>
                <w:szCs w:val="20"/>
                <w:color w:val="auto"/>
              </w:rPr>
            </w:pPr>
            <w:r>
              <w:rPr>
                <w:rFonts w:ascii="Times New Roman" w:cs="Times New Roman" w:eastAsia="Times New Roman" w:hAnsi="Times New Roman"/>
                <w:sz w:val="14"/>
                <w:szCs w:val="14"/>
                <w:b w:val="1"/>
                <w:bCs w:val="1"/>
                <w:color w:val="auto"/>
              </w:rPr>
              <w:t>(214) 756-6900</w:t>
            </w:r>
          </w:p>
        </w:tc>
      </w:tr>
      <w:tr>
        <w:trPr>
          <w:trHeight w:val="147"/>
        </w:trPr>
        <w:tc>
          <w:tcPr>
            <w:tcW w:w="3180" w:type="dxa"/>
            <w:vAlign w:val="bottom"/>
          </w:tcPr>
          <w:p>
            <w:pPr>
              <w:spacing w:after="0"/>
              <w:rPr>
                <w:sz w:val="12"/>
                <w:szCs w:val="12"/>
                <w:color w:val="auto"/>
              </w:rPr>
            </w:pPr>
          </w:p>
        </w:tc>
        <w:tc>
          <w:tcPr>
            <w:tcW w:w="5920" w:type="dxa"/>
            <w:vAlign w:val="bottom"/>
          </w:tcPr>
          <w:p>
            <w:pPr>
              <w:jc w:val="center"/>
              <w:ind w:right="2536"/>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tc>
      </w:tr>
    </w:tbl>
    <w:p>
      <w:pPr>
        <w:ind w:left="21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w:t>
      </w:r>
    </w:p>
    <w:p>
      <w:pPr>
        <w:spacing w:after="0" w:line="40" w:lineRule="exact"/>
        <w:rPr>
          <w:sz w:val="24"/>
          <w:szCs w:val="24"/>
          <w:color w:val="auto"/>
        </w:rPr>
      </w:pPr>
    </w:p>
    <w:tbl>
      <w:tblPr>
        <w:tblLayout w:type="fixed"/>
        <w:tblInd w:w="1140" w:type="dxa"/>
        <w:tblCellMar>
          <w:top w:w="0" w:type="dxa"/>
          <w:left w:w="0" w:type="dxa"/>
          <w:bottom w:w="0" w:type="dxa"/>
          <w:right w:w="0" w:type="dxa"/>
        </w:tblCellMar>
      </w:tblPr>
      <w:tr>
        <w:trPr>
          <w:trHeight w:val="149"/>
        </w:trPr>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(Former name, former address and former fiscal year, if changed since last report)</w:t>
            </w:r>
          </w:p>
        </w:tc>
        <w:tc>
          <w:tcPr>
            <w:tcW w:w="2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0"/>
        </w:trPr>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500" w:type="dxa"/>
            <w:vAlign w:val="bottom"/>
          </w:tcPr>
          <w:p>
            <w:pPr>
              <w:spacing w:after="0"/>
              <w:rPr>
                <w:sz w:val="12"/>
                <w:szCs w:val="12"/>
                <w:color w:val="auto"/>
              </w:rPr>
            </w:pPr>
          </w:p>
        </w:tc>
        <w:tc>
          <w:tcPr>
            <w:tcW w:w="1700" w:type="dxa"/>
            <w:vAlign w:val="bottom"/>
            <w:gridSpan w:val="2"/>
          </w:tcPr>
          <w:p>
            <w:pPr>
              <w:jc w:val="center"/>
              <w:ind w:right="840"/>
              <w:spacing w:after="0"/>
              <w:rPr>
                <w:sz w:val="20"/>
                <w:szCs w:val="20"/>
                <w:color w:val="auto"/>
              </w:rPr>
            </w:pPr>
            <w:r>
              <w:rPr>
                <w:rFonts w:ascii="Times New Roman" w:cs="Times New Roman" w:eastAsia="Times New Roman" w:hAnsi="Times New Roman"/>
                <w:sz w:val="11"/>
                <w:szCs w:val="11"/>
                <w:color w:val="auto"/>
              </w:rPr>
              <w:t>Title of Each Class</w:t>
            </w:r>
          </w:p>
        </w:tc>
        <w:tc>
          <w:tcPr>
            <w:tcW w:w="1920" w:type="dxa"/>
            <w:vAlign w:val="bottom"/>
          </w:tcPr>
          <w:p>
            <w:pPr>
              <w:spacing w:after="0"/>
              <w:rPr>
                <w:sz w:val="12"/>
                <w:szCs w:val="12"/>
                <w:color w:val="auto"/>
              </w:rPr>
            </w:pPr>
          </w:p>
        </w:tc>
        <w:tc>
          <w:tcPr>
            <w:tcW w:w="2880" w:type="dxa"/>
            <w:vAlign w:val="bottom"/>
            <w:gridSpan w:val="2"/>
          </w:tcPr>
          <w:p>
            <w:pPr>
              <w:jc w:val="center"/>
              <w:ind w:right="2140"/>
              <w:spacing w:after="0"/>
              <w:rPr>
                <w:sz w:val="20"/>
                <w:szCs w:val="20"/>
                <w:color w:val="auto"/>
              </w:rPr>
            </w:pPr>
            <w:r>
              <w:rPr>
                <w:rFonts w:ascii="Times New Roman" w:cs="Times New Roman" w:eastAsia="Times New Roman" w:hAnsi="Times New Roman"/>
                <w:sz w:val="11"/>
                <w:szCs w:val="11"/>
                <w:color w:val="auto"/>
              </w:rPr>
              <w:t>Trading Symbol</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20"/>
        </w:trPr>
        <w:tc>
          <w:tcPr>
            <w:tcW w:w="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2200" w:type="dxa"/>
            <w:vAlign w:val="bottom"/>
            <w:gridSpan w:val="3"/>
          </w:tcPr>
          <w:p>
            <w:pPr>
              <w:jc w:val="center"/>
              <w:ind w:right="320"/>
              <w:spacing w:after="0"/>
              <w:rPr>
                <w:sz w:val="20"/>
                <w:szCs w:val="20"/>
                <w:color w:val="auto"/>
              </w:rPr>
            </w:pPr>
            <w:r>
              <w:rPr>
                <w:rFonts w:ascii="Times New Roman" w:cs="Times New Roman" w:eastAsia="Times New Roman" w:hAnsi="Times New Roman"/>
                <w:sz w:val="11"/>
                <w:szCs w:val="11"/>
                <w:color w:val="auto"/>
              </w:rPr>
              <w:t>Common stock, par value $0.01 per share</w:t>
            </w:r>
          </w:p>
        </w:tc>
        <w:tc>
          <w:tcPr>
            <w:tcW w:w="1920" w:type="dxa"/>
            <w:vAlign w:val="bottom"/>
          </w:tcPr>
          <w:p>
            <w:pPr>
              <w:spacing w:after="0"/>
              <w:rPr>
                <w:sz w:val="14"/>
                <w:szCs w:val="14"/>
                <w:color w:val="auto"/>
              </w:rPr>
            </w:pPr>
          </w:p>
        </w:tc>
        <w:tc>
          <w:tcPr>
            <w:tcW w:w="2880" w:type="dxa"/>
            <w:vAlign w:val="bottom"/>
            <w:gridSpan w:val="2"/>
          </w:tcPr>
          <w:p>
            <w:pPr>
              <w:jc w:val="center"/>
              <w:ind w:right="2140"/>
              <w:spacing w:after="0"/>
              <w:rPr>
                <w:sz w:val="20"/>
                <w:szCs w:val="20"/>
                <w:color w:val="auto"/>
              </w:rPr>
            </w:pPr>
            <w:r>
              <w:rPr>
                <w:rFonts w:ascii="Times New Roman" w:cs="Times New Roman" w:eastAsia="Times New Roman" w:hAnsi="Times New Roman"/>
                <w:sz w:val="11"/>
                <w:szCs w:val="11"/>
                <w:color w:val="auto"/>
                <w:w w:val="98"/>
              </w:rPr>
              <w:t>WHG</w:t>
            </w:r>
          </w:p>
        </w:tc>
        <w:tc>
          <w:tcPr>
            <w:tcW w:w="212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color w:val="auto"/>
              </w:rPr>
              <w:t>New York Stock Exchange</w:t>
            </w:r>
          </w:p>
        </w:tc>
      </w:tr>
    </w:tbl>
    <w:p>
      <w:pPr>
        <w:spacing w:after="0" w:line="118" w:lineRule="exact"/>
        <w:rPr>
          <w:sz w:val="24"/>
          <w:szCs w:val="24"/>
          <w:color w:val="auto"/>
        </w:rPr>
      </w:pPr>
    </w:p>
    <w:p>
      <w:pPr>
        <w:spacing w:after="0" w:line="15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5" w:lineRule="exact"/>
        <w:rPr>
          <w:sz w:val="24"/>
          <w:szCs w:val="24"/>
          <w:color w:val="auto"/>
        </w:rPr>
      </w:pPr>
    </w:p>
    <w:p>
      <w:pPr>
        <w:ind w:right="160"/>
        <w:spacing w:after="0" w:line="15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6" w:lineRule="exact"/>
        <w:rPr>
          <w:sz w:val="24"/>
          <w:szCs w:val="24"/>
          <w:color w:val="auto"/>
        </w:rPr>
      </w:pPr>
    </w:p>
    <w:p>
      <w:pPr>
        <w:ind w:right="20"/>
        <w:spacing w:after="0" w:line="277"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91"/>
        </w:trPr>
        <w:tc>
          <w:tcPr>
            <w:tcW w:w="172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480" w:type="dxa"/>
            <w:vAlign w:val="bottom"/>
          </w:tcPr>
          <w:p>
            <w:pPr>
              <w:ind w:left="700"/>
              <w:spacing w:after="0" w:line="111" w:lineRule="exact"/>
              <w:rPr>
                <w:sz w:val="20"/>
                <w:szCs w:val="20"/>
                <w:color w:val="auto"/>
              </w:rPr>
            </w:pPr>
            <w:r>
              <w:rPr>
                <w:rFonts w:ascii="MS PGothic" w:cs="MS PGothic" w:eastAsia="MS PGothic" w:hAnsi="MS PGothic"/>
                <w:sz w:val="11"/>
                <w:szCs w:val="11"/>
                <w:color w:val="auto"/>
              </w:rPr>
              <w:t>☐</w:t>
            </w:r>
          </w:p>
        </w:tc>
        <w:tc>
          <w:tcPr>
            <w:tcW w:w="4820" w:type="dxa"/>
            <w:vAlign w:val="bottom"/>
          </w:tcPr>
          <w:p>
            <w:pPr>
              <w:ind w:left="2660"/>
              <w:spacing w:after="0"/>
              <w:rPr>
                <w:sz w:val="20"/>
                <w:szCs w:val="20"/>
                <w:color w:val="auto"/>
              </w:rPr>
            </w:pPr>
            <w:r>
              <w:rPr>
                <w:rFonts w:ascii="Times New Roman" w:cs="Times New Roman" w:eastAsia="Times New Roman" w:hAnsi="Times New Roman"/>
                <w:sz w:val="11"/>
                <w:szCs w:val="11"/>
                <w:color w:val="auto"/>
              </w:rPr>
              <w:t>Accelerated filer</w:t>
            </w:r>
          </w:p>
        </w:tc>
        <w:tc>
          <w:tcPr>
            <w:tcW w:w="1020" w:type="dxa"/>
            <w:vAlign w:val="bottom"/>
          </w:tcPr>
          <w:p>
            <w:pPr>
              <w:ind w:left="9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2"/>
        </w:trPr>
        <w:tc>
          <w:tcPr>
            <w:tcW w:w="172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480" w:type="dxa"/>
            <w:vAlign w:val="bottom"/>
          </w:tcPr>
          <w:p>
            <w:pPr>
              <w:ind w:left="700"/>
              <w:spacing w:after="0" w:line="111" w:lineRule="exact"/>
              <w:rPr>
                <w:sz w:val="20"/>
                <w:szCs w:val="20"/>
                <w:color w:val="auto"/>
              </w:rPr>
            </w:pPr>
            <w:r>
              <w:rPr>
                <w:rFonts w:ascii="MS PGothic" w:cs="MS PGothic" w:eastAsia="MS PGothic" w:hAnsi="MS PGothic"/>
                <w:sz w:val="11"/>
                <w:szCs w:val="11"/>
                <w:color w:val="auto"/>
              </w:rPr>
              <w:t>☒</w:t>
            </w:r>
          </w:p>
        </w:tc>
        <w:tc>
          <w:tcPr>
            <w:tcW w:w="4820" w:type="dxa"/>
            <w:vAlign w:val="bottom"/>
          </w:tcPr>
          <w:p>
            <w:pPr>
              <w:ind w:left="266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1020" w:type="dxa"/>
            <w:vAlign w:val="bottom"/>
          </w:tcPr>
          <w:p>
            <w:pPr>
              <w:ind w:left="9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2"/>
        </w:trPr>
        <w:tc>
          <w:tcPr>
            <w:tcW w:w="17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820" w:type="dxa"/>
            <w:vAlign w:val="bottom"/>
          </w:tcPr>
          <w:p>
            <w:pPr>
              <w:ind w:left="2660"/>
              <w:spacing w:after="0"/>
              <w:rPr>
                <w:sz w:val="20"/>
                <w:szCs w:val="20"/>
                <w:color w:val="auto"/>
              </w:rPr>
            </w:pPr>
            <w:r>
              <w:rPr>
                <w:rFonts w:ascii="Times New Roman" w:cs="Times New Roman" w:eastAsia="Times New Roman" w:hAnsi="Times New Roman"/>
                <w:sz w:val="11"/>
                <w:szCs w:val="11"/>
                <w:color w:val="auto"/>
              </w:rPr>
              <w:t>Emerging growth company</w:t>
            </w:r>
          </w:p>
        </w:tc>
        <w:tc>
          <w:tcPr>
            <w:tcW w:w="1020" w:type="dxa"/>
            <w:vAlign w:val="bottom"/>
          </w:tcPr>
          <w:p>
            <w:pPr>
              <w:ind w:left="9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64" w:lineRule="exact"/>
        <w:rPr>
          <w:sz w:val="24"/>
          <w:szCs w:val="24"/>
          <w:color w:val="auto"/>
        </w:rPr>
      </w:pPr>
    </w:p>
    <w:p>
      <w:pPr>
        <w:ind w:right="160"/>
        <w:spacing w:after="0" w:line="191"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Indicate by check mark whether the registrant is a shell company (as defined in Rule 12b-2 of the Exchange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Shares of common stock, par value $0.01 per share, outstanding as of August 1, 2025: 9,408,130.</w:t>
      </w:r>
    </w:p>
    <w:p>
      <w:pPr>
        <w:spacing w:after="0" w:line="20"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625475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83"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tc>
        <w:tc>
          <w:tcPr>
            <w:tcW w:w="2460" w:type="dxa"/>
            <w:vAlign w:val="bottom"/>
          </w:tcPr>
          <w:p>
            <w:pPr>
              <w:spacing w:after="0"/>
              <w:rPr>
                <w:sz w:val="16"/>
                <w:szCs w:val="16"/>
                <w:color w:val="auto"/>
              </w:rPr>
            </w:pPr>
          </w:p>
        </w:tc>
      </w:tr>
      <w:tr>
        <w:trPr>
          <w:trHeight w:val="255"/>
        </w:trPr>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INDEX</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2460" w:type="dxa"/>
            <w:vAlign w:val="bottom"/>
          </w:tcPr>
          <w:p>
            <w:pPr>
              <w:spacing w:after="0"/>
              <w:rPr>
                <w:sz w:val="22"/>
                <w:szCs w:val="22"/>
                <w:color w:val="auto"/>
              </w:rPr>
            </w:pPr>
          </w:p>
        </w:tc>
      </w:tr>
      <w:tr>
        <w:trPr>
          <w:trHeight w:val="389"/>
        </w:trPr>
        <w:tc>
          <w:tcPr>
            <w:tcW w:w="6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PART I</w:t>
            </w:r>
          </w:p>
        </w:tc>
        <w:tc>
          <w:tcPr>
            <w:tcW w:w="7700" w:type="dxa"/>
            <w:vAlign w:val="bottom"/>
            <w:gridSpan w:val="14"/>
          </w:tcPr>
          <w:p>
            <w:pPr>
              <w:spacing w:after="0"/>
              <w:rPr>
                <w:sz w:val="20"/>
                <w:szCs w:val="20"/>
                <w:color w:val="auto"/>
              </w:rPr>
            </w:pPr>
            <w:r>
              <w:rPr>
                <w:rFonts w:ascii="Times New Roman" w:cs="Times New Roman" w:eastAsia="Times New Roman" w:hAnsi="Times New Roman"/>
                <w:sz w:val="13"/>
                <w:szCs w:val="13"/>
                <w:color w:val="auto"/>
              </w:rPr>
              <w:t>FINANCIAL INFORMATION</w:t>
            </w:r>
          </w:p>
        </w:tc>
        <w:tc>
          <w:tcPr>
            <w:tcW w:w="246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PAGE</w:t>
            </w:r>
          </w:p>
        </w:tc>
      </w:tr>
      <w:tr>
        <w:trPr>
          <w:trHeight w:val="255"/>
        </w:trPr>
        <w:tc>
          <w:tcPr>
            <w:tcW w:w="60" w:type="dxa"/>
            <w:vAlign w:val="bottom"/>
          </w:tcPr>
          <w:p>
            <w:pPr>
              <w:spacing w:after="0"/>
              <w:rPr>
                <w:sz w:val="22"/>
                <w:szCs w:val="22"/>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1.</w:t>
            </w:r>
          </w:p>
        </w:tc>
        <w:tc>
          <w:tcPr>
            <w:tcW w:w="7700" w:type="dxa"/>
            <w:vAlign w:val="bottom"/>
            <w:gridSpan w:val="14"/>
          </w:tcPr>
          <w:p>
            <w:pPr>
              <w:spacing w:after="0"/>
              <w:rPr>
                <w:sz w:val="20"/>
                <w:szCs w:val="20"/>
                <w:color w:val="auto"/>
              </w:rPr>
            </w:pPr>
            <w:r>
              <w:rPr>
                <w:rFonts w:ascii="Times New Roman" w:cs="Times New Roman" w:eastAsia="Times New Roman" w:hAnsi="Times New Roman"/>
                <w:sz w:val="13"/>
                <w:szCs w:val="13"/>
                <w:color w:val="auto"/>
              </w:rPr>
              <w:t>Financial Statements</w:t>
            </w:r>
          </w:p>
        </w:tc>
        <w:tc>
          <w:tcPr>
            <w:tcW w:w="2460" w:type="dxa"/>
            <w:vAlign w:val="bottom"/>
          </w:tcPr>
          <w:p>
            <w:pPr>
              <w:spacing w:after="0"/>
              <w:rPr>
                <w:sz w:val="22"/>
                <w:szCs w:val="22"/>
                <w:color w:val="auto"/>
              </w:rPr>
            </w:pPr>
          </w:p>
        </w:tc>
      </w:tr>
      <w:tr>
        <w:trPr>
          <w:trHeight w:val="227"/>
        </w:trPr>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3"/>
                <w:szCs w:val="13"/>
                <w:color w:val="0000FF"/>
                <w:w w:val="97"/>
              </w:rPr>
              <w:t>Condensed Consolidated Balance Sheets</w:t>
            </w:r>
          </w:p>
        </w:tc>
        <w:tc>
          <w:tcPr>
            <w:tcW w:w="5620" w:type="dxa"/>
            <w:vAlign w:val="bottom"/>
            <w:gridSpan w:val="8"/>
          </w:tcPr>
          <w:p>
            <w:pPr>
              <w:spacing w:after="0"/>
              <w:rPr>
                <w:sz w:val="19"/>
                <w:szCs w:val="19"/>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w:t>
            </w:r>
          </w:p>
        </w:tc>
      </w:tr>
      <w:tr>
        <w:trPr>
          <w:trHeight w:val="192"/>
        </w:trPr>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3"/>
                <w:szCs w:val="13"/>
                <w:color w:val="0000FF"/>
                <w:w w:val="97"/>
              </w:rPr>
              <w:t>Condensed Consolidated Statements of Operations</w:t>
            </w:r>
          </w:p>
        </w:tc>
        <w:tc>
          <w:tcPr>
            <w:tcW w:w="5100" w:type="dxa"/>
            <w:vAlign w:val="bottom"/>
            <w:gridSpan w:val="7"/>
          </w:tcPr>
          <w:p>
            <w:pPr>
              <w:spacing w:after="0"/>
              <w:rPr>
                <w:sz w:val="16"/>
                <w:szCs w:val="16"/>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w:t>
            </w:r>
          </w:p>
        </w:tc>
      </w:tr>
      <w:tr>
        <w:trPr>
          <w:trHeight w:val="192"/>
        </w:trPr>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1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3"/>
                <w:szCs w:val="13"/>
                <w:color w:val="0000FF"/>
                <w:w w:val="97"/>
              </w:rPr>
              <w:t>Condensed Consolidated Statements of Stockholders’ Equity</w:t>
            </w:r>
          </w:p>
        </w:tc>
        <w:tc>
          <w:tcPr>
            <w:tcW w:w="4580" w:type="dxa"/>
            <w:vAlign w:val="bottom"/>
            <w:gridSpan w:val="2"/>
          </w:tcPr>
          <w:p>
            <w:pPr>
              <w:spacing w:after="0"/>
              <w:rPr>
                <w:sz w:val="16"/>
                <w:szCs w:val="16"/>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3</w:t>
            </w:r>
          </w:p>
        </w:tc>
      </w:tr>
      <w:tr>
        <w:trPr>
          <w:trHeight w:val="192"/>
        </w:trPr>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3"/>
                <w:szCs w:val="13"/>
                <w:color w:val="0000FF"/>
                <w:w w:val="97"/>
              </w:rPr>
              <w:t>Condensed Consolidated Statements of Cash Flows</w:t>
            </w:r>
          </w:p>
        </w:tc>
        <w:tc>
          <w:tcPr>
            <w:tcW w:w="5060" w:type="dxa"/>
            <w:vAlign w:val="bottom"/>
            <w:gridSpan w:val="6"/>
          </w:tcPr>
          <w:p>
            <w:pPr>
              <w:spacing w:after="0"/>
              <w:rPr>
                <w:sz w:val="16"/>
                <w:szCs w:val="16"/>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5</w:t>
            </w:r>
          </w:p>
        </w:tc>
      </w:tr>
      <w:tr>
        <w:trPr>
          <w:trHeight w:val="192"/>
        </w:trPr>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70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Notes to Condensed Consolidated Financial Statements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6</w:t>
            </w:r>
          </w:p>
        </w:tc>
      </w:tr>
      <w:tr>
        <w:trPr>
          <w:trHeight w:val="20"/>
        </w:trPr>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2"/>
        </w:trPr>
        <w:tc>
          <w:tcPr>
            <w:tcW w:w="6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2.</w:t>
            </w:r>
          </w:p>
        </w:tc>
        <w:tc>
          <w:tcPr>
            <w:tcW w:w="45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3"/>
                <w:szCs w:val="13"/>
                <w:color w:val="0000FF"/>
                <w:w w:val="97"/>
              </w:rPr>
              <w:t>Management’s Discussion and Analysis of Financial Condition and Results of Operations</w:t>
            </w:r>
          </w:p>
        </w:tc>
        <w:tc>
          <w:tcPr>
            <w:tcW w:w="3120" w:type="dxa"/>
            <w:vAlign w:val="bottom"/>
          </w:tcPr>
          <w:p>
            <w:pPr>
              <w:spacing w:after="0"/>
              <w:rPr>
                <w:sz w:val="16"/>
                <w:szCs w:val="16"/>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16</w:t>
            </w:r>
          </w:p>
        </w:tc>
      </w:tr>
      <w:tr>
        <w:trPr>
          <w:trHeight w:val="192"/>
        </w:trPr>
        <w:tc>
          <w:tcPr>
            <w:tcW w:w="6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3.</w:t>
            </w:r>
          </w:p>
        </w:tc>
        <w:tc>
          <w:tcPr>
            <w:tcW w:w="31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3"/>
                <w:szCs w:val="13"/>
                <w:color w:val="0000FF"/>
                <w:w w:val="97"/>
              </w:rPr>
              <w:t>Quantitative and Qualitative Disclosures About Market Risk</w:t>
            </w:r>
          </w:p>
        </w:tc>
        <w:tc>
          <w:tcPr>
            <w:tcW w:w="4600" w:type="dxa"/>
            <w:vAlign w:val="bottom"/>
            <w:gridSpan w:val="3"/>
          </w:tcPr>
          <w:p>
            <w:pPr>
              <w:spacing w:after="0"/>
              <w:rPr>
                <w:sz w:val="16"/>
                <w:szCs w:val="16"/>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23</w:t>
            </w:r>
          </w:p>
        </w:tc>
      </w:tr>
      <w:tr>
        <w:trPr>
          <w:trHeight w:val="192"/>
        </w:trPr>
        <w:tc>
          <w:tcPr>
            <w:tcW w:w="6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4.</w:t>
            </w:r>
          </w:p>
        </w:tc>
        <w:tc>
          <w:tcPr>
            <w:tcW w:w="12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3"/>
                <w:szCs w:val="13"/>
                <w:color w:val="0000FF"/>
                <w:w w:val="96"/>
              </w:rPr>
              <w:t>Controls and Procedures</w:t>
            </w:r>
          </w:p>
        </w:tc>
        <w:tc>
          <w:tcPr>
            <w:tcW w:w="6440" w:type="dxa"/>
            <w:vAlign w:val="bottom"/>
            <w:gridSpan w:val="10"/>
          </w:tcPr>
          <w:p>
            <w:pPr>
              <w:spacing w:after="0"/>
              <w:rPr>
                <w:sz w:val="16"/>
                <w:szCs w:val="16"/>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23</w:t>
            </w:r>
          </w:p>
        </w:tc>
      </w:tr>
      <w:tr>
        <w:trPr>
          <w:trHeight w:val="192"/>
        </w:trPr>
        <w:tc>
          <w:tcPr>
            <w:tcW w:w="6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PART II</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3"/>
                <w:szCs w:val="13"/>
                <w:color w:val="0000FF"/>
                <w:w w:val="95"/>
              </w:rPr>
              <w:t>OTHER INFORMATION</w:t>
            </w:r>
          </w:p>
        </w:tc>
        <w:tc>
          <w:tcPr>
            <w:tcW w:w="6360" w:type="dxa"/>
            <w:vAlign w:val="bottom"/>
            <w:gridSpan w:val="9"/>
          </w:tcPr>
          <w:p>
            <w:pPr>
              <w:spacing w:after="0"/>
              <w:rPr>
                <w:sz w:val="16"/>
                <w:szCs w:val="16"/>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24</w:t>
            </w:r>
          </w:p>
        </w:tc>
      </w:tr>
      <w:tr>
        <w:trPr>
          <w:trHeight w:val="192"/>
        </w:trPr>
        <w:tc>
          <w:tcPr>
            <w:tcW w:w="6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1.</w:t>
            </w:r>
          </w:p>
        </w:tc>
        <w:tc>
          <w:tcPr>
            <w:tcW w:w="770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Legal Proceedings</w:t>
            </w:r>
          </w:p>
        </w:tc>
        <w:tc>
          <w:tcPr>
            <w:tcW w:w="24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24</w:t>
            </w:r>
          </w:p>
        </w:tc>
      </w:tr>
      <w:tr>
        <w:trPr>
          <w:trHeight w:val="192"/>
        </w:trPr>
        <w:tc>
          <w:tcPr>
            <w:tcW w:w="6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1A.</w:t>
            </w:r>
          </w:p>
        </w:tc>
        <w:tc>
          <w:tcPr>
            <w:tcW w:w="9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3"/>
                <w:szCs w:val="13"/>
                <w:color w:val="0000FF"/>
              </w:rPr>
              <w:t>Risk Factors</w:t>
            </w:r>
          </w:p>
        </w:tc>
        <w:tc>
          <w:tcPr>
            <w:tcW w:w="6760" w:type="dxa"/>
            <w:vAlign w:val="bottom"/>
            <w:gridSpan w:val="11"/>
          </w:tcPr>
          <w:p>
            <w:pPr>
              <w:spacing w:after="0"/>
              <w:rPr>
                <w:sz w:val="16"/>
                <w:szCs w:val="16"/>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24</w:t>
            </w:r>
          </w:p>
        </w:tc>
      </w:tr>
      <w:tr>
        <w:trPr>
          <w:trHeight w:val="20"/>
        </w:trPr>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40" w:type="dxa"/>
            <w:vAlign w:val="bottom"/>
            <w:gridSpan w:val="8"/>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2"/>
        </w:trPr>
        <w:tc>
          <w:tcPr>
            <w:tcW w:w="6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2.</w:t>
            </w:r>
          </w:p>
        </w:tc>
        <w:tc>
          <w:tcPr>
            <w:tcW w:w="30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3"/>
                <w:szCs w:val="13"/>
                <w:color w:val="0000FF"/>
                <w:w w:val="97"/>
              </w:rPr>
              <w:t>Unregistered Sales of Equity Securities and Use of Proceeds</w:t>
            </w:r>
          </w:p>
        </w:tc>
        <w:tc>
          <w:tcPr>
            <w:tcW w:w="4620" w:type="dxa"/>
            <w:vAlign w:val="bottom"/>
            <w:gridSpan w:val="4"/>
          </w:tcPr>
          <w:p>
            <w:pPr>
              <w:spacing w:after="0"/>
              <w:rPr>
                <w:sz w:val="16"/>
                <w:szCs w:val="16"/>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24</w:t>
            </w:r>
          </w:p>
        </w:tc>
      </w:tr>
      <w:tr>
        <w:trPr>
          <w:trHeight w:val="192"/>
        </w:trPr>
        <w:tc>
          <w:tcPr>
            <w:tcW w:w="6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6.</w:t>
            </w:r>
          </w:p>
        </w:tc>
        <w:tc>
          <w:tcPr>
            <w:tcW w:w="770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Exhibits</w:t>
            </w:r>
          </w:p>
        </w:tc>
        <w:tc>
          <w:tcPr>
            <w:tcW w:w="24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25</w:t>
            </w:r>
          </w:p>
        </w:tc>
      </w:tr>
      <w:tr>
        <w:trPr>
          <w:trHeight w:val="192"/>
        </w:trPr>
        <w:tc>
          <w:tcPr>
            <w:tcW w:w="6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Signatures</w:t>
            </w:r>
          </w:p>
        </w:tc>
        <w:tc>
          <w:tcPr>
            <w:tcW w:w="420" w:type="dxa"/>
            <w:vAlign w:val="bottom"/>
            <w:tcBorders>
              <w:top w:val="single" w:sz="8" w:color="0000FF"/>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26</w:t>
            </w:r>
          </w:p>
        </w:tc>
      </w:tr>
      <w:tr>
        <w:trPr>
          <w:trHeight w:val="2305"/>
        </w:trPr>
        <w:tc>
          <w:tcPr>
            <w:tcW w:w="6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par value and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42"/>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r>
      <w:tr>
        <w:trPr>
          <w:trHeight w:val="157"/>
        </w:trPr>
        <w:tc>
          <w:tcPr>
            <w:tcW w:w="7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420" w:type="dxa"/>
            <w:vAlign w:val="bottom"/>
          </w:tcPr>
          <w:p>
            <w:pPr>
              <w:jc w:val="right"/>
              <w:ind w:right="130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15,403</w:t>
            </w:r>
          </w:p>
        </w:tc>
        <w:tc>
          <w:tcPr>
            <w:tcW w:w="10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18,847</w:t>
            </w:r>
          </w:p>
        </w:tc>
      </w:tr>
      <w:tr>
        <w:trPr>
          <w:trHeight w:val="161"/>
        </w:trPr>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Accounts receivable</w:t>
            </w:r>
          </w:p>
        </w:tc>
        <w:tc>
          <w:tcPr>
            <w:tcW w:w="14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15,331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14,453</w:t>
            </w:r>
          </w:p>
        </w:tc>
      </w:tr>
      <w:tr>
        <w:trPr>
          <w:trHeight w:val="157"/>
        </w:trPr>
        <w:tc>
          <w:tcPr>
            <w:tcW w:w="7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Investments, at fair value (amortized cost of $18,316 and $26,788)</w:t>
            </w:r>
          </w:p>
        </w:tc>
        <w:tc>
          <w:tcPr>
            <w:tcW w:w="14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19,768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27,694</w:t>
            </w:r>
          </w:p>
        </w:tc>
      </w:tr>
      <w:tr>
        <w:trPr>
          <w:trHeight w:val="161"/>
        </w:trPr>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Investments under measurement alternative</w:t>
            </w:r>
          </w:p>
        </w:tc>
        <w:tc>
          <w:tcPr>
            <w:tcW w:w="14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11,747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10,747</w:t>
            </w:r>
          </w:p>
        </w:tc>
      </w:tr>
      <w:tr>
        <w:trPr>
          <w:trHeight w:val="157"/>
        </w:trPr>
        <w:tc>
          <w:tcPr>
            <w:tcW w:w="7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Equity method investments</w:t>
            </w:r>
          </w:p>
        </w:tc>
        <w:tc>
          <w:tcPr>
            <w:tcW w:w="14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4,197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4,250</w:t>
            </w:r>
          </w:p>
        </w:tc>
      </w:tr>
      <w:tr>
        <w:trPr>
          <w:trHeight w:val="161"/>
        </w:trPr>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Income taxes receivable</w:t>
            </w:r>
          </w:p>
        </w:tc>
        <w:tc>
          <w:tcPr>
            <w:tcW w:w="14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w:t>
            </w:r>
          </w:p>
        </w:tc>
      </w:tr>
      <w:tr>
        <w:trPr>
          <w:trHeight w:val="157"/>
        </w:trPr>
        <w:tc>
          <w:tcPr>
            <w:tcW w:w="7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Other assets</w:t>
            </w:r>
          </w:p>
        </w:tc>
        <w:tc>
          <w:tcPr>
            <w:tcW w:w="14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7,076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6,780</w:t>
            </w:r>
          </w:p>
        </w:tc>
      </w:tr>
      <w:tr>
        <w:trPr>
          <w:trHeight w:val="161"/>
        </w:trPr>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Goodwill</w:t>
            </w:r>
          </w:p>
        </w:tc>
        <w:tc>
          <w:tcPr>
            <w:tcW w:w="14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39,501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39,501</w:t>
            </w:r>
          </w:p>
        </w:tc>
      </w:tr>
      <w:tr>
        <w:trPr>
          <w:trHeight w:val="157"/>
        </w:trPr>
        <w:tc>
          <w:tcPr>
            <w:tcW w:w="7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Deferred income taxes</w:t>
            </w:r>
          </w:p>
        </w:tc>
        <w:tc>
          <w:tcPr>
            <w:tcW w:w="14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2,244</w:t>
            </w:r>
          </w:p>
        </w:tc>
      </w:tr>
      <w:tr>
        <w:trPr>
          <w:trHeight w:val="161"/>
        </w:trPr>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14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9,997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2,559</w:t>
            </w:r>
          </w:p>
        </w:tc>
      </w:tr>
      <w:tr>
        <w:trPr>
          <w:trHeight w:val="157"/>
        </w:trPr>
        <w:tc>
          <w:tcPr>
            <w:tcW w:w="7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Intangible assets, net</w:t>
            </w:r>
          </w:p>
        </w:tc>
        <w:tc>
          <w:tcPr>
            <w:tcW w:w="14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20,035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21,668</w:t>
            </w:r>
          </w:p>
        </w:tc>
      </w:tr>
      <w:tr>
        <w:trPr>
          <w:trHeight w:val="161"/>
        </w:trPr>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Property and equipment, net of accumulated depreciation of $8,716 and $8,424</w:t>
            </w:r>
          </w:p>
        </w:tc>
        <w:tc>
          <w:tcPr>
            <w:tcW w:w="14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701</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951</w:t>
            </w:r>
          </w:p>
        </w:tc>
      </w:tr>
      <w:tr>
        <w:trPr>
          <w:trHeight w:val="148"/>
        </w:trPr>
        <w:tc>
          <w:tcPr>
            <w:tcW w:w="7000" w:type="dxa"/>
            <w:vAlign w:val="bottom"/>
          </w:tcPr>
          <w:p>
            <w:pPr>
              <w:ind w:left="52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420" w:type="dxa"/>
            <w:vAlign w:val="bottom"/>
            <w:tcBorders>
              <w:bottom w:val="single" w:sz="8" w:color="auto"/>
            </w:tcBorders>
          </w:tcPr>
          <w:p>
            <w:pPr>
              <w:jc w:val="right"/>
              <w:ind w:right="130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146,279</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149,989</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22"/>
        </w:trPr>
        <w:tc>
          <w:tcPr>
            <w:tcW w:w="70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14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r>
      <w:tr>
        <w:trPr>
          <w:trHeight w:val="157"/>
        </w:trPr>
        <w:tc>
          <w:tcPr>
            <w:tcW w:w="7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Accounts payable and accrued liabilities</w:t>
            </w:r>
          </w:p>
        </w:tc>
        <w:tc>
          <w:tcPr>
            <w:tcW w:w="1420" w:type="dxa"/>
            <w:vAlign w:val="bottom"/>
          </w:tcPr>
          <w:p>
            <w:pPr>
              <w:jc w:val="right"/>
              <w:ind w:right="130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5,304</w:t>
            </w:r>
          </w:p>
        </w:tc>
        <w:tc>
          <w:tcPr>
            <w:tcW w:w="10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6,413</w:t>
            </w:r>
          </w:p>
        </w:tc>
      </w:tr>
      <w:tr>
        <w:trPr>
          <w:trHeight w:val="161"/>
        </w:trPr>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Dividends payable</w:t>
            </w:r>
          </w:p>
        </w:tc>
        <w:tc>
          <w:tcPr>
            <w:tcW w:w="14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2,466</w:t>
            </w:r>
          </w:p>
        </w:tc>
      </w:tr>
      <w:tr>
        <w:trPr>
          <w:trHeight w:val="157"/>
        </w:trPr>
        <w:tc>
          <w:tcPr>
            <w:tcW w:w="7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Compensation and benefits payable</w:t>
            </w:r>
          </w:p>
        </w:tc>
        <w:tc>
          <w:tcPr>
            <w:tcW w:w="14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5,719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10,924</w:t>
            </w:r>
          </w:p>
        </w:tc>
      </w:tr>
      <w:tr>
        <w:trPr>
          <w:trHeight w:val="161"/>
        </w:trPr>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14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10,468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3,197</w:t>
            </w:r>
          </w:p>
        </w:tc>
      </w:tr>
      <w:tr>
        <w:trPr>
          <w:trHeight w:val="157"/>
        </w:trPr>
        <w:tc>
          <w:tcPr>
            <w:tcW w:w="7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Contingent consideration</w:t>
            </w:r>
          </w:p>
        </w:tc>
        <w:tc>
          <w:tcPr>
            <w:tcW w:w="142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4,657</w:t>
            </w:r>
          </w:p>
        </w:tc>
      </w:tr>
      <w:tr>
        <w:trPr>
          <w:trHeight w:val="152"/>
        </w:trPr>
        <w:tc>
          <w:tcPr>
            <w:tcW w:w="700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142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23,921</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27,657</w:t>
            </w:r>
          </w:p>
        </w:tc>
      </w:tr>
      <w:tr>
        <w:trPr>
          <w:trHeight w:val="137"/>
        </w:trPr>
        <w:tc>
          <w:tcPr>
            <w:tcW w:w="70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Commitments and contingencies (Note 10)</w:t>
            </w:r>
          </w:p>
        </w:tc>
        <w:tc>
          <w:tcPr>
            <w:tcW w:w="1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61"/>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4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17"/>
        </w:trPr>
        <w:tc>
          <w:tcPr>
            <w:tcW w:w="7000" w:type="dxa"/>
            <w:vAlign w:val="bottom"/>
          </w:tcPr>
          <w:p>
            <w:pPr>
              <w:ind w:left="80"/>
              <w:spacing w:after="0" w:line="117" w:lineRule="exact"/>
              <w:rPr>
                <w:sz w:val="20"/>
                <w:szCs w:val="20"/>
                <w:color w:val="auto"/>
              </w:rPr>
            </w:pPr>
            <w:r>
              <w:rPr>
                <w:rFonts w:ascii="Times New Roman" w:cs="Times New Roman" w:eastAsia="Times New Roman" w:hAnsi="Times New Roman"/>
                <w:sz w:val="12"/>
                <w:szCs w:val="12"/>
                <w:color w:val="auto"/>
              </w:rPr>
              <w:t>Common stock, $0.01 par value, authorized 25,000,000 shares, issued 12,391,817 and 12,137,080, respectively and outstanding 9,408,125 and</w:t>
            </w:r>
          </w:p>
        </w:tc>
        <w:tc>
          <w:tcPr>
            <w:tcW w:w="1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167"/>
        </w:trPr>
        <w:tc>
          <w:tcPr>
            <w:tcW w:w="7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9,234,575, respectively</w:t>
            </w:r>
          </w:p>
        </w:tc>
        <w:tc>
          <w:tcPr>
            <w:tcW w:w="14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w:t>
            </w:r>
          </w:p>
        </w:tc>
      </w:tr>
      <w:tr>
        <w:trPr>
          <w:trHeight w:val="162"/>
        </w:trPr>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4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203,594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202,239</w:t>
            </w:r>
          </w:p>
        </w:tc>
      </w:tr>
      <w:tr>
        <w:trPr>
          <w:trHeight w:val="157"/>
        </w:trPr>
        <w:tc>
          <w:tcPr>
            <w:tcW w:w="70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Treasury stock, at cost – 2,983,692 and 2,902,505, respectively</w:t>
            </w:r>
          </w:p>
        </w:tc>
        <w:tc>
          <w:tcPr>
            <w:tcW w:w="14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(89,612)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(88,277)</w:t>
            </w:r>
          </w:p>
        </w:tc>
      </w:tr>
      <w:tr>
        <w:trPr>
          <w:trHeight w:val="161"/>
        </w:trPr>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Retained earnings</w:t>
            </w:r>
          </w:p>
        </w:tc>
        <w:tc>
          <w:tcPr>
            <w:tcW w:w="14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6,200</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6,207</w:t>
            </w:r>
          </w:p>
        </w:tc>
      </w:tr>
      <w:tr>
        <w:trPr>
          <w:trHeight w:val="148"/>
        </w:trPr>
        <w:tc>
          <w:tcPr>
            <w:tcW w:w="7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Westwood Holdings Group, Inc. stockholders’ equity</w:t>
            </w:r>
          </w:p>
        </w:tc>
        <w:tc>
          <w:tcPr>
            <w:tcW w:w="14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120,306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120,291</w:t>
            </w:r>
          </w:p>
        </w:tc>
      </w:tr>
      <w:tr>
        <w:trPr>
          <w:trHeight w:val="161"/>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Noncontrolling interest in consolidated subsidiary</w:t>
            </w:r>
          </w:p>
        </w:tc>
        <w:tc>
          <w:tcPr>
            <w:tcW w:w="14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2,052</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2,041</w:t>
            </w:r>
          </w:p>
        </w:tc>
      </w:tr>
      <w:tr>
        <w:trPr>
          <w:trHeight w:val="148"/>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14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122,358</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122,332</w:t>
            </w:r>
          </w:p>
        </w:tc>
      </w:tr>
      <w:tr>
        <w:trPr>
          <w:trHeight w:val="175"/>
        </w:trPr>
        <w:tc>
          <w:tcPr>
            <w:tcW w:w="70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2"/>
                <w:szCs w:val="12"/>
                <w:b w:val="1"/>
                <w:bCs w:val="1"/>
                <w:color w:val="auto"/>
              </w:rPr>
              <w:t>Total liabilities and stockholders' equity</w:t>
            </w:r>
          </w:p>
        </w:tc>
        <w:tc>
          <w:tcPr>
            <w:tcW w:w="1420" w:type="dxa"/>
            <w:vAlign w:val="bottom"/>
            <w:tcBorders>
              <w:bottom w:val="single" w:sz="8" w:color="auto"/>
            </w:tcBorders>
            <w:shd w:val="clear" w:color="auto" w:fill="CCEEFF"/>
          </w:tcPr>
          <w:p>
            <w:pPr>
              <w:jc w:val="right"/>
              <w:ind w:right="130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146,279</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149,989</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Notes to Condensed Consolidated Financial Statements.</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440" w:top="823"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 and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00" w:type="dxa"/>
            <w:vAlign w:val="bottom"/>
          </w:tcPr>
          <w:p>
            <w:pPr>
              <w:spacing w:after="0"/>
              <w:rPr>
                <w:sz w:val="13"/>
                <w:szCs w:val="13"/>
                <w:color w:val="auto"/>
              </w:rPr>
            </w:pPr>
          </w:p>
        </w:tc>
        <w:tc>
          <w:tcPr>
            <w:tcW w:w="2520" w:type="dxa"/>
            <w:vAlign w:val="bottom"/>
            <w:tcBorders>
              <w:bottom w:val="single" w:sz="8" w:color="auto"/>
            </w:tcBorders>
            <w:gridSpan w:val="4"/>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4"/>
          </w:tcPr>
          <w:p>
            <w:pPr>
              <w:jc w:val="right"/>
              <w:ind w:right="517"/>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0" w:type="dxa"/>
            <w:vAlign w:val="bottom"/>
          </w:tcPr>
          <w:p>
            <w:pPr>
              <w:spacing w:after="0"/>
              <w:rPr>
                <w:sz w:val="1"/>
                <w:szCs w:val="1"/>
                <w:color w:val="auto"/>
              </w:rPr>
            </w:pPr>
          </w:p>
        </w:tc>
      </w:tr>
      <w:tr>
        <w:trPr>
          <w:trHeight w:val="154"/>
        </w:trPr>
        <w:tc>
          <w:tcPr>
            <w:tcW w:w="56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55"/>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9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Advisory fees:</w:t>
            </w: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Asset-based</w:t>
            </w:r>
          </w:p>
        </w:tc>
        <w:tc>
          <w:tcPr>
            <w:tcW w:w="90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17,955</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17,139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35,686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33,956</w:t>
            </w:r>
          </w:p>
        </w:tc>
        <w:tc>
          <w:tcPr>
            <w:tcW w:w="0" w:type="dxa"/>
            <w:vAlign w:val="bottom"/>
          </w:tcPr>
          <w:p>
            <w:pPr>
              <w:spacing w:after="0"/>
              <w:rPr>
                <w:sz w:val="1"/>
                <w:szCs w:val="1"/>
                <w:color w:val="auto"/>
              </w:rPr>
            </w:pPr>
          </w:p>
        </w:tc>
      </w:tr>
      <w:tr>
        <w:trPr>
          <w:trHeight w:val="168"/>
        </w:trPr>
        <w:tc>
          <w:tcPr>
            <w:tcW w:w="5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Trust fees</w:t>
            </w:r>
          </w:p>
        </w:tc>
        <w:tc>
          <w:tcPr>
            <w:tcW w:w="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5,069</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10,498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10,340</w:t>
            </w:r>
          </w:p>
        </w:tc>
        <w:tc>
          <w:tcPr>
            <w:tcW w:w="0" w:type="dxa"/>
            <w:vAlign w:val="bottom"/>
          </w:tcPr>
          <w:p>
            <w:pPr>
              <w:spacing w:after="0"/>
              <w:rPr>
                <w:sz w:val="1"/>
                <w:szCs w:val="1"/>
                <w:color w:val="auto"/>
              </w:rPr>
            </w:pPr>
          </w:p>
        </w:tc>
      </w:tr>
      <w:tr>
        <w:trPr>
          <w:trHeight w:val="172"/>
        </w:trPr>
        <w:tc>
          <w:tcPr>
            <w:tcW w:w="5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 net</w:t>
            </w:r>
          </w:p>
        </w:tc>
        <w:tc>
          <w:tcPr>
            <w:tcW w:w="9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1,124</w:t>
            </w:r>
          </w:p>
        </w:tc>
        <w:tc>
          <w:tcPr>
            <w:tcW w:w="0" w:type="dxa"/>
            <w:vAlign w:val="bottom"/>
          </w:tcPr>
          <w:p>
            <w:pPr>
              <w:spacing w:after="0"/>
              <w:rPr>
                <w:sz w:val="1"/>
                <w:szCs w:val="1"/>
                <w:color w:val="auto"/>
              </w:rPr>
            </w:pPr>
          </w:p>
        </w:tc>
      </w:tr>
      <w:tr>
        <w:trPr>
          <w:trHeight w:val="158"/>
        </w:trPr>
        <w:tc>
          <w:tcPr>
            <w:tcW w:w="5600" w:type="dxa"/>
            <w:vAlign w:val="bottom"/>
            <w:tcBorders>
              <w:bottom w:val="single" w:sz="8" w:color="CCEEFF"/>
            </w:tcBorders>
          </w:tcPr>
          <w:p>
            <w:pPr>
              <w:ind w:left="680"/>
              <w:spacing w:after="0" w:line="146" w:lineRule="exact"/>
              <w:rPr>
                <w:sz w:val="20"/>
                <w:szCs w:val="20"/>
                <w:color w:val="auto"/>
              </w:rPr>
            </w:pPr>
            <w:r>
              <w:rPr>
                <w:rFonts w:ascii="Times New Roman" w:cs="Times New Roman" w:eastAsia="Times New Roman" w:hAnsi="Times New Roman"/>
                <w:sz w:val="13"/>
                <w:szCs w:val="13"/>
                <w:color w:val="auto"/>
              </w:rPr>
              <w:t>Total revenues</w:t>
            </w:r>
          </w:p>
        </w:tc>
        <w:tc>
          <w:tcPr>
            <w:tcW w:w="9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23,120</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22,688</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46,372</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45,420</w:t>
            </w:r>
          </w:p>
        </w:tc>
        <w:tc>
          <w:tcPr>
            <w:tcW w:w="0" w:type="dxa"/>
            <w:vAlign w:val="bottom"/>
          </w:tcPr>
          <w:p>
            <w:pPr>
              <w:spacing w:after="0"/>
              <w:rPr>
                <w:sz w:val="1"/>
                <w:szCs w:val="1"/>
                <w:color w:val="auto"/>
              </w:rPr>
            </w:pPr>
          </w:p>
        </w:tc>
      </w:tr>
      <w:tr>
        <w:trPr>
          <w:trHeight w:val="152"/>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9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Employee compensation and benefits</w:t>
            </w:r>
          </w:p>
        </w:tc>
        <w:tc>
          <w:tcPr>
            <w:tcW w:w="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13,472</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13,638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27,973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28,349</w:t>
            </w:r>
          </w:p>
        </w:tc>
        <w:tc>
          <w:tcPr>
            <w:tcW w:w="0" w:type="dxa"/>
            <w:vAlign w:val="bottom"/>
          </w:tcPr>
          <w:p>
            <w:pPr>
              <w:spacing w:after="0"/>
              <w:rPr>
                <w:sz w:val="1"/>
                <w:szCs w:val="1"/>
                <w:color w:val="auto"/>
              </w:rPr>
            </w:pPr>
          </w:p>
        </w:tc>
      </w:tr>
      <w:tr>
        <w:trPr>
          <w:trHeight w:val="172"/>
        </w:trPr>
        <w:tc>
          <w:tcPr>
            <w:tcW w:w="5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Sales and marketing</w:t>
            </w: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1,383</w:t>
            </w:r>
          </w:p>
        </w:tc>
        <w:tc>
          <w:tcPr>
            <w:tcW w:w="0" w:type="dxa"/>
            <w:vAlign w:val="bottom"/>
          </w:tcPr>
          <w:p>
            <w:pPr>
              <w:spacing w:after="0"/>
              <w:rPr>
                <w:sz w:val="1"/>
                <w:szCs w:val="1"/>
                <w:color w:val="auto"/>
              </w:rPr>
            </w:pPr>
          </w:p>
        </w:tc>
      </w:tr>
      <w:tr>
        <w:trPr>
          <w:trHeight w:val="168"/>
        </w:trPr>
        <w:tc>
          <w:tcPr>
            <w:tcW w:w="5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Westwood mutual funds</w:t>
            </w:r>
          </w:p>
        </w:tc>
        <w:tc>
          <w:tcPr>
            <w:tcW w:w="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1,576</w:t>
            </w:r>
          </w:p>
        </w:tc>
        <w:tc>
          <w:tcPr>
            <w:tcW w:w="0" w:type="dxa"/>
            <w:vAlign w:val="bottom"/>
          </w:tcPr>
          <w:p>
            <w:pPr>
              <w:spacing w:after="0"/>
              <w:rPr>
                <w:sz w:val="1"/>
                <w:szCs w:val="1"/>
                <w:color w:val="auto"/>
              </w:rPr>
            </w:pPr>
          </w:p>
        </w:tc>
      </w:tr>
      <w:tr>
        <w:trPr>
          <w:trHeight w:val="172"/>
        </w:trPr>
        <w:tc>
          <w:tcPr>
            <w:tcW w:w="5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Information technology</w:t>
            </w: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2,704</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4,640</w:t>
            </w:r>
          </w:p>
        </w:tc>
        <w:tc>
          <w:tcPr>
            <w:tcW w:w="0" w:type="dxa"/>
            <w:vAlign w:val="bottom"/>
          </w:tcPr>
          <w:p>
            <w:pPr>
              <w:spacing w:after="0"/>
              <w:rPr>
                <w:sz w:val="1"/>
                <w:szCs w:val="1"/>
                <w:color w:val="auto"/>
              </w:rPr>
            </w:pPr>
          </w:p>
        </w:tc>
      </w:tr>
      <w:tr>
        <w:trPr>
          <w:trHeight w:val="168"/>
        </w:trPr>
        <w:tc>
          <w:tcPr>
            <w:tcW w:w="5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Professional services</w:t>
            </w:r>
          </w:p>
        </w:tc>
        <w:tc>
          <w:tcPr>
            <w:tcW w:w="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1,486</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2,939</w:t>
            </w:r>
          </w:p>
        </w:tc>
        <w:tc>
          <w:tcPr>
            <w:tcW w:w="0" w:type="dxa"/>
            <w:vAlign w:val="bottom"/>
          </w:tcPr>
          <w:p>
            <w:pPr>
              <w:spacing w:after="0"/>
              <w:rPr>
                <w:sz w:val="1"/>
                <w:szCs w:val="1"/>
                <w:color w:val="auto"/>
              </w:rPr>
            </w:pPr>
          </w:p>
        </w:tc>
      </w:tr>
      <w:tr>
        <w:trPr>
          <w:trHeight w:val="172"/>
        </w:trPr>
        <w:tc>
          <w:tcPr>
            <w:tcW w:w="5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2,976</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5,912</w:t>
            </w:r>
          </w:p>
        </w:tc>
        <w:tc>
          <w:tcPr>
            <w:tcW w:w="0" w:type="dxa"/>
            <w:vAlign w:val="bottom"/>
          </w:tcPr>
          <w:p>
            <w:pPr>
              <w:spacing w:after="0"/>
              <w:rPr>
                <w:sz w:val="1"/>
                <w:szCs w:val="1"/>
                <w:color w:val="auto"/>
              </w:rPr>
            </w:pPr>
          </w:p>
        </w:tc>
      </w:tr>
      <w:tr>
        <w:trPr>
          <w:trHeight w:val="168"/>
        </w:trPr>
        <w:tc>
          <w:tcPr>
            <w:tcW w:w="5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Loss from change in fair value of contingent consideration</w:t>
            </w:r>
          </w:p>
        </w:tc>
        <w:tc>
          <w:tcPr>
            <w:tcW w:w="9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1,858</w:t>
            </w:r>
          </w:p>
        </w:tc>
        <w:tc>
          <w:tcPr>
            <w:tcW w:w="0" w:type="dxa"/>
            <w:vAlign w:val="bottom"/>
          </w:tcPr>
          <w:p>
            <w:pPr>
              <w:spacing w:after="0"/>
              <w:rPr>
                <w:sz w:val="1"/>
                <w:szCs w:val="1"/>
                <w:color w:val="auto"/>
              </w:rPr>
            </w:pPr>
          </w:p>
        </w:tc>
      </w:tr>
      <w:tr>
        <w:trPr>
          <w:trHeight w:val="163"/>
        </w:trPr>
        <w:tc>
          <w:tcPr>
            <w:tcW w:w="5600" w:type="dxa"/>
            <w:vAlign w:val="bottom"/>
            <w:tcBorders>
              <w:top w:val="single" w:sz="8" w:color="CCEEFF"/>
            </w:tcBorders>
            <w:shd w:val="clear" w:color="auto" w:fill="CCEEFF"/>
          </w:tcPr>
          <w:p>
            <w:pPr>
              <w:ind w:left="680"/>
              <w:spacing w:after="0" w:line="147" w:lineRule="exact"/>
              <w:rPr>
                <w:sz w:val="20"/>
                <w:szCs w:val="20"/>
                <w:color w:val="auto"/>
              </w:rPr>
            </w:pPr>
            <w:r>
              <w:rPr>
                <w:rFonts w:ascii="Times New Roman" w:cs="Times New Roman" w:eastAsia="Times New Roman" w:hAnsi="Times New Roman"/>
                <w:sz w:val="13"/>
                <w:szCs w:val="13"/>
                <w:color w:val="auto"/>
              </w:rPr>
              <w:t>Total expenses</w:t>
            </w:r>
          </w:p>
        </w:tc>
        <w:tc>
          <w:tcPr>
            <w:tcW w:w="90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22,252</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26,866</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45,572</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46,657</w:t>
            </w:r>
          </w:p>
        </w:tc>
        <w:tc>
          <w:tcPr>
            <w:tcW w:w="0" w:type="dxa"/>
            <w:vAlign w:val="bottom"/>
          </w:tcPr>
          <w:p>
            <w:pPr>
              <w:spacing w:after="0"/>
              <w:rPr>
                <w:sz w:val="1"/>
                <w:szCs w:val="1"/>
                <w:color w:val="auto"/>
              </w:rPr>
            </w:pPr>
          </w:p>
        </w:tc>
      </w:tr>
      <w:tr>
        <w:trPr>
          <w:trHeight w:val="158"/>
        </w:trPr>
        <w:tc>
          <w:tcPr>
            <w:tcW w:w="5600" w:type="dxa"/>
            <w:vAlign w:val="bottom"/>
            <w:tcBorders>
              <w:bottom w:val="single" w:sz="8" w:color="CCEEFF"/>
            </w:tcBorders>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Net operating income (loss)</w:t>
            </w:r>
          </w:p>
        </w:tc>
        <w:tc>
          <w:tcPr>
            <w:tcW w:w="9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868</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(4,178)</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(1,237)</w:t>
            </w:r>
          </w:p>
        </w:tc>
        <w:tc>
          <w:tcPr>
            <w:tcW w:w="0" w:type="dxa"/>
            <w:vAlign w:val="bottom"/>
          </w:tcPr>
          <w:p>
            <w:pPr>
              <w:spacing w:after="0"/>
              <w:rPr>
                <w:sz w:val="1"/>
                <w:szCs w:val="1"/>
                <w:color w:val="auto"/>
              </w:rPr>
            </w:pPr>
          </w:p>
        </w:tc>
      </w:tr>
      <w:tr>
        <w:trPr>
          <w:trHeight w:val="163"/>
        </w:trPr>
        <w:tc>
          <w:tcPr>
            <w:tcW w:w="560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3"/>
                <w:szCs w:val="13"/>
                <w:color w:val="auto"/>
              </w:rPr>
              <w:t>Net investment income</w:t>
            </w: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w:t>
            </w:r>
          </w:p>
        </w:tc>
        <w:tc>
          <w:tcPr>
            <w:tcW w:w="0" w:type="dxa"/>
            <w:vAlign w:val="bottom"/>
          </w:tcPr>
          <w:p>
            <w:pPr>
              <w:spacing w:after="0"/>
              <w:rPr>
                <w:sz w:val="1"/>
                <w:szCs w:val="1"/>
                <w:color w:val="auto"/>
              </w:rPr>
            </w:pPr>
          </w:p>
        </w:tc>
      </w:tr>
      <w:tr>
        <w:trPr>
          <w:trHeight w:val="168"/>
        </w:trPr>
        <w:tc>
          <w:tcPr>
            <w:tcW w:w="56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Other income</w:t>
            </w:r>
          </w:p>
        </w:tc>
        <w:tc>
          <w:tcPr>
            <w:tcW w:w="9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0" w:type="dxa"/>
            <w:vAlign w:val="bottom"/>
          </w:tcPr>
          <w:p>
            <w:pPr>
              <w:spacing w:after="0"/>
              <w:rPr>
                <w:sz w:val="1"/>
                <w:szCs w:val="1"/>
                <w:color w:val="auto"/>
              </w:rPr>
            </w:pPr>
          </w:p>
        </w:tc>
      </w:tr>
      <w:tr>
        <w:trPr>
          <w:trHeight w:val="16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(loss) before income taxes</w:t>
            </w:r>
          </w:p>
        </w:tc>
        <w:tc>
          <w:tcPr>
            <w:tcW w:w="9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1,468</w:t>
            </w:r>
          </w:p>
        </w:tc>
        <w:tc>
          <w:tcPr>
            <w:tcW w:w="8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(3,406)</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2,060</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0" w:type="dxa"/>
            <w:vAlign w:val="bottom"/>
          </w:tcPr>
          <w:p>
            <w:pPr>
              <w:spacing w:after="0"/>
              <w:rPr>
                <w:sz w:val="1"/>
                <w:szCs w:val="1"/>
                <w:color w:val="auto"/>
              </w:rPr>
            </w:pPr>
          </w:p>
        </w:tc>
      </w:tr>
      <w:tr>
        <w:trPr>
          <w:trHeight w:val="158"/>
        </w:trPr>
        <w:tc>
          <w:tcPr>
            <w:tcW w:w="5600" w:type="dxa"/>
            <w:vAlign w:val="bottom"/>
            <w:tcBorders>
              <w:bottom w:val="single" w:sz="8" w:color="CCEEFF"/>
            </w:tcBorders>
          </w:tcPr>
          <w:p>
            <w:pPr>
              <w:ind w:left="280"/>
              <w:spacing w:after="0" w:line="146" w:lineRule="exact"/>
              <w:rPr>
                <w:sz w:val="20"/>
                <w:szCs w:val="20"/>
                <w:color w:val="auto"/>
              </w:rPr>
            </w:pPr>
            <w:r>
              <w:rPr>
                <w:rFonts w:ascii="Times New Roman" w:cs="Times New Roman" w:eastAsia="Times New Roman" w:hAnsi="Times New Roman"/>
                <w:sz w:val="13"/>
                <w:szCs w:val="13"/>
                <w:color w:val="auto"/>
              </w:rPr>
              <w:t>Income tax provision</w:t>
            </w:r>
          </w:p>
        </w:tc>
        <w:tc>
          <w:tcPr>
            <w:tcW w:w="9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0" w:type="dxa"/>
            <w:vAlign w:val="bottom"/>
          </w:tcPr>
          <w:p>
            <w:pPr>
              <w:spacing w:after="0"/>
              <w:rPr>
                <w:sz w:val="1"/>
                <w:szCs w:val="1"/>
                <w:color w:val="auto"/>
              </w:rPr>
            </w:pPr>
          </w:p>
        </w:tc>
      </w:tr>
      <w:tr>
        <w:trPr>
          <w:trHeight w:val="166"/>
        </w:trPr>
        <w:tc>
          <w:tcPr>
            <w:tcW w:w="5600" w:type="dxa"/>
            <w:vAlign w:val="bottom"/>
            <w:tcBorders>
              <w:bottom w:val="single" w:sz="8" w:color="CCEEFF"/>
            </w:tcBorders>
            <w:shd w:val="clear" w:color="auto" w:fill="CCEEFF"/>
          </w:tcPr>
          <w:p>
            <w:pPr>
              <w:ind w:left="20"/>
              <w:spacing w:after="0" w:line="141" w:lineRule="exact"/>
              <w:rPr>
                <w:sz w:val="20"/>
                <w:szCs w:val="20"/>
                <w:color w:val="auto"/>
              </w:rPr>
            </w:pPr>
            <w:r>
              <w:rPr>
                <w:rFonts w:ascii="Times New Roman" w:cs="Times New Roman" w:eastAsia="Times New Roman" w:hAnsi="Times New Roman"/>
                <w:sz w:val="13"/>
                <w:szCs w:val="13"/>
                <w:b w:val="1"/>
                <w:bCs w:val="1"/>
                <w:color w:val="auto"/>
              </w:rPr>
              <w:t>Net income (loss)</w:t>
            </w:r>
          </w:p>
        </w:tc>
        <w:tc>
          <w:tcPr>
            <w:tcW w:w="900" w:type="dxa"/>
            <w:vAlign w:val="bottom"/>
            <w:tcBorders>
              <w:bottom w:val="single" w:sz="8" w:color="auto"/>
            </w:tcBorders>
            <w:shd w:val="clear" w:color="auto" w:fill="CCEEFF"/>
          </w:tcPr>
          <w:p>
            <w:pPr>
              <w:jc w:val="right"/>
              <w:ind w:right="758"/>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1,031</w:t>
            </w: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778"/>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(2,213)</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1,508</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Less: income (loss) attributable to noncontrolling interest</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5600" w:type="dxa"/>
            <w:vAlign w:val="bottom"/>
            <w:tcBorders>
              <w:bottom w:val="single" w:sz="8" w:color="CCEEFF"/>
            </w:tcBorders>
            <w:vMerge w:val="continue"/>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30</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85"/>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(loss) attributable to Westwood Holdings Group, Inc.</w:t>
            </w:r>
          </w:p>
        </w:tc>
        <w:tc>
          <w:tcPr>
            <w:tcW w:w="900" w:type="dxa"/>
            <w:vAlign w:val="bottom"/>
            <w:tcBorders>
              <w:bottom w:val="single" w:sz="8" w:color="auto"/>
            </w:tcBorders>
            <w:shd w:val="clear" w:color="auto" w:fill="CCEEFF"/>
          </w:tcPr>
          <w:p>
            <w:pPr>
              <w:jc w:val="right"/>
              <w:ind w:right="758"/>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77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(2,243)</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1,497</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Earnings (loss) per share:</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56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Basic</w:t>
            </w:r>
          </w:p>
        </w:tc>
        <w:tc>
          <w:tcPr>
            <w:tcW w:w="90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0.12</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0" w:type="dxa"/>
            <w:vAlign w:val="bottom"/>
          </w:tcPr>
          <w:p>
            <w:pPr>
              <w:spacing w:after="0"/>
              <w:rPr>
                <w:sz w:val="1"/>
                <w:szCs w:val="1"/>
                <w:color w:val="auto"/>
              </w:rPr>
            </w:pPr>
          </w:p>
        </w:tc>
      </w:tr>
      <w:tr>
        <w:trPr>
          <w:trHeight w:val="168"/>
        </w:trPr>
        <w:tc>
          <w:tcPr>
            <w:tcW w:w="5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Diluted</w:t>
            </w:r>
          </w:p>
        </w:tc>
        <w:tc>
          <w:tcPr>
            <w:tcW w:w="900" w:type="dxa"/>
            <w:vAlign w:val="bottom"/>
          </w:tcPr>
          <w:p>
            <w:pPr>
              <w:jc w:val="right"/>
              <w:ind w:right="758"/>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0.12</w:t>
            </w:r>
          </w:p>
        </w:tc>
        <w:tc>
          <w:tcPr>
            <w:tcW w:w="80" w:type="dxa"/>
            <w:vAlign w:val="bottom"/>
          </w:tcPr>
          <w:p>
            <w:pPr>
              <w:spacing w:after="0"/>
              <w:rPr>
                <w:sz w:val="14"/>
                <w:szCs w:val="14"/>
                <w:color w:val="auto"/>
              </w:rPr>
            </w:pPr>
          </w:p>
        </w:tc>
        <w:tc>
          <w:tcPr>
            <w:tcW w:w="920" w:type="dxa"/>
            <w:vAlign w:val="bottom"/>
          </w:tcPr>
          <w:p>
            <w:pPr>
              <w:jc w:val="right"/>
              <w:ind w:right="778"/>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(0.27)</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0.17</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0" w:type="dxa"/>
            <w:vAlign w:val="bottom"/>
          </w:tcPr>
          <w:p>
            <w:pPr>
              <w:spacing w:after="0"/>
              <w:rPr>
                <w:sz w:val="1"/>
                <w:szCs w:val="1"/>
                <w:color w:val="auto"/>
              </w:rPr>
            </w:pPr>
          </w:p>
        </w:tc>
      </w:tr>
      <w:tr>
        <w:trPr>
          <w:trHeight w:val="172"/>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shares outstanding:</w:t>
            </w: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Basic</w:t>
            </w:r>
          </w:p>
        </w:tc>
        <w:tc>
          <w:tcPr>
            <w:tcW w:w="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8,404,859</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8,218,596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8,329,803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8,158,812</w:t>
            </w:r>
          </w:p>
        </w:tc>
        <w:tc>
          <w:tcPr>
            <w:tcW w:w="0" w:type="dxa"/>
            <w:vAlign w:val="bottom"/>
          </w:tcPr>
          <w:p>
            <w:pPr>
              <w:spacing w:after="0"/>
              <w:rPr>
                <w:sz w:val="1"/>
                <w:szCs w:val="1"/>
                <w:color w:val="auto"/>
              </w:rPr>
            </w:pPr>
          </w:p>
        </w:tc>
      </w:tr>
      <w:tr>
        <w:trPr>
          <w:trHeight w:val="172"/>
        </w:trPr>
        <w:tc>
          <w:tcPr>
            <w:tcW w:w="5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Diluted</w:t>
            </w: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8,813,606</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8,218,596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8,798,092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8,438,431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 xml:space="preserve">For the </w:t>
      </w:r>
      <w:r>
        <w:rPr>
          <w:rFonts w:ascii="Times New Roman" w:cs="Times New Roman" w:eastAsia="Times New Roman" w:hAnsi="Times New Roman"/>
          <w:sz w:val="12"/>
          <w:szCs w:val="12"/>
          <w:b w:val="1"/>
          <w:bCs w:val="1"/>
          <w:color w:val="auto"/>
        </w:rPr>
        <w:t>Three Months Ended</w:t>
      </w:r>
      <w:r>
        <w:rPr>
          <w:rFonts w:ascii="Times New Roman" w:cs="Times New Roman" w:eastAsia="Times New Roman" w:hAnsi="Times New Roman"/>
          <w:sz w:val="14"/>
          <w:szCs w:val="14"/>
          <w:b w:val="1"/>
          <w:bCs w:val="1"/>
          <w:color w:val="auto"/>
        </w:rPr>
        <w:t xml:space="preserve"> June 30, 2025 and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920" w:type="dxa"/>
            <w:vAlign w:val="bottom"/>
          </w:tcPr>
          <w:p>
            <w:pPr>
              <w:spacing w:after="0"/>
              <w:rPr>
                <w:sz w:val="15"/>
                <w:szCs w:val="15"/>
                <w:color w:val="auto"/>
              </w:rPr>
            </w:pPr>
          </w:p>
        </w:tc>
        <w:tc>
          <w:tcPr>
            <w:tcW w:w="2060" w:type="dxa"/>
            <w:vAlign w:val="bottom"/>
            <w:tcBorders>
              <w:bottom w:val="single" w:sz="8" w:color="auto"/>
            </w:tcBorders>
            <w:gridSpan w:val="4"/>
          </w:tcPr>
          <w:p>
            <w:pPr>
              <w:jc w:val="right"/>
              <w:ind w:right="457"/>
              <w:spacing w:after="0"/>
              <w:rPr>
                <w:sz w:val="20"/>
                <w:szCs w:val="20"/>
                <w:color w:val="auto"/>
              </w:rPr>
            </w:pPr>
            <w:r>
              <w:rPr>
                <w:rFonts w:ascii="Times New Roman" w:cs="Times New Roman" w:eastAsia="Times New Roman" w:hAnsi="Times New Roman"/>
                <w:sz w:val="12"/>
                <w:szCs w:val="12"/>
                <w:b w:val="1"/>
                <w:bCs w:val="1"/>
                <w:color w:val="auto"/>
              </w:rPr>
              <w:t>Common Stock, Par</w:t>
            </w:r>
          </w:p>
        </w:tc>
        <w:tc>
          <w:tcPr>
            <w:tcW w:w="100" w:type="dxa"/>
            <w:vAlign w:val="bottom"/>
          </w:tcPr>
          <w:p>
            <w:pPr>
              <w:spacing w:after="0"/>
              <w:rPr>
                <w:sz w:val="15"/>
                <w:szCs w:val="15"/>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Additional Paid-In</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67"/>
        </w:trPr>
        <w:tc>
          <w:tcPr>
            <w:tcW w:w="2920" w:type="dxa"/>
            <w:vAlign w:val="bottom"/>
          </w:tcPr>
          <w:p>
            <w:pPr>
              <w:spacing w:after="0"/>
              <w:rPr>
                <w:sz w:val="14"/>
                <w:szCs w:val="14"/>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8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6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Retained Earnings</w:t>
            </w:r>
          </w:p>
        </w:tc>
        <w:tc>
          <w:tcPr>
            <w:tcW w:w="8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Noncontrolling Interest</w:t>
            </w:r>
          </w:p>
        </w:tc>
        <w:tc>
          <w:tcPr>
            <w:tcW w:w="200" w:type="dxa"/>
            <w:vAlign w:val="bottom"/>
          </w:tcPr>
          <w:p>
            <w:pPr>
              <w:spacing w:after="0"/>
              <w:rPr>
                <w:sz w:val="14"/>
                <w:szCs w:val="14"/>
                <w:color w:val="auto"/>
              </w:rPr>
            </w:pPr>
          </w:p>
        </w:tc>
        <w:tc>
          <w:tcPr>
            <w:tcW w:w="760" w:type="dxa"/>
            <w:vAlign w:val="bottom"/>
          </w:tcPr>
          <w:p>
            <w:pPr>
              <w:jc w:val="right"/>
              <w:ind w:right="297"/>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64"/>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March 31, 2025</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9,379,675</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202,299</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(89,612)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6,535</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2,040</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121,386</w:t>
            </w:r>
          </w:p>
        </w:tc>
      </w:tr>
      <w:tr>
        <w:trPr>
          <w:trHeight w:val="168"/>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1,031</w:t>
            </w:r>
          </w:p>
        </w:tc>
      </w:tr>
      <w:tr>
        <w:trPr>
          <w:trHeight w:val="17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restricted stock, net of forfeitures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Dividends declared ($0.15 per share)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(1,354)</w:t>
            </w:r>
          </w:p>
        </w:tc>
      </w:tr>
      <w:tr>
        <w:trPr>
          <w:trHeight w:val="17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1,295</w:t>
            </w:r>
          </w:p>
        </w:tc>
      </w:tr>
      <w:tr>
        <w:trPr>
          <w:trHeight w:val="158"/>
        </w:trPr>
        <w:tc>
          <w:tcPr>
            <w:tcW w:w="29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June 30, 2025</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9,408,125</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203,594</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(89,612)</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6,200</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2,052</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122,358</w:t>
            </w:r>
          </w:p>
        </w:tc>
      </w:tr>
      <w:tr>
        <w:trPr>
          <w:trHeight w:val="20"/>
        </w:trPr>
        <w:tc>
          <w:tcPr>
            <w:tcW w:w="29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84"/>
        </w:trPr>
        <w:tc>
          <w:tcPr>
            <w:tcW w:w="2920" w:type="dxa"/>
            <w:vAlign w:val="bottom"/>
          </w:tcPr>
          <w:p>
            <w:pPr>
              <w:spacing w:after="0"/>
              <w:rPr>
                <w:sz w:val="24"/>
                <w:szCs w:val="24"/>
                <w:color w:val="auto"/>
              </w:rPr>
            </w:pPr>
          </w:p>
        </w:tc>
        <w:tc>
          <w:tcPr>
            <w:tcW w:w="2060" w:type="dxa"/>
            <w:vAlign w:val="bottom"/>
            <w:tcBorders>
              <w:bottom w:val="single" w:sz="8" w:color="auto"/>
            </w:tcBorders>
            <w:gridSpan w:val="4"/>
          </w:tcPr>
          <w:p>
            <w:pPr>
              <w:jc w:val="right"/>
              <w:ind w:right="457"/>
              <w:spacing w:after="0"/>
              <w:rPr>
                <w:sz w:val="20"/>
                <w:szCs w:val="20"/>
                <w:color w:val="auto"/>
              </w:rPr>
            </w:pPr>
            <w:r>
              <w:rPr>
                <w:rFonts w:ascii="Times New Roman" w:cs="Times New Roman" w:eastAsia="Times New Roman" w:hAnsi="Times New Roman"/>
                <w:sz w:val="12"/>
                <w:szCs w:val="12"/>
                <w:b w:val="1"/>
                <w:bCs w:val="1"/>
                <w:color w:val="auto"/>
              </w:rPr>
              <w:t>Common Stock, Par</w:t>
            </w:r>
          </w:p>
        </w:tc>
        <w:tc>
          <w:tcPr>
            <w:tcW w:w="100" w:type="dxa"/>
            <w:vAlign w:val="bottom"/>
          </w:tcPr>
          <w:p>
            <w:pPr>
              <w:spacing w:after="0"/>
              <w:rPr>
                <w:sz w:val="24"/>
                <w:szCs w:val="24"/>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Additional Paid-In</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7"/>
        </w:trPr>
        <w:tc>
          <w:tcPr>
            <w:tcW w:w="2920" w:type="dxa"/>
            <w:vAlign w:val="bottom"/>
          </w:tcPr>
          <w:p>
            <w:pPr>
              <w:spacing w:after="0"/>
              <w:rPr>
                <w:sz w:val="14"/>
                <w:szCs w:val="14"/>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8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6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Retained Earnings</w:t>
            </w:r>
          </w:p>
        </w:tc>
        <w:tc>
          <w:tcPr>
            <w:tcW w:w="8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Noncontrolling Interest</w:t>
            </w:r>
          </w:p>
        </w:tc>
        <w:tc>
          <w:tcPr>
            <w:tcW w:w="200" w:type="dxa"/>
            <w:vAlign w:val="bottom"/>
          </w:tcPr>
          <w:p>
            <w:pPr>
              <w:spacing w:after="0"/>
              <w:rPr>
                <w:sz w:val="14"/>
                <w:szCs w:val="14"/>
                <w:color w:val="auto"/>
              </w:rPr>
            </w:pPr>
          </w:p>
        </w:tc>
        <w:tc>
          <w:tcPr>
            <w:tcW w:w="760" w:type="dxa"/>
            <w:vAlign w:val="bottom"/>
          </w:tcPr>
          <w:p>
            <w:pPr>
              <w:jc w:val="right"/>
              <w:ind w:right="297"/>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64"/>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March 31,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9,330,762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201,899</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(86,930)</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6,749</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1,915</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123,755</w:t>
            </w:r>
          </w:p>
        </w:tc>
      </w:tr>
      <w:tr>
        <w:trPr>
          <w:trHeight w:val="168"/>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(2,213)</w:t>
            </w:r>
          </w:p>
        </w:tc>
      </w:tr>
      <w:tr>
        <w:trPr>
          <w:trHeight w:val="17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restricted stock, net of forfeitures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49,031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Dividends declared ($0.15 per share)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(1,398)</w:t>
            </w:r>
          </w:p>
        </w:tc>
      </w:tr>
      <w:tr>
        <w:trPr>
          <w:trHeight w:val="17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1,397</w:t>
            </w:r>
          </w:p>
        </w:tc>
      </w:tr>
      <w:tr>
        <w:trPr>
          <w:trHeight w:val="168"/>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(86,346)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w:t>
            </w:r>
          </w:p>
        </w:tc>
      </w:tr>
      <w:tr>
        <w:trPr>
          <w:trHeight w:val="185"/>
        </w:trPr>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June 30, 2024</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9,293,447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202,064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(88,005)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120,466</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Notes to Condensed Consolidated Financial Statements.</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014"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For the </w:t>
      </w:r>
      <w:r>
        <w:rPr>
          <w:rFonts w:ascii="Times New Roman" w:cs="Times New Roman" w:eastAsia="Times New Roman" w:hAnsi="Times New Roman"/>
          <w:sz w:val="12"/>
          <w:szCs w:val="12"/>
          <w:b w:val="1"/>
          <w:bCs w:val="1"/>
          <w:color w:val="auto"/>
        </w:rPr>
        <w:t>Six Months Ended</w:t>
      </w:r>
      <w:r>
        <w:rPr>
          <w:rFonts w:ascii="Times New Roman" w:cs="Times New Roman" w:eastAsia="Times New Roman" w:hAnsi="Times New Roman"/>
          <w:sz w:val="14"/>
          <w:szCs w:val="14"/>
          <w:b w:val="1"/>
          <w:bCs w:val="1"/>
          <w:color w:val="auto"/>
        </w:rPr>
        <w:t xml:space="preserve"> June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8"/>
          </w:tcPr>
          <w:p>
            <w:pPr>
              <w:ind w:left="480"/>
              <w:spacing w:after="0"/>
              <w:rPr>
                <w:sz w:val="20"/>
                <w:szCs w:val="20"/>
                <w:color w:val="auto"/>
              </w:rPr>
            </w:pPr>
            <w:r>
              <w:rPr>
                <w:rFonts w:ascii="Times New Roman" w:cs="Times New Roman" w:eastAsia="Times New Roman" w:hAnsi="Times New Roman"/>
                <w:sz w:val="12"/>
                <w:szCs w:val="12"/>
                <w:b w:val="1"/>
                <w:bCs w:val="1"/>
                <w:color w:val="auto"/>
              </w:rPr>
              <w:t>Common Stock, Par</w:t>
            </w:r>
          </w:p>
        </w:tc>
        <w:tc>
          <w:tcPr>
            <w:tcW w:w="20" w:type="dxa"/>
            <w:vAlign w:val="bottom"/>
          </w:tcPr>
          <w:p>
            <w:pPr>
              <w:spacing w:after="0"/>
              <w:rPr>
                <w:sz w:val="14"/>
                <w:szCs w:val="14"/>
                <w:color w:val="auto"/>
              </w:rPr>
            </w:pPr>
          </w:p>
        </w:tc>
        <w:tc>
          <w:tcPr>
            <w:tcW w:w="1160" w:type="dxa"/>
            <w:vAlign w:val="bottom"/>
            <w:gridSpan w:val="4"/>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Additional Paid-In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0"/>
        </w:trPr>
        <w:tc>
          <w:tcPr>
            <w:tcW w:w="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3"/>
          </w:tcPr>
          <w:p>
            <w:pPr>
              <w:ind w:left="3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ind w:right="157"/>
              <w:spacing w:after="0"/>
              <w:rPr>
                <w:sz w:val="20"/>
                <w:szCs w:val="20"/>
                <w:color w:val="auto"/>
              </w:rPr>
            </w:pPr>
            <w:r>
              <w:rPr>
                <w:rFonts w:ascii="Times New Roman" w:cs="Times New Roman" w:eastAsia="Times New Roman" w:hAnsi="Times New Roman"/>
                <w:sz w:val="12"/>
                <w:szCs w:val="12"/>
                <w:b w:val="1"/>
                <w:bCs w:val="1"/>
                <w:color w:val="auto"/>
              </w:rPr>
              <w:t>Retained Earnings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Noncontrolling Interest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60"/>
        </w:trPr>
        <w:tc>
          <w:tcPr>
            <w:tcW w:w="2940" w:type="dxa"/>
            <w:vAlign w:val="bottom"/>
            <w:tcBorders>
              <w:top w:val="single" w:sz="8" w:color="CCEEFF"/>
            </w:tcBorders>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Balance, December 31, 2024</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9,234,575</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202,239</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(88,277)</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6,207</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2,041</w:t>
            </w: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122,332</w:t>
            </w:r>
          </w:p>
        </w:tc>
        <w:tc>
          <w:tcPr>
            <w:tcW w:w="20" w:type="dxa"/>
            <w:vAlign w:val="bottom"/>
            <w:tcBorders>
              <w:top w:val="single" w:sz="8" w:color="auto"/>
            </w:tcBorders>
            <w:shd w:val="clear" w:color="auto" w:fill="CCEEFF"/>
          </w:tcPr>
          <w:p>
            <w:pPr>
              <w:spacing w:after="0"/>
              <w:rPr>
                <w:sz w:val="13"/>
                <w:szCs w:val="13"/>
                <w:color w:val="auto"/>
              </w:rPr>
            </w:pPr>
          </w:p>
        </w:tc>
      </w:tr>
      <w:tr>
        <w:trPr>
          <w:trHeight w:val="168"/>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1,508</w:t>
            </w:r>
          </w:p>
        </w:tc>
        <w:tc>
          <w:tcPr>
            <w:tcW w:w="20" w:type="dxa"/>
            <w:vAlign w:val="bottom"/>
          </w:tcPr>
          <w:p>
            <w:pPr>
              <w:spacing w:after="0"/>
              <w:rPr>
                <w:sz w:val="14"/>
                <w:szCs w:val="14"/>
                <w:color w:val="auto"/>
              </w:rPr>
            </w:pPr>
          </w:p>
        </w:tc>
      </w:tr>
      <w:tr>
        <w:trPr>
          <w:trHeight w:val="172"/>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restricted stock, net of forfeitures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254,737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Dividends declared ($0.30 per share)</w:t>
            </w:r>
          </w:p>
        </w:tc>
        <w:tc>
          <w:tcPr>
            <w:tcW w:w="2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(2,769)</w:t>
            </w:r>
          </w:p>
        </w:tc>
      </w:tr>
      <w:tr>
        <w:trPr>
          <w:trHeight w:val="172"/>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2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2,622</w:t>
            </w:r>
          </w:p>
        </w:tc>
        <w:tc>
          <w:tcPr>
            <w:tcW w:w="20" w:type="dxa"/>
            <w:vAlign w:val="bottom"/>
            <w:shd w:val="clear" w:color="auto" w:fill="CCEEFF"/>
          </w:tcPr>
          <w:p>
            <w:pPr>
              <w:spacing w:after="0"/>
              <w:rPr>
                <w:sz w:val="14"/>
                <w:szCs w:val="14"/>
                <w:color w:val="auto"/>
              </w:rPr>
            </w:pPr>
          </w:p>
        </w:tc>
      </w:tr>
      <w:tr>
        <w:trPr>
          <w:trHeight w:val="18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Restricted stock returned for payment of taxes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(81,187)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(1,335)</w:t>
            </w:r>
          </w:p>
        </w:tc>
      </w:tr>
      <w:tr>
        <w:trPr>
          <w:trHeight w:val="183"/>
        </w:trPr>
        <w:tc>
          <w:tcPr>
            <w:tcW w:w="2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June 30, 2025</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9,408,125</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203,594</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(89,612)</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6,200</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2,052</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122,358</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21"/>
        </w:trPr>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8"/>
          </w:tcPr>
          <w:p>
            <w:pPr>
              <w:ind w:left="480"/>
              <w:spacing w:after="0"/>
              <w:rPr>
                <w:sz w:val="20"/>
                <w:szCs w:val="20"/>
                <w:color w:val="auto"/>
              </w:rPr>
            </w:pPr>
            <w:r>
              <w:rPr>
                <w:rFonts w:ascii="Times New Roman" w:cs="Times New Roman" w:eastAsia="Times New Roman" w:hAnsi="Times New Roman"/>
                <w:sz w:val="12"/>
                <w:szCs w:val="12"/>
                <w:b w:val="1"/>
                <w:bCs w:val="1"/>
                <w:color w:val="auto"/>
              </w:rPr>
              <w:t>Common Stock, Par</w:t>
            </w:r>
          </w:p>
        </w:tc>
        <w:tc>
          <w:tcPr>
            <w:tcW w:w="20" w:type="dxa"/>
            <w:vAlign w:val="bottom"/>
          </w:tcPr>
          <w:p>
            <w:pPr>
              <w:spacing w:after="0"/>
              <w:rPr>
                <w:sz w:val="24"/>
                <w:szCs w:val="24"/>
                <w:color w:val="auto"/>
              </w:rPr>
            </w:pPr>
          </w:p>
        </w:tc>
        <w:tc>
          <w:tcPr>
            <w:tcW w:w="1160" w:type="dxa"/>
            <w:vAlign w:val="bottom"/>
            <w:gridSpan w:val="4"/>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Additional Paid-In</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0"/>
        </w:trPr>
        <w:tc>
          <w:tcPr>
            <w:tcW w:w="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Borders>
              <w:top w:val="single" w:sz="8" w:color="auto"/>
            </w:tcBorders>
            <w:gridSpan w:val="3"/>
          </w:tcPr>
          <w:p>
            <w:pPr>
              <w:ind w:left="3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ind w:right="157"/>
              <w:spacing w:after="0"/>
              <w:rPr>
                <w:sz w:val="20"/>
                <w:szCs w:val="20"/>
                <w:color w:val="auto"/>
              </w:rPr>
            </w:pPr>
            <w:r>
              <w:rPr>
                <w:rFonts w:ascii="Times New Roman" w:cs="Times New Roman" w:eastAsia="Times New Roman" w:hAnsi="Times New Roman"/>
                <w:sz w:val="12"/>
                <w:szCs w:val="12"/>
                <w:b w:val="1"/>
                <w:bCs w:val="1"/>
                <w:color w:val="auto"/>
              </w:rPr>
              <w:t>Retained Earnings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Noncontrolling Interest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60"/>
        </w:trPr>
        <w:tc>
          <w:tcPr>
            <w:tcW w:w="40" w:type="dxa"/>
            <w:vAlign w:val="bottom"/>
          </w:tcPr>
          <w:p>
            <w:pPr>
              <w:spacing w:after="0"/>
              <w:rPr>
                <w:sz w:val="13"/>
                <w:szCs w:val="13"/>
                <w:color w:val="auto"/>
              </w:rPr>
            </w:pPr>
          </w:p>
        </w:tc>
        <w:tc>
          <w:tcPr>
            <w:tcW w:w="290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2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9,140,760</w:t>
            </w: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201,622</w:t>
            </w: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(85,990)</w:t>
            </w: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4,650</w:t>
            </w: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2,045</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122,446</w:t>
            </w:r>
          </w:p>
        </w:tc>
        <w:tc>
          <w:tcPr>
            <w:tcW w:w="20" w:type="dxa"/>
            <w:vAlign w:val="bottom"/>
          </w:tcPr>
          <w:p>
            <w:pPr>
              <w:spacing w:after="0"/>
              <w:rPr>
                <w:sz w:val="13"/>
                <w:szCs w:val="13"/>
                <w:color w:val="auto"/>
              </w:rPr>
            </w:pPr>
          </w:p>
        </w:tc>
      </w:tr>
      <w:tr>
        <w:trPr>
          <w:trHeight w:val="165"/>
        </w:trPr>
        <w:tc>
          <w:tcPr>
            <w:tcW w:w="40" w:type="dxa"/>
            <w:vAlign w:val="bottom"/>
          </w:tcPr>
          <w:p>
            <w:pPr>
              <w:spacing w:after="0"/>
              <w:rPr>
                <w:sz w:val="14"/>
                <w:szCs w:val="14"/>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2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0" w:type="dxa"/>
            <w:vAlign w:val="bottom"/>
          </w:tcPr>
          <w:p>
            <w:pPr>
              <w:spacing w:after="0"/>
              <w:rPr>
                <w:sz w:val="14"/>
                <w:szCs w:val="14"/>
                <w:color w:val="auto"/>
              </w:rPr>
            </w:pPr>
          </w:p>
        </w:tc>
      </w:tr>
      <w:tr>
        <w:trPr>
          <w:trHeight w:val="174"/>
        </w:trPr>
        <w:tc>
          <w:tcPr>
            <w:tcW w:w="40" w:type="dxa"/>
            <w:vAlign w:val="bottom"/>
          </w:tcPr>
          <w:p>
            <w:pPr>
              <w:spacing w:after="0"/>
              <w:rPr>
                <w:sz w:val="15"/>
                <w:szCs w:val="15"/>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restricted stock, net of forfeitures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317,336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r>
      <w:tr>
        <w:trPr>
          <w:trHeight w:val="168"/>
        </w:trPr>
        <w:tc>
          <w:tcPr>
            <w:tcW w:w="40" w:type="dxa"/>
            <w:vAlign w:val="bottom"/>
          </w:tcPr>
          <w:p>
            <w:pPr>
              <w:spacing w:after="0"/>
              <w:rPr>
                <w:sz w:val="14"/>
                <w:szCs w:val="14"/>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3"/>
                <w:szCs w:val="13"/>
                <w:color w:val="auto"/>
              </w:rPr>
              <w:t>Dividends declared ($0.30 per share)</w:t>
            </w:r>
          </w:p>
        </w:tc>
        <w:tc>
          <w:tcPr>
            <w:tcW w:w="2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(2,830)</w:t>
            </w:r>
          </w:p>
        </w:tc>
        <w:tc>
          <w:tcPr>
            <w:tcW w:w="20" w:type="dxa"/>
            <w:vAlign w:val="bottom"/>
          </w:tcPr>
          <w:p>
            <w:pPr>
              <w:spacing w:after="0"/>
              <w:rPr>
                <w:sz w:val="14"/>
                <w:szCs w:val="14"/>
                <w:color w:val="auto"/>
              </w:rPr>
            </w:pPr>
          </w:p>
        </w:tc>
      </w:tr>
      <w:tr>
        <w:trPr>
          <w:trHeight w:val="172"/>
        </w:trPr>
        <w:tc>
          <w:tcPr>
            <w:tcW w:w="40" w:type="dxa"/>
            <w:vAlign w:val="bottom"/>
          </w:tcPr>
          <w:p>
            <w:pPr>
              <w:spacing w:after="0"/>
              <w:rPr>
                <w:sz w:val="14"/>
                <w:szCs w:val="14"/>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2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2,912</w:t>
            </w:r>
          </w:p>
        </w:tc>
        <w:tc>
          <w:tcPr>
            <w:tcW w:w="20" w:type="dxa"/>
            <w:vAlign w:val="bottom"/>
          </w:tcPr>
          <w:p>
            <w:pPr>
              <w:spacing w:after="0"/>
              <w:rPr>
                <w:sz w:val="14"/>
                <w:szCs w:val="14"/>
                <w:color w:val="auto"/>
              </w:rPr>
            </w:pPr>
          </w:p>
        </w:tc>
      </w:tr>
      <w:tr>
        <w:trPr>
          <w:trHeight w:val="168"/>
        </w:trPr>
        <w:tc>
          <w:tcPr>
            <w:tcW w:w="40" w:type="dxa"/>
            <w:vAlign w:val="bottom"/>
          </w:tcPr>
          <w:p>
            <w:pPr>
              <w:spacing w:after="0"/>
              <w:rPr>
                <w:sz w:val="14"/>
                <w:szCs w:val="14"/>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(86,346)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w:t>
            </w:r>
          </w:p>
        </w:tc>
        <w:tc>
          <w:tcPr>
            <w:tcW w:w="20" w:type="dxa"/>
            <w:vAlign w:val="bottom"/>
          </w:tcPr>
          <w:p>
            <w:pPr>
              <w:spacing w:after="0"/>
              <w:rPr>
                <w:sz w:val="14"/>
                <w:szCs w:val="14"/>
                <w:color w:val="auto"/>
              </w:rPr>
            </w:pPr>
          </w:p>
        </w:tc>
      </w:tr>
      <w:tr>
        <w:trPr>
          <w:trHeight w:val="172"/>
        </w:trPr>
        <w:tc>
          <w:tcPr>
            <w:tcW w:w="40" w:type="dxa"/>
            <w:vAlign w:val="bottom"/>
          </w:tcPr>
          <w:p>
            <w:pPr>
              <w:spacing w:after="0"/>
              <w:rPr>
                <w:sz w:val="14"/>
                <w:szCs w:val="14"/>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stock returned for payment of taxes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(78,303)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(940)</w:t>
            </w:r>
          </w:p>
        </w:tc>
        <w:tc>
          <w:tcPr>
            <w:tcW w:w="20" w:type="dxa"/>
            <w:vAlign w:val="bottom"/>
          </w:tcPr>
          <w:p>
            <w:pPr>
              <w:spacing w:after="0"/>
              <w:rPr>
                <w:sz w:val="14"/>
                <w:szCs w:val="14"/>
                <w:color w:val="auto"/>
              </w:rPr>
            </w:pPr>
          </w:p>
        </w:tc>
      </w:tr>
      <w:tr>
        <w:trPr>
          <w:trHeight w:val="158"/>
        </w:trPr>
        <w:tc>
          <w:tcPr>
            <w:tcW w:w="4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June 30, 2024</w:t>
            </w:r>
          </w:p>
        </w:tc>
        <w:tc>
          <w:tcPr>
            <w:tcW w:w="2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9,293,447</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202,064</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(88,005)</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4,339</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120,466</w:t>
            </w: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960" w:type="dxa"/>
            <w:vAlign w:val="bottom"/>
            <w:tcBorders>
              <w:bottom w:val="single" w:sz="8" w:color="auto"/>
            </w:tcBorders>
          </w:tcPr>
          <w:p>
            <w:pPr>
              <w:spacing w:after="0"/>
              <w:rPr>
                <w:sz w:val="13"/>
                <w:szCs w:val="13"/>
                <w:color w:val="auto"/>
              </w:rPr>
            </w:pPr>
          </w:p>
        </w:tc>
      </w:tr>
      <w:tr>
        <w:trPr>
          <w:trHeight w:val="154"/>
        </w:trPr>
        <w:tc>
          <w:tcPr>
            <w:tcW w:w="79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9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57"/>
        </w:trPr>
        <w:tc>
          <w:tcPr>
            <w:tcW w:w="798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Net income (loss)</w:t>
            </w:r>
          </w:p>
        </w:tc>
        <w:tc>
          <w:tcPr>
            <w:tcW w:w="940" w:type="dxa"/>
            <w:vAlign w:val="bottom"/>
          </w:tcPr>
          <w:p>
            <w:pPr>
              <w:jc w:val="right"/>
              <w:ind w:right="82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1,508</w:t>
            </w:r>
          </w:p>
        </w:tc>
        <w:tc>
          <w:tcPr>
            <w:tcW w:w="100" w:type="dxa"/>
            <w:vAlign w:val="bottom"/>
          </w:tcPr>
          <w:p>
            <w:pPr>
              <w:spacing w:after="0"/>
              <w:rPr>
                <w:sz w:val="13"/>
                <w:szCs w:val="13"/>
                <w:color w:val="auto"/>
              </w:rPr>
            </w:pP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161"/>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Adjustments to reconcile net income (loss) to net cash provided by operating activities:</w:t>
            </w:r>
          </w:p>
        </w:tc>
        <w:tc>
          <w:tcPr>
            <w:tcW w:w="9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57"/>
        </w:trPr>
        <w:tc>
          <w:tcPr>
            <w:tcW w:w="798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Depreciation</w:t>
            </w:r>
          </w:p>
        </w:tc>
        <w:tc>
          <w:tcPr>
            <w:tcW w:w="9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w:t>
            </w:r>
          </w:p>
        </w:tc>
      </w:tr>
      <w:tr>
        <w:trPr>
          <w:trHeight w:val="161"/>
        </w:trPr>
        <w:tc>
          <w:tcPr>
            <w:tcW w:w="7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9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2,082</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2,074</w:t>
            </w:r>
          </w:p>
        </w:tc>
      </w:tr>
      <w:tr>
        <w:trPr>
          <w:trHeight w:val="157"/>
        </w:trPr>
        <w:tc>
          <w:tcPr>
            <w:tcW w:w="798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Net change in unrealized (appreciation) depreciation on investments</w:t>
            </w:r>
          </w:p>
        </w:tc>
        <w:tc>
          <w:tcPr>
            <w:tcW w:w="9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(1,004)</w:t>
            </w:r>
          </w:p>
        </w:tc>
      </w:tr>
      <w:tr>
        <w:trPr>
          <w:trHeight w:val="161"/>
        </w:trPr>
        <w:tc>
          <w:tcPr>
            <w:tcW w:w="7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9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2,622</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2,912</w:t>
            </w:r>
          </w:p>
        </w:tc>
      </w:tr>
      <w:tr>
        <w:trPr>
          <w:trHeight w:val="157"/>
        </w:trPr>
        <w:tc>
          <w:tcPr>
            <w:tcW w:w="798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Deferred income taxes</w:t>
            </w:r>
          </w:p>
        </w:tc>
        <w:tc>
          <w:tcPr>
            <w:tcW w:w="9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161"/>
        </w:trPr>
        <w:tc>
          <w:tcPr>
            <w:tcW w:w="7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Non-cash lease expense</w:t>
            </w:r>
          </w:p>
        </w:tc>
        <w:tc>
          <w:tcPr>
            <w:tcW w:w="9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694</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546</w:t>
            </w:r>
          </w:p>
        </w:tc>
      </w:tr>
      <w:tr>
        <w:trPr>
          <w:trHeight w:val="157"/>
        </w:trPr>
        <w:tc>
          <w:tcPr>
            <w:tcW w:w="798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Fair value change of contingent consideration</w:t>
            </w:r>
          </w:p>
        </w:tc>
        <w:tc>
          <w:tcPr>
            <w:tcW w:w="9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1,858</w:t>
            </w:r>
          </w:p>
        </w:tc>
      </w:tr>
      <w:tr>
        <w:trPr>
          <w:trHeight w:val="161"/>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Change in operating assets and liabilities:</w:t>
            </w:r>
          </w:p>
        </w:tc>
        <w:tc>
          <w:tcPr>
            <w:tcW w:w="9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57"/>
        </w:trPr>
        <w:tc>
          <w:tcPr>
            <w:tcW w:w="798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Accounts receivable</w:t>
            </w:r>
          </w:p>
        </w:tc>
        <w:tc>
          <w:tcPr>
            <w:tcW w:w="9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(878)</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61"/>
        </w:trPr>
        <w:tc>
          <w:tcPr>
            <w:tcW w:w="7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Other assets</w:t>
            </w:r>
          </w:p>
        </w:tc>
        <w:tc>
          <w:tcPr>
            <w:tcW w:w="9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57"/>
        </w:trPr>
        <w:tc>
          <w:tcPr>
            <w:tcW w:w="798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Accounts payable and accrued liabilities</w:t>
            </w:r>
          </w:p>
        </w:tc>
        <w:tc>
          <w:tcPr>
            <w:tcW w:w="9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(1,139)</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(814)</w:t>
            </w:r>
          </w:p>
        </w:tc>
      </w:tr>
      <w:tr>
        <w:trPr>
          <w:trHeight w:val="161"/>
        </w:trPr>
        <w:tc>
          <w:tcPr>
            <w:tcW w:w="7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Compensation and benefits payable</w:t>
            </w:r>
          </w:p>
        </w:tc>
        <w:tc>
          <w:tcPr>
            <w:tcW w:w="9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(5,205)</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(4,217)</w:t>
            </w:r>
          </w:p>
        </w:tc>
      </w:tr>
      <w:tr>
        <w:trPr>
          <w:trHeight w:val="157"/>
        </w:trPr>
        <w:tc>
          <w:tcPr>
            <w:tcW w:w="798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Income taxes receivable</w:t>
            </w:r>
          </w:p>
        </w:tc>
        <w:tc>
          <w:tcPr>
            <w:tcW w:w="9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(740)</w:t>
            </w:r>
          </w:p>
        </w:tc>
      </w:tr>
      <w:tr>
        <w:trPr>
          <w:trHeight w:val="161"/>
        </w:trPr>
        <w:tc>
          <w:tcPr>
            <w:tcW w:w="79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Other liabilities</w:t>
            </w:r>
          </w:p>
        </w:tc>
        <w:tc>
          <w:tcPr>
            <w:tcW w:w="9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(795)</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(664)</w:t>
            </w:r>
          </w:p>
        </w:tc>
      </w:tr>
      <w:tr>
        <w:trPr>
          <w:trHeight w:val="157"/>
        </w:trPr>
        <w:tc>
          <w:tcPr>
            <w:tcW w:w="798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Net sales of trading securities</w:t>
            </w:r>
          </w:p>
        </w:tc>
        <w:tc>
          <w:tcPr>
            <w:tcW w:w="9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7,842</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11,430</w:t>
            </w:r>
          </w:p>
        </w:tc>
      </w:tr>
      <w:tr>
        <w:trPr>
          <w:trHeight w:val="161"/>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Contingent consideration</w:t>
            </w:r>
          </w:p>
        </w:tc>
        <w:tc>
          <w:tcPr>
            <w:tcW w:w="9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(4,442)</w:t>
            </w:r>
          </w:p>
        </w:tc>
        <w:tc>
          <w:tcPr>
            <w:tcW w:w="10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8"/>
        </w:trPr>
        <w:tc>
          <w:tcPr>
            <w:tcW w:w="7980" w:type="dxa"/>
            <w:vAlign w:val="bottom"/>
            <w:tcBorders>
              <w:bottom w:val="single" w:sz="8" w:color="CCEEFF"/>
            </w:tcBorders>
          </w:tcPr>
          <w:p>
            <w:pPr>
              <w:ind w:left="680"/>
              <w:spacing w:after="0" w:line="135"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9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2,403</w:t>
            </w:r>
          </w:p>
        </w:tc>
        <w:tc>
          <w:tcPr>
            <w:tcW w:w="1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11,685</w:t>
            </w:r>
          </w:p>
        </w:tc>
      </w:tr>
      <w:tr>
        <w:trPr>
          <w:trHeight w:val="14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9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57"/>
        </w:trPr>
        <w:tc>
          <w:tcPr>
            <w:tcW w:w="798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Purchase of property and equipment</w:t>
            </w:r>
          </w:p>
        </w:tc>
        <w:tc>
          <w:tcPr>
            <w:tcW w:w="9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r>
      <w:tr>
        <w:trPr>
          <w:trHeight w:val="161"/>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Purchase of investments</w:t>
            </w:r>
          </w:p>
        </w:tc>
        <w:tc>
          <w:tcPr>
            <w:tcW w:w="9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w:t>
            </w:r>
          </w:p>
        </w:tc>
      </w:tr>
      <w:tr>
        <w:trPr>
          <w:trHeight w:val="157"/>
        </w:trPr>
        <w:tc>
          <w:tcPr>
            <w:tcW w:w="79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2"/>
                <w:szCs w:val="12"/>
                <w:color w:val="auto"/>
              </w:rPr>
              <w:t>Additions to internally developed software</w:t>
            </w:r>
          </w:p>
        </w:tc>
        <w:tc>
          <w:tcPr>
            <w:tcW w:w="9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(449)</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2"/>
        </w:trPr>
        <w:tc>
          <w:tcPr>
            <w:tcW w:w="7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9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(1,455)</w:t>
            </w:r>
          </w:p>
        </w:tc>
        <w:tc>
          <w:tcPr>
            <w:tcW w:w="10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(1,524)</w:t>
            </w:r>
          </w:p>
        </w:tc>
      </w:tr>
      <w:tr>
        <w:trPr>
          <w:trHeight w:val="139"/>
        </w:trPr>
        <w:tc>
          <w:tcPr>
            <w:tcW w:w="79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5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9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(1,075)</w:t>
            </w:r>
          </w:p>
        </w:tc>
      </w:tr>
      <w:tr>
        <w:trPr>
          <w:trHeight w:val="157"/>
        </w:trPr>
        <w:tc>
          <w:tcPr>
            <w:tcW w:w="798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Restricted stock returned for payment of taxes</w:t>
            </w:r>
          </w:p>
        </w:tc>
        <w:tc>
          <w:tcPr>
            <w:tcW w:w="9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(1,335)</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(940)</w:t>
            </w:r>
          </w:p>
        </w:tc>
      </w:tr>
      <w:tr>
        <w:trPr>
          <w:trHeight w:val="161"/>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Payment of contingent consideration in acquisition</w:t>
            </w:r>
          </w:p>
        </w:tc>
        <w:tc>
          <w:tcPr>
            <w:tcW w:w="9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(1,815)</w:t>
            </w:r>
          </w:p>
        </w:tc>
      </w:tr>
      <w:tr>
        <w:trPr>
          <w:trHeight w:val="157"/>
        </w:trPr>
        <w:tc>
          <w:tcPr>
            <w:tcW w:w="79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2"/>
                <w:szCs w:val="12"/>
                <w:color w:val="auto"/>
              </w:rPr>
              <w:t>Cash dividends paid</w:t>
            </w:r>
          </w:p>
        </w:tc>
        <w:tc>
          <w:tcPr>
            <w:tcW w:w="9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(2,856)</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(2,983)</w:t>
            </w:r>
          </w:p>
        </w:tc>
      </w:tr>
      <w:tr>
        <w:trPr>
          <w:trHeight w:val="152"/>
        </w:trPr>
        <w:tc>
          <w:tcPr>
            <w:tcW w:w="7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Net cash used in financing activities</w:t>
            </w:r>
          </w:p>
        </w:tc>
        <w:tc>
          <w:tcPr>
            <w:tcW w:w="9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(4,392)</w:t>
            </w:r>
          </w:p>
        </w:tc>
        <w:tc>
          <w:tcPr>
            <w:tcW w:w="10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(6,813)</w:t>
            </w:r>
          </w:p>
        </w:tc>
      </w:tr>
      <w:tr>
        <w:trPr>
          <w:trHeight w:val="148"/>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NET CHANGE IN CASH AND CASH EQUIVALENTS</w:t>
            </w:r>
          </w:p>
        </w:tc>
        <w:tc>
          <w:tcPr>
            <w:tcW w:w="9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(3,444)</w:t>
            </w:r>
          </w:p>
        </w:tc>
        <w:tc>
          <w:tcPr>
            <w:tcW w:w="1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3,348</w:t>
            </w:r>
          </w:p>
        </w:tc>
      </w:tr>
      <w:tr>
        <w:trPr>
          <w:trHeight w:val="15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and cash equivalents, beginning of period</w:t>
            </w:r>
          </w:p>
        </w:tc>
        <w:tc>
          <w:tcPr>
            <w:tcW w:w="9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18,847</w:t>
            </w:r>
          </w:p>
        </w:tc>
        <w:tc>
          <w:tcPr>
            <w:tcW w:w="10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20,422</w:t>
            </w:r>
          </w:p>
        </w:tc>
      </w:tr>
      <w:tr>
        <w:trPr>
          <w:trHeight w:val="129"/>
        </w:trPr>
        <w:tc>
          <w:tcPr>
            <w:tcW w:w="798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color w:val="auto"/>
              </w:rPr>
              <w:t>Cash and cash equivalents, end of period</w:t>
            </w:r>
          </w:p>
        </w:tc>
        <w:tc>
          <w:tcPr>
            <w:tcW w:w="940" w:type="dxa"/>
            <w:vAlign w:val="bottom"/>
            <w:tcBorders>
              <w:bottom w:val="single" w:sz="8" w:color="auto"/>
            </w:tcBorders>
          </w:tcPr>
          <w:p>
            <w:pPr>
              <w:jc w:val="right"/>
              <w:ind w:right="82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15,403</w:t>
            </w:r>
          </w:p>
        </w:tc>
        <w:tc>
          <w:tcPr>
            <w:tcW w:w="100" w:type="dxa"/>
            <w:vAlign w:val="bottom"/>
          </w:tcPr>
          <w:p>
            <w:pPr>
              <w:spacing w:after="0"/>
              <w:rPr>
                <w:sz w:val="11"/>
                <w:szCs w:val="11"/>
                <w:color w:val="auto"/>
              </w:rPr>
            </w:pPr>
          </w:p>
        </w:tc>
        <w:tc>
          <w:tcPr>
            <w:tcW w:w="640" w:type="dxa"/>
            <w:vAlign w:val="bottom"/>
            <w:tcBorders>
              <w:bottom w:val="single" w:sz="8" w:color="auto"/>
            </w:tcBorders>
          </w:tcPr>
          <w:p>
            <w:pPr>
              <w:jc w:val="right"/>
              <w:ind w:right="500"/>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23,770</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20"/>
        </w:trPr>
        <w:tc>
          <w:tcPr>
            <w:tcW w:w="798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2"/>
                <w:szCs w:val="12"/>
                <w:b w:val="1"/>
                <w:bCs w:val="1"/>
                <w:color w:val="auto"/>
              </w:rPr>
              <w:t>SUPPLEMENTAL CASH FLOW INFORMATION:</w:t>
            </w:r>
          </w:p>
        </w:tc>
        <w:tc>
          <w:tcPr>
            <w:tcW w:w="9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r>
      <w:tr>
        <w:trPr>
          <w:trHeight w:val="157"/>
        </w:trPr>
        <w:tc>
          <w:tcPr>
            <w:tcW w:w="798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Cash paid during the period for income taxes</w:t>
            </w:r>
          </w:p>
        </w:tc>
        <w:tc>
          <w:tcPr>
            <w:tcW w:w="940" w:type="dxa"/>
            <w:vAlign w:val="bottom"/>
          </w:tcPr>
          <w:p>
            <w:pPr>
              <w:jc w:val="right"/>
              <w:ind w:right="82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w:t>
            </w:r>
          </w:p>
        </w:tc>
        <w:tc>
          <w:tcPr>
            <w:tcW w:w="100" w:type="dxa"/>
            <w:vAlign w:val="bottom"/>
          </w:tcPr>
          <w:p>
            <w:pPr>
              <w:spacing w:after="0"/>
              <w:rPr>
                <w:sz w:val="13"/>
                <w:szCs w:val="13"/>
                <w:color w:val="auto"/>
              </w:rPr>
            </w:pP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1,008</w:t>
            </w:r>
          </w:p>
        </w:tc>
      </w:tr>
      <w:tr>
        <w:trPr>
          <w:trHeight w:val="161"/>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Accrued dividends</w:t>
            </w:r>
          </w:p>
        </w:tc>
        <w:tc>
          <w:tcPr>
            <w:tcW w:w="940" w:type="dxa"/>
            <w:vAlign w:val="bottom"/>
            <w:shd w:val="clear" w:color="auto" w:fill="CCEEFF"/>
          </w:tcPr>
          <w:p>
            <w:pPr>
              <w:jc w:val="right"/>
              <w:ind w:right="82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2,430</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2,176</w:t>
            </w:r>
          </w:p>
        </w:tc>
      </w:tr>
      <w:tr>
        <w:trPr>
          <w:trHeight w:val="155"/>
        </w:trPr>
        <w:tc>
          <w:tcPr>
            <w:tcW w:w="798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Operating lease assets obtained in exchange for operating lease liabilities</w:t>
            </w:r>
          </w:p>
        </w:tc>
        <w:tc>
          <w:tcPr>
            <w:tcW w:w="940" w:type="dxa"/>
            <w:vAlign w:val="bottom"/>
          </w:tcPr>
          <w:p>
            <w:pPr>
              <w:jc w:val="right"/>
              <w:ind w:right="82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8,133</w:t>
            </w:r>
          </w:p>
        </w:tc>
        <w:tc>
          <w:tcPr>
            <w:tcW w:w="100" w:type="dxa"/>
            <w:vAlign w:val="bottom"/>
          </w:tcPr>
          <w:p>
            <w:pPr>
              <w:spacing w:after="0"/>
              <w:rPr>
                <w:sz w:val="13"/>
                <w:szCs w:val="13"/>
                <w:color w:val="auto"/>
              </w:rPr>
            </w:pP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DESCRIPTION OF THE BUSINESS</w:t>
      </w:r>
    </w:p>
    <w:p>
      <w:pPr>
        <w:spacing w:after="0" w:line="96" w:lineRule="exact"/>
        <w:rPr>
          <w:sz w:val="20"/>
          <w:szCs w:val="20"/>
          <w:color w:val="auto"/>
        </w:rPr>
      </w:pPr>
    </w:p>
    <w:p>
      <w:pPr>
        <w:ind w:right="140" w:firstLine="382"/>
        <w:spacing w:after="0" w:line="270" w:lineRule="auto"/>
        <w:rPr>
          <w:sz w:val="20"/>
          <w:szCs w:val="20"/>
          <w:color w:val="auto"/>
        </w:rPr>
      </w:pPr>
      <w:r>
        <w:rPr>
          <w:rFonts w:ascii="Times New Roman" w:cs="Times New Roman" w:eastAsia="Times New Roman" w:hAnsi="Times New Roman"/>
          <w:sz w:val="14"/>
          <w:szCs w:val="14"/>
          <w:color w:val="auto"/>
        </w:rPr>
        <w:t>Westwood Holdings Group, Inc. (“Westwood”, “the Company”, “we”, “us” or “our”) was incorporated under the laws of the State of Delaware on December 12, 2001. Westwood manages investment assets and provides services for its clients through its subsidiaries, Westwood Management Corp., Westwood Advisors, L.L.C., Salient Advisors, L.P. and Broadmark Asset Management LLC, (referred to hereinafter together as “Westwood Management”), and Westwood Trust.</w:t>
      </w:r>
    </w:p>
    <w:p>
      <w:pPr>
        <w:spacing w:after="0" w:line="51" w:lineRule="exact"/>
        <w:rPr>
          <w:sz w:val="20"/>
          <w:szCs w:val="20"/>
          <w:color w:val="auto"/>
        </w:rPr>
      </w:pPr>
    </w:p>
    <w:p>
      <w:pPr>
        <w:ind w:right="340" w:firstLine="382"/>
        <w:spacing w:after="0" w:line="264" w:lineRule="auto"/>
        <w:rPr>
          <w:sz w:val="20"/>
          <w:szCs w:val="20"/>
          <w:color w:val="auto"/>
        </w:rPr>
      </w:pPr>
      <w:r>
        <w:rPr>
          <w:rFonts w:ascii="Times New Roman" w:cs="Times New Roman" w:eastAsia="Times New Roman" w:hAnsi="Times New Roman"/>
          <w:sz w:val="14"/>
          <w:szCs w:val="14"/>
          <w:color w:val="auto"/>
        </w:rPr>
        <w:t>Westwood Management provides investment advisory services to institutional clients, a family of mutual funds called the Westwood Funds®, other mutual funds, individual investors and clients of Westwood Trust. Westwood Trust provides trust and custodial services and participation in self-sponsored common trust funds ("CTFs") to institutions and high net worth individuals. Revenue is largely dependent on the total value and composition of assets under management ("AUM") and assets under advisement ("AUA"), and fluctuations in financial markets and in the composition of AUM impact our revenues and results of operations.</w:t>
      </w:r>
    </w:p>
    <w:p>
      <w:pPr>
        <w:spacing w:after="0" w:line="5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Westwood Management is registered with the Securities and Exchange Commission ("SEC") as an investment adviser under the Investment Advisers Act of 1940, as amended. Westwood Trust is chartered and regulated by the Texas Department of Banking.</w:t>
      </w:r>
    </w:p>
    <w:p>
      <w:pPr>
        <w:spacing w:after="0" w:line="37" w:lineRule="exact"/>
        <w:rPr>
          <w:sz w:val="20"/>
          <w:szCs w:val="20"/>
          <w:color w:val="auto"/>
        </w:rPr>
      </w:pPr>
    </w:p>
    <w:p>
      <w:pPr>
        <w:ind w:left="40" w:right="7440" w:hanging="35"/>
        <w:spacing w:after="0" w:line="381" w:lineRule="auto"/>
        <w:tabs>
          <w:tab w:leader="none" w:pos="153"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 Basis of Presentation</w:t>
      </w:r>
    </w:p>
    <w:p>
      <w:pPr>
        <w:ind w:right="20" w:firstLine="382"/>
        <w:spacing w:after="0" w:line="259"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are unaudited and are presented in accordance with the requirements for quarterly reports on Form 10-Q and consequently do not include all of the information and footnote disclosures required by accounting principles generally accepted in the United States of America ("GAAP"). The Company’s Condensed Consolidated Financial Statements reflect all adjustments (consisting only of normal recurring adjustments) necessary to a fair statement of our interim financial position and results of operations and cash flows for the periods presented. The accompanying Condensed Consolidated Financial Statements are presented in accordance with GAAP and the rules and regulations of the SEC. The Condensed Consolidated Balance Sheets have been reclassified to unclassified balance sheets to better reflect the nature of the Company’s operations. Prior year amounts have been reclassified for consistency with the current year presentation.</w:t>
      </w:r>
    </w:p>
    <w:p>
      <w:pPr>
        <w:spacing w:after="0" w:line="61" w:lineRule="exact"/>
        <w:rPr>
          <w:sz w:val="20"/>
          <w:szCs w:val="20"/>
          <w:color w:val="auto"/>
        </w:rPr>
      </w:pPr>
    </w:p>
    <w:p>
      <w:pPr>
        <w:ind w:right="60" w:firstLine="382"/>
        <w:spacing w:after="0" w:line="264"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should be read in conjunction with our Consolidated Financial Statements, and notes thereto, included in our Annual Report on Form 10-K for the year ended December 31, 2024. Operating results for the periods in these Condensed Consolidated Financial Statements are not necessarily indicative of results for any future period. The accompanying Condensed Consolidated Financial Statements include the accounts of Westwood and its subsidiaries. All intercompany accounts and transactions have been eliminated upon consolidation.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Taxes</w:t>
      </w:r>
    </w:p>
    <w:p>
      <w:pPr>
        <w:spacing w:after="0" w:line="92" w:lineRule="exact"/>
        <w:rPr>
          <w:sz w:val="20"/>
          <w:szCs w:val="20"/>
          <w:color w:val="auto"/>
        </w:rPr>
      </w:pPr>
    </w:p>
    <w:p>
      <w:pPr>
        <w:ind w:right="160" w:firstLine="382"/>
        <w:spacing w:after="0" w:line="271" w:lineRule="auto"/>
        <w:rPr>
          <w:sz w:val="20"/>
          <w:szCs w:val="20"/>
          <w:color w:val="auto"/>
        </w:rPr>
      </w:pPr>
      <w:r>
        <w:rPr>
          <w:rFonts w:ascii="Times New Roman" w:cs="Times New Roman" w:eastAsia="Times New Roman" w:hAnsi="Times New Roman"/>
          <w:sz w:val="14"/>
          <w:szCs w:val="14"/>
          <w:color w:val="auto"/>
        </w:rPr>
        <w:t xml:space="preserve">On January 1, 2025,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xml:space="preserve"> ("ASU 2023-09"), became effective and requires, among other things, greater disaggregation of information in the rate reconciliation and for paid income taxes to be disaggregated by jurisdiction. ASU 2023-09 affects financial statement disclosure only, which is not required until year end 2025 and, as a result, does not affect our results of operations or financial condition.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Statement Reporting</w:t>
      </w:r>
    </w:p>
    <w:p>
      <w:pPr>
        <w:spacing w:after="0" w:line="92" w:lineRule="exact"/>
        <w:rPr>
          <w:sz w:val="20"/>
          <w:szCs w:val="20"/>
          <w:color w:val="auto"/>
        </w:rPr>
      </w:pPr>
    </w:p>
    <w:p>
      <w:pPr>
        <w:ind w:right="40" w:firstLine="382"/>
        <w:spacing w:after="0" w:line="262"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Statement-Reporting Comprehensive Income-Expense Disaggregation Disclosures (Subtopic 220-40): Disaggregation of Income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Statement Expenses </w:t>
      </w:r>
      <w:r>
        <w:rPr>
          <w:rFonts w:ascii="Times New Roman" w:cs="Times New Roman" w:eastAsia="Times New Roman" w:hAnsi="Times New Roman"/>
          <w:sz w:val="14"/>
          <w:szCs w:val="14"/>
          <w:color w:val="auto"/>
        </w:rPr>
        <w:t>("ASU 2024-03"). ASU 2024-03 requires public companies to disclose, in the notes to financial statements, specified information about certain costs and expenses at each interim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and annual reporting period. The FASB further clarified the effective date in January 2025 with the issuance of ASU 2025-01, </w:t>
      </w:r>
      <w:r>
        <w:rPr>
          <w:rFonts w:ascii="Times New Roman" w:cs="Times New Roman" w:eastAsia="Times New Roman" w:hAnsi="Times New Roman"/>
          <w:sz w:val="14"/>
          <w:szCs w:val="14"/>
          <w:i w:val="1"/>
          <w:iCs w:val="1"/>
          <w:color w:val="auto"/>
        </w:rPr>
        <w:t>Income Statement - Reporting Comprehensive Income - Expense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Disaggregation Disclosures (Subtopic 220-40): Clarifying the Effective Date </w:t>
      </w:r>
      <w:r>
        <w:rPr>
          <w:rFonts w:ascii="Times New Roman" w:cs="Times New Roman" w:eastAsia="Times New Roman" w:hAnsi="Times New Roman"/>
          <w:sz w:val="14"/>
          <w:szCs w:val="14"/>
          <w:color w:val="auto"/>
        </w:rPr>
        <w:t>("ASU 2025-01"). ASU 2024-03 is effective for annual periods beginning after December 15, 2026, and interim periods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within annual reporting periods beginning after December 15, 2027, with early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(Continued), (Unaudited)</w:t>
      </w:r>
    </w:p>
    <w:p>
      <w:pPr>
        <w:spacing w:after="0" w:line="355"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adoption permitted. The requirements should be applied on a prospective basis while retrospective application is permitted. We are in the process of analyzing the impact of this ASU on our consolidated financial statements.</w:t>
      </w:r>
    </w:p>
    <w:p>
      <w:pPr>
        <w:spacing w:after="0" w:line="37" w:lineRule="exact"/>
        <w:rPr>
          <w:sz w:val="20"/>
          <w:szCs w:val="20"/>
          <w:color w:val="auto"/>
        </w:rPr>
      </w:pPr>
    </w:p>
    <w:p>
      <w:pPr>
        <w:ind w:right="9980" w:firstLine="5"/>
        <w:spacing w:after="0" w:line="381" w:lineRule="auto"/>
        <w:tabs>
          <w:tab w:leader="none" w:pos="141"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REVENUE Revenue Recognition</w:t>
      </w:r>
    </w:p>
    <w:p>
      <w:pPr>
        <w:jc w:val="both"/>
        <w:ind w:right="440" w:firstLine="382"/>
        <w:spacing w:after="0" w:line="268" w:lineRule="auto"/>
        <w:rPr>
          <w:sz w:val="20"/>
          <w:szCs w:val="20"/>
          <w:color w:val="auto"/>
        </w:rPr>
      </w:pPr>
      <w:r>
        <w:rPr>
          <w:rFonts w:ascii="Times New Roman" w:cs="Times New Roman" w:eastAsia="Times New Roman" w:hAnsi="Times New Roman"/>
          <w:sz w:val="14"/>
          <w:szCs w:val="14"/>
          <w:color w:val="auto"/>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 revenues from investment advisory fees, trust fees and other sources of revenues such as gains and losses from our seed money investments into new investment strategies. The "Other, net” revenues on our</w:t>
      </w:r>
    </w:p>
    <w:p>
      <w:pPr>
        <w:spacing w:after="0" w:line="2"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Condensed Consolidated Statements of Operations are the unrealized gains and losses on our seed money investments, and our seed money investments are included in "Investments, at fair value" on our Condensed Consolidated Balance Sheets. Advisory and trust fees are calculated based on a percentage of AUM or AUA, as applicable, and the performance obligation is realized over the current calendar quarter. Once clients receive our investment advisory services we have an enforceable right to payment.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Advisory Fee Revenues</w:t>
      </w:r>
    </w:p>
    <w:p>
      <w:pPr>
        <w:spacing w:after="0" w:line="96"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4"/>
          <w:szCs w:val="14"/>
          <w:color w:val="auto"/>
        </w:rPr>
        <w:t>Our advisory fees are generated by Westwood Management for managing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Since our advance paying clients' billing periods coincide with the calendar quarter to which such payments relate, revenue is recognized within the quarter and our Condensed Consolidated Financial Statements contain no deferred advisory fee revenues. Advisory clients typically consist of institutional and mutual fund accounts.</w:t>
      </w:r>
    </w:p>
    <w:p>
      <w:pPr>
        <w:spacing w:after="0" w:line="58" w:lineRule="exact"/>
        <w:rPr>
          <w:sz w:val="20"/>
          <w:szCs w:val="20"/>
          <w:color w:val="auto"/>
        </w:rPr>
      </w:pPr>
    </w:p>
    <w:p>
      <w:pPr>
        <w:ind w:right="260" w:firstLine="382"/>
        <w:spacing w:after="0" w:line="270" w:lineRule="auto"/>
        <w:rPr>
          <w:sz w:val="20"/>
          <w:szCs w:val="20"/>
          <w:color w:val="auto"/>
        </w:rPr>
      </w:pPr>
      <w:r>
        <w:rPr>
          <w:rFonts w:ascii="Times New Roman" w:cs="Times New Roman" w:eastAsia="Times New Roman" w:hAnsi="Times New Roman"/>
          <w:sz w:val="14"/>
          <w:szCs w:val="14"/>
          <w:color w:val="auto"/>
        </w:rPr>
        <w:t>Institutional investors include separate accounts of (i)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registered investment advisors that offer Westwood products to their customers.</w:t>
      </w:r>
    </w:p>
    <w:p>
      <w:pPr>
        <w:spacing w:after="0" w:line="51" w:lineRule="exact"/>
        <w:rPr>
          <w:sz w:val="20"/>
          <w:szCs w:val="20"/>
          <w:color w:val="auto"/>
        </w:rPr>
      </w:pPr>
    </w:p>
    <w:p>
      <w:pPr>
        <w:ind w:right="20" w:firstLine="382"/>
        <w:spacing w:after="0" w:line="287" w:lineRule="auto"/>
        <w:rPr>
          <w:sz w:val="20"/>
          <w:szCs w:val="20"/>
          <w:color w:val="auto"/>
        </w:rPr>
      </w:pPr>
      <w:r>
        <w:rPr>
          <w:rFonts w:ascii="Times New Roman" w:cs="Times New Roman" w:eastAsia="Times New Roman" w:hAnsi="Times New Roman"/>
          <w:sz w:val="14"/>
          <w:szCs w:val="14"/>
          <w:color w:val="auto"/>
        </w:rPr>
        <w:t>Mutual funds include the Westwood Funds®, a family of mutual funds for which Westwood Management serves as advisor. These funds are available to individual investors, as well as offered as part of our suite of investment strategies for institutional investors and wealth management accounts.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Arrangements with Performance-Based Obligations</w:t>
      </w:r>
    </w:p>
    <w:p>
      <w:pPr>
        <w:spacing w:after="0" w:line="96" w:lineRule="exact"/>
        <w:rPr>
          <w:sz w:val="20"/>
          <w:szCs w:val="20"/>
          <w:color w:val="auto"/>
        </w:rPr>
      </w:pPr>
    </w:p>
    <w:p>
      <w:pPr>
        <w:ind w:right="20" w:firstLine="382"/>
        <w:spacing w:after="0" w:line="270" w:lineRule="auto"/>
        <w:rPr>
          <w:sz w:val="20"/>
          <w:szCs w:val="20"/>
          <w:color w:val="auto"/>
        </w:rPr>
      </w:pPr>
      <w:r>
        <w:rPr>
          <w:rFonts w:ascii="Times New Roman" w:cs="Times New Roman" w:eastAsia="Times New Roman" w:hAnsi="Times New Roman"/>
          <w:sz w:val="14"/>
          <w:szCs w:val="14"/>
          <w:color w:val="auto"/>
        </w:rPr>
        <w:t>A limited number of our advisory clients have a contractual performance-based fee component in their contracts, which generates additional revenues if we outperform a specified index over a specific period of time, and a limited number of our mutual fund offerings have fees that generate additional revenues if we outperform specified indices over specific periods of time. Performance-based fees are paid after the performance obligation has been satisfied.</w:t>
      </w:r>
    </w:p>
    <w:p>
      <w:pPr>
        <w:spacing w:after="0" w:line="51" w:lineRule="exact"/>
        <w:rPr>
          <w:sz w:val="20"/>
          <w:szCs w:val="20"/>
          <w:color w:val="auto"/>
        </w:rPr>
      </w:pPr>
    </w:p>
    <w:p>
      <w:pPr>
        <w:ind w:right="340" w:firstLine="382"/>
        <w:spacing w:after="0" w:line="287" w:lineRule="auto"/>
        <w:rPr>
          <w:sz w:val="20"/>
          <w:szCs w:val="20"/>
          <w:color w:val="auto"/>
        </w:rPr>
      </w:pPr>
      <w:r>
        <w:rPr>
          <w:rFonts w:ascii="Times New Roman" w:cs="Times New Roman" w:eastAsia="Times New Roman" w:hAnsi="Times New Roman"/>
          <w:sz w:val="14"/>
          <w:szCs w:val="14"/>
          <w:color w:val="auto"/>
        </w:rPr>
        <w:t>The revenue is based on future market performance and is subject to many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Trust Fee Revenues</w:t>
      </w:r>
    </w:p>
    <w:p>
      <w:pPr>
        <w:spacing w:after="0" w:line="96"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The fees for most of our trust clients are calculated quarterly in arrears, based on a daily average of AUM for the quarter, or monthly, based on the month-end value of AUM. Since billing periods for most of Westwood Trust’s clients coincide with the calendar quarter, revenue is fully recognized within the quarter and our Condensed Consolidated Financial Statements contain no deferred fee revenues.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Disaggregated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(Continued), (Unaudited)</w:t>
      </w:r>
    </w:p>
    <w:p>
      <w:pPr>
        <w:spacing w:after="0" w:line="3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our revenue disaggregated by account type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2960" w:type="dxa"/>
            <w:vAlign w:val="bottom"/>
            <w:tcBorders>
              <w:bottom w:val="single" w:sz="8" w:color="auto"/>
            </w:tcBorders>
            <w:gridSpan w:val="4"/>
          </w:tcPr>
          <w:p>
            <w:pPr>
              <w:jc w:val="right"/>
              <w:ind w:right="292"/>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1000" w:type="dxa"/>
            <w:vAlign w:val="bottom"/>
            <w:tcBorders>
              <w:bottom w:val="single" w:sz="8" w:color="auto"/>
            </w:tcBorders>
          </w:tcPr>
          <w:p>
            <w:pPr>
              <w:spacing w:after="0"/>
              <w:rPr>
                <w:sz w:val="14"/>
                <w:szCs w:val="14"/>
                <w:color w:val="auto"/>
              </w:rPr>
            </w:pPr>
          </w:p>
        </w:tc>
      </w:tr>
      <w:tr>
        <w:trPr>
          <w:trHeight w:val="161"/>
        </w:trPr>
        <w:tc>
          <w:tcPr>
            <w:tcW w:w="40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3"/>
                <w:szCs w:val="13"/>
                <w:b w:val="1"/>
                <w:bCs w:val="1"/>
                <w:color w:val="auto"/>
                <w:w w:val="92"/>
              </w:rPr>
              <w:t>2024</w:t>
            </w:r>
          </w:p>
        </w:tc>
      </w:tr>
      <w:tr>
        <w:trPr>
          <w:trHeight w:val="16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Advisory Fees:</w:t>
            </w:r>
          </w:p>
        </w:tc>
        <w:tc>
          <w:tcPr>
            <w:tcW w:w="1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0"/>
        </w:trPr>
        <w:tc>
          <w:tcPr>
            <w:tcW w:w="4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Institutional</w:t>
            </w:r>
          </w:p>
        </w:tc>
        <w:tc>
          <w:tcPr>
            <w:tcW w:w="1140" w:type="dxa"/>
            <w:vAlign w:val="bottom"/>
          </w:tcPr>
          <w:p>
            <w:pPr>
              <w:jc w:val="right"/>
              <w:ind w:right="993"/>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10,626</w:t>
            </w:r>
          </w:p>
        </w:tc>
        <w:tc>
          <w:tcPr>
            <w:tcW w:w="100" w:type="dxa"/>
            <w:vAlign w:val="bottom"/>
          </w:tcPr>
          <w:p>
            <w:pPr>
              <w:spacing w:after="0"/>
              <w:rPr>
                <w:sz w:val="15"/>
                <w:szCs w:val="15"/>
                <w:color w:val="auto"/>
              </w:rPr>
            </w:pPr>
          </w:p>
        </w:tc>
        <w:tc>
          <w:tcPr>
            <w:tcW w:w="1140" w:type="dxa"/>
            <w:vAlign w:val="bottom"/>
          </w:tcPr>
          <w:p>
            <w:pPr>
              <w:jc w:val="right"/>
              <w:ind w:right="99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9,718</w:t>
            </w:r>
          </w:p>
        </w:tc>
        <w:tc>
          <w:tcPr>
            <w:tcW w:w="8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20,880</w:t>
            </w:r>
          </w:p>
        </w:tc>
        <w:tc>
          <w:tcPr>
            <w:tcW w:w="100" w:type="dxa"/>
            <w:vAlign w:val="bottom"/>
          </w:tcPr>
          <w:p>
            <w:pPr>
              <w:spacing w:after="0"/>
              <w:rPr>
                <w:sz w:val="15"/>
                <w:szCs w:val="15"/>
                <w:color w:val="auto"/>
              </w:rPr>
            </w:pPr>
          </w:p>
        </w:tc>
        <w:tc>
          <w:tcPr>
            <w:tcW w:w="72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19,189</w:t>
            </w:r>
          </w:p>
        </w:tc>
      </w:tr>
      <w:tr>
        <w:trPr>
          <w:trHeight w:val="180"/>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Mutual Funds</w:t>
            </w:r>
          </w:p>
        </w:tc>
        <w:tc>
          <w:tcPr>
            <w:tcW w:w="1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6,744</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13,576</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13,767</w:t>
            </w:r>
          </w:p>
        </w:tc>
      </w:tr>
      <w:tr>
        <w:trPr>
          <w:trHeight w:val="180"/>
        </w:trPr>
        <w:tc>
          <w:tcPr>
            <w:tcW w:w="4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Wealth Management</w:t>
            </w:r>
          </w:p>
        </w:tc>
        <w:tc>
          <w:tcPr>
            <w:tcW w:w="1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8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Trust Fees</w:t>
            </w:r>
          </w:p>
        </w:tc>
        <w:tc>
          <w:tcPr>
            <w:tcW w:w="1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5,069</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5,227</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10,498</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10,340</w:t>
            </w:r>
          </w:p>
        </w:tc>
      </w:tr>
      <w:tr>
        <w:trPr>
          <w:trHeight w:val="18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1,124</w:t>
            </w:r>
          </w:p>
        </w:tc>
      </w:tr>
      <w:tr>
        <w:trPr>
          <w:trHeight w:val="196"/>
        </w:trPr>
        <w:tc>
          <w:tcPr>
            <w:tcW w:w="4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revenues</w:t>
            </w:r>
          </w:p>
        </w:tc>
        <w:tc>
          <w:tcPr>
            <w:tcW w:w="114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23,120</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99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22,688</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46,372</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45,420</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our revenue disaggregated by our clients' geographical locations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June 30, 2025</w:t>
            </w:r>
          </w:p>
        </w:tc>
        <w:tc>
          <w:tcPr>
            <w:tcW w:w="24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Advisory</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Trust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Other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18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17,733</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5,069</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22,898</w:t>
            </w:r>
          </w:p>
        </w:tc>
      </w:tr>
      <w:tr>
        <w:trPr>
          <w:trHeight w:val="196"/>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17,955</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5,069</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300"/>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June 30, 2024</w:t>
            </w:r>
          </w:p>
        </w:tc>
        <w:tc>
          <w:tcPr>
            <w:tcW w:w="240" w:type="dxa"/>
            <w:vAlign w:val="bottom"/>
          </w:tcPr>
          <w:p>
            <w:pPr>
              <w:spacing w:after="0"/>
              <w:rPr>
                <w:sz w:val="24"/>
                <w:szCs w:val="24"/>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Advisory</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Trust</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Other</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r>
      <w:tr>
        <w:trPr>
          <w:trHeight w:val="18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16,879</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5,227</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22,428</w:t>
            </w:r>
          </w:p>
        </w:tc>
      </w:tr>
      <w:tr>
        <w:trPr>
          <w:trHeight w:val="196"/>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17,139</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5,227</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22,688</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586"/>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Six Months Ended June 30, 2025</w:t>
            </w:r>
          </w:p>
        </w:tc>
        <w:tc>
          <w:tcPr>
            <w:tcW w:w="240" w:type="dxa"/>
            <w:vAlign w:val="bottom"/>
          </w:tcPr>
          <w:p>
            <w:pPr>
              <w:spacing w:after="0"/>
              <w:rPr>
                <w:sz w:val="24"/>
                <w:szCs w:val="24"/>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Advisory</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Trust</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Other</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r>
      <w:tr>
        <w:trPr>
          <w:trHeight w:val="18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35,226</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10,498</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45,912</w:t>
            </w:r>
          </w:p>
        </w:tc>
      </w:tr>
      <w:tr>
        <w:trPr>
          <w:trHeight w:val="196"/>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35,686</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10,498</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46,372</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310"/>
        </w:trPr>
        <w:tc>
          <w:tcPr>
            <w:tcW w:w="5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Six Months Ended June 30, 2024</w:t>
            </w:r>
          </w:p>
        </w:tc>
        <w:tc>
          <w:tcPr>
            <w:tcW w:w="240" w:type="dxa"/>
            <w:vAlign w:val="bottom"/>
          </w:tcPr>
          <w:p>
            <w:pPr>
              <w:spacing w:after="0"/>
              <w:rPr>
                <w:sz w:val="24"/>
                <w:szCs w:val="24"/>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Advisory</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Trust</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Other</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r>
      <w:tr>
        <w:trPr>
          <w:trHeight w:val="18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33,439</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10,340</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44,903</w:t>
            </w:r>
          </w:p>
        </w:tc>
      </w:tr>
      <w:tr>
        <w:trPr>
          <w:trHeight w:val="196"/>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33,956</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10,340</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45,420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SEGMENT REPORTING</w:t>
      </w:r>
    </w:p>
    <w:p>
      <w:pPr>
        <w:spacing w:after="0" w:line="96" w:lineRule="exact"/>
        <w:rPr>
          <w:sz w:val="20"/>
          <w:szCs w:val="20"/>
          <w:color w:val="auto"/>
        </w:rPr>
      </w:pPr>
    </w:p>
    <w:p>
      <w:pPr>
        <w:ind w:right="400" w:firstLine="382"/>
        <w:spacing w:after="0" w:line="287" w:lineRule="auto"/>
        <w:rPr>
          <w:sz w:val="20"/>
          <w:szCs w:val="20"/>
          <w:color w:val="auto"/>
        </w:rPr>
      </w:pPr>
      <w:r>
        <w:rPr>
          <w:rFonts w:ascii="Times New Roman" w:cs="Times New Roman" w:eastAsia="Times New Roman" w:hAnsi="Times New Roman"/>
          <w:sz w:val="14"/>
          <w:szCs w:val="14"/>
          <w:color w:val="auto"/>
        </w:rPr>
        <w:t>We operate two segments: Advisory and Trust. These segments are managed separately based on the types of products and services offered and their related client bases. The Company’s segment information is prepared on the same basis that management uses to review the financial information for operational decision-making purposes.</w:t>
      </w:r>
    </w:p>
    <w:p>
      <w:pPr>
        <w:spacing w:after="0" w:line="39" w:lineRule="exact"/>
        <w:rPr>
          <w:sz w:val="20"/>
          <w:szCs w:val="20"/>
          <w:color w:val="auto"/>
        </w:rPr>
      </w:pPr>
    </w:p>
    <w:p>
      <w:pPr>
        <w:ind w:right="420" w:firstLine="382"/>
        <w:spacing w:after="0" w:line="287" w:lineRule="auto"/>
        <w:rPr>
          <w:sz w:val="20"/>
          <w:szCs w:val="20"/>
          <w:color w:val="auto"/>
        </w:rPr>
      </w:pPr>
      <w:r>
        <w:rPr>
          <w:rFonts w:ascii="Times New Roman" w:cs="Times New Roman" w:eastAsia="Times New Roman" w:hAnsi="Times New Roman"/>
          <w:sz w:val="14"/>
          <w:szCs w:val="14"/>
          <w:color w:val="auto"/>
        </w:rPr>
        <w:t>The Company's Chief Operating Decision Maker ("CODM"), our Chief Executive Officer, evaluates the performance of our segments based primarily on revenues. The CODM does not evaluate the performance of our segments on segment expenses so those have not been disclosed.</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(Continued), (Unaudited)</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Advisory</w:t>
      </w:r>
    </w:p>
    <w:p>
      <w:pPr>
        <w:spacing w:after="0" w:line="96"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Our Advisory segment provides investment advisory services to (i) corporate pension and profit sharing plans, public employee retirement funds, Taft-Hartley plans, endowments, foundations and individuals, (ii) sub-advisory relationships where Westwood provides investment management services to the Westwood Funds®, funds offered by other financial institutions and funds offered by our Trust segment and (iii) pooled investment vehicles, including collective investment trusts. Westwood Management provides investment advisory services to similar clients, which are included in our Advisory segment.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Trust</w:t>
      </w:r>
    </w:p>
    <w:p>
      <w:pPr>
        <w:spacing w:after="0" w:line="96" w:lineRule="exact"/>
        <w:rPr>
          <w:sz w:val="20"/>
          <w:szCs w:val="20"/>
          <w:color w:val="auto"/>
        </w:rPr>
      </w:pPr>
    </w:p>
    <w:p>
      <w:pPr>
        <w:ind w:right="100" w:firstLine="382"/>
        <w:spacing w:after="0" w:line="278" w:lineRule="auto"/>
        <w:rPr>
          <w:sz w:val="20"/>
          <w:szCs w:val="20"/>
          <w:color w:val="auto"/>
        </w:rPr>
      </w:pPr>
      <w:r>
        <w:rPr>
          <w:rFonts w:ascii="Times New Roman" w:cs="Times New Roman" w:eastAsia="Times New Roman" w:hAnsi="Times New Roman"/>
          <w:sz w:val="14"/>
          <w:szCs w:val="14"/>
          <w:color w:val="auto"/>
        </w:rPr>
        <w:t>Westwood Trust provides trust and custodial services and participation in common trust funds that it sponsors to institutions and high net worth individuals. Westwood Trust is included in our Trust segment.</w:t>
      </w:r>
    </w:p>
    <w:tbl>
      <w:tblPr>
        <w:tblLayout w:type="fixed"/>
        <w:tblInd w:w="0" w:type="dxa"/>
        <w:tblCellMar>
          <w:top w:w="0" w:type="dxa"/>
          <w:left w:w="0" w:type="dxa"/>
          <w:bottom w:w="0" w:type="dxa"/>
          <w:right w:w="0" w:type="dxa"/>
        </w:tblCellMar>
      </w:tblPr>
      <w:tr>
        <w:trPr>
          <w:trHeight w:val="130"/>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80" w:type="dxa"/>
            <w:vAlign w:val="bottom"/>
          </w:tcPr>
          <w:p>
            <w:pPr>
              <w:spacing w:after="0"/>
              <w:rPr>
                <w:sz w:val="11"/>
                <w:szCs w:val="11"/>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Advisory</w:t>
            </w:r>
          </w:p>
        </w:tc>
        <w:tc>
          <w:tcPr>
            <w:tcW w:w="240" w:type="dxa"/>
            <w:vAlign w:val="bottom"/>
          </w:tcPr>
          <w:p>
            <w:pPr>
              <w:spacing w:after="0"/>
              <w:rPr>
                <w:sz w:val="11"/>
                <w:szCs w:val="11"/>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Trust</w:t>
            </w:r>
          </w:p>
        </w:tc>
        <w:tc>
          <w:tcPr>
            <w:tcW w:w="160" w:type="dxa"/>
            <w:vAlign w:val="bottom"/>
          </w:tcPr>
          <w:p>
            <w:pPr>
              <w:spacing w:after="0"/>
              <w:rPr>
                <w:sz w:val="11"/>
                <w:szCs w:val="11"/>
                <w:color w:val="auto"/>
              </w:rPr>
            </w:pPr>
          </w:p>
        </w:tc>
        <w:tc>
          <w:tcPr>
            <w:tcW w:w="1000" w:type="dxa"/>
            <w:vAlign w:val="bottom"/>
            <w:gridSpan w:val="2"/>
          </w:tcPr>
          <w:p>
            <w:pPr>
              <w:jc w:val="center"/>
              <w:ind w:right="280"/>
              <w:spacing w:after="0" w:line="130" w:lineRule="exact"/>
              <w:rPr>
                <w:sz w:val="20"/>
                <w:szCs w:val="20"/>
                <w:color w:val="auto"/>
              </w:rPr>
            </w:pPr>
            <w:r>
              <w:rPr>
                <w:rFonts w:ascii="Times New Roman" w:cs="Times New Roman" w:eastAsia="Times New Roman" w:hAnsi="Times New Roman"/>
                <w:sz w:val="13"/>
                <w:szCs w:val="13"/>
                <w:b w:val="1"/>
                <w:bCs w:val="1"/>
                <w:color w:val="auto"/>
                <w:w w:val="96"/>
              </w:rPr>
              <w:t>Westwood</w:t>
            </w:r>
          </w:p>
        </w:tc>
        <w:tc>
          <w:tcPr>
            <w:tcW w:w="180" w:type="dxa"/>
            <w:vAlign w:val="bottom"/>
          </w:tcPr>
          <w:p>
            <w:pPr>
              <w:spacing w:after="0"/>
              <w:rPr>
                <w:sz w:val="11"/>
                <w:szCs w:val="11"/>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00" w:type="dxa"/>
            <w:vAlign w:val="bottom"/>
          </w:tcPr>
          <w:p>
            <w:pPr>
              <w:spacing w:after="0"/>
              <w:rPr>
                <w:sz w:val="11"/>
                <w:szCs w:val="11"/>
                <w:color w:val="auto"/>
              </w:rPr>
            </w:pPr>
          </w:p>
        </w:tc>
        <w:tc>
          <w:tcPr>
            <w:tcW w:w="1100" w:type="dxa"/>
            <w:vAlign w:val="bottom"/>
            <w:vMerge w:val="restart"/>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69"/>
        </w:trPr>
        <w:tc>
          <w:tcPr>
            <w:tcW w:w="5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Holdings</w:t>
            </w:r>
          </w:p>
        </w:tc>
        <w:tc>
          <w:tcPr>
            <w:tcW w:w="1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June 30, 2025</w:t>
            </w:r>
          </w:p>
        </w:tc>
        <w:tc>
          <w:tcPr>
            <w:tcW w:w="1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fee revenues from external sources</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17,955</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5,069</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23,024</w:t>
            </w:r>
          </w:p>
        </w:tc>
        <w:tc>
          <w:tcPr>
            <w:tcW w:w="0" w:type="dxa"/>
            <w:vAlign w:val="bottom"/>
          </w:tcPr>
          <w:p>
            <w:pPr>
              <w:spacing w:after="0"/>
              <w:rPr>
                <w:sz w:val="1"/>
                <w:szCs w:val="1"/>
                <w:color w:val="auto"/>
              </w:rPr>
            </w:pPr>
          </w:p>
        </w:tc>
      </w:tr>
      <w:tr>
        <w:trPr>
          <w:trHeight w:val="17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intersegment revenues</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net</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85"/>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w:t>
            </w: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19,520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23,120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120" w:type="dxa"/>
            <w:vAlign w:val="bottom"/>
            <w:tcBorders>
              <w:top w:val="single" w:sz="8" w:color="CCEEFF"/>
            </w:tcBorders>
            <w:vMerge w:val="continue"/>
          </w:tcPr>
          <w:p>
            <w:pPr>
              <w:spacing w:after="0"/>
              <w:rPr>
                <w:sz w:val="11"/>
                <w:szCs w:val="11"/>
                <w:color w:val="auto"/>
              </w:rPr>
            </w:pPr>
          </w:p>
        </w:tc>
        <w:tc>
          <w:tcPr>
            <w:tcW w:w="180" w:type="dxa"/>
            <w:vAlign w:val="bottom"/>
            <w:tcBorders>
              <w:top w:val="single" w:sz="8" w:color="auto"/>
            </w:tcBorders>
          </w:tcPr>
          <w:p>
            <w:pPr>
              <w:jc w:val="right"/>
              <w:ind w:right="3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122</w:t>
            </w:r>
          </w:p>
        </w:tc>
        <w:tc>
          <w:tcPr>
            <w:tcW w:w="80" w:type="dxa"/>
            <w:vAlign w:val="bottom"/>
          </w:tcPr>
          <w:p>
            <w:pPr>
              <w:spacing w:after="0"/>
              <w:rPr>
                <w:sz w:val="11"/>
                <w:szCs w:val="11"/>
                <w:color w:val="auto"/>
              </w:rPr>
            </w:pPr>
          </w:p>
        </w:tc>
        <w:tc>
          <w:tcPr>
            <w:tcW w:w="240" w:type="dxa"/>
            <w:vAlign w:val="bottom"/>
            <w:tcBorders>
              <w:top w:val="single" w:sz="8" w:color="auto"/>
            </w:tcBorders>
          </w:tcPr>
          <w:p>
            <w:pPr>
              <w:jc w:val="right"/>
              <w:ind w:right="9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137</w:t>
            </w:r>
          </w:p>
        </w:tc>
        <w:tc>
          <w:tcPr>
            <w:tcW w:w="100" w:type="dxa"/>
            <w:vAlign w:val="bottom"/>
          </w:tcPr>
          <w:p>
            <w:pPr>
              <w:spacing w:after="0"/>
              <w:rPr>
                <w:sz w:val="11"/>
                <w:szCs w:val="11"/>
                <w:color w:val="auto"/>
              </w:rPr>
            </w:pPr>
          </w:p>
        </w:tc>
        <w:tc>
          <w:tcPr>
            <w:tcW w:w="160" w:type="dxa"/>
            <w:vAlign w:val="bottom"/>
            <w:tcBorders>
              <w:top w:val="single" w:sz="8" w:color="auto"/>
            </w:tcBorders>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Borders>
              <w:top w:val="single" w:sz="8" w:color="auto"/>
            </w:tcBorders>
          </w:tcPr>
          <w:p>
            <w:pPr>
              <w:jc w:val="right"/>
              <w:ind w:right="3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tcPr>
          <w:p>
            <w:pPr>
              <w:ind w:left="9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0" w:type="dxa"/>
            <w:vAlign w:val="bottom"/>
            <w:tcBorders>
              <w:top w:val="single" w:sz="8" w:color="auto"/>
            </w:tcBorders>
          </w:tcPr>
          <w:p>
            <w:pPr>
              <w:jc w:val="right"/>
              <w:ind w:right="5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259</w:t>
            </w:r>
          </w:p>
        </w:tc>
        <w:tc>
          <w:tcPr>
            <w:tcW w:w="0" w:type="dxa"/>
            <w:vAlign w:val="bottom"/>
          </w:tcPr>
          <w:p>
            <w:pPr>
              <w:spacing w:after="0"/>
              <w:rPr>
                <w:sz w:val="1"/>
                <w:szCs w:val="1"/>
                <w:color w:val="auto"/>
              </w:rPr>
            </w:pPr>
          </w:p>
        </w:tc>
      </w:tr>
      <w:tr>
        <w:trPr>
          <w:trHeight w:val="17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w:t>
            </w:r>
          </w:p>
        </w:tc>
        <w:tc>
          <w:tcPr>
            <w:tcW w:w="0" w:type="dxa"/>
            <w:vAlign w:val="bottom"/>
          </w:tcPr>
          <w:p>
            <w:pPr>
              <w:spacing w:after="0"/>
              <w:rPr>
                <w:sz w:val="1"/>
                <w:szCs w:val="1"/>
                <w:color w:val="auto"/>
              </w:rPr>
            </w:pPr>
          </w:p>
        </w:tc>
      </w:tr>
      <w:tr>
        <w:trPr>
          <w:trHeight w:val="168"/>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Segment assets</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315,096</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45,201</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22,780</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(236,798)</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146,279</w:t>
            </w:r>
          </w:p>
        </w:tc>
        <w:tc>
          <w:tcPr>
            <w:tcW w:w="0" w:type="dxa"/>
            <w:vAlign w:val="bottom"/>
          </w:tcPr>
          <w:p>
            <w:pPr>
              <w:spacing w:after="0"/>
              <w:rPr>
                <w:sz w:val="1"/>
                <w:szCs w:val="1"/>
                <w:color w:val="auto"/>
              </w:rPr>
            </w:pPr>
          </w:p>
        </w:tc>
      </w:tr>
      <w:tr>
        <w:trPr>
          <w:trHeight w:val="17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Segment goodwill</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39,501</w:t>
            </w:r>
          </w:p>
        </w:tc>
        <w:tc>
          <w:tcPr>
            <w:tcW w:w="0" w:type="dxa"/>
            <w:vAlign w:val="bottom"/>
          </w:tcPr>
          <w:p>
            <w:pPr>
              <w:spacing w:after="0"/>
              <w:rPr>
                <w:sz w:val="1"/>
                <w:szCs w:val="1"/>
                <w:color w:val="auto"/>
              </w:rPr>
            </w:pPr>
          </w:p>
        </w:tc>
      </w:tr>
      <w:tr>
        <w:trPr>
          <w:trHeight w:val="168"/>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Segment equity-method investments</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4,197</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4,197</w:t>
            </w:r>
          </w:p>
        </w:tc>
        <w:tc>
          <w:tcPr>
            <w:tcW w:w="0" w:type="dxa"/>
            <w:vAlign w:val="bottom"/>
          </w:tcPr>
          <w:p>
            <w:pPr>
              <w:spacing w:after="0"/>
              <w:rPr>
                <w:sz w:val="1"/>
                <w:szCs w:val="1"/>
                <w:color w:val="auto"/>
              </w:rPr>
            </w:pPr>
          </w:p>
        </w:tc>
      </w:tr>
      <w:tr>
        <w:trPr>
          <w:trHeight w:val="17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Segment expenditures for long-lived assets</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202"/>
        </w:trPr>
        <w:tc>
          <w:tcPr>
            <w:tcW w:w="5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June 30, 2024</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fee revenues from external sources</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17,139</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5,227</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22,366</w:t>
            </w:r>
          </w:p>
        </w:tc>
        <w:tc>
          <w:tcPr>
            <w:tcW w:w="0" w:type="dxa"/>
            <w:vAlign w:val="bottom"/>
          </w:tcPr>
          <w:p>
            <w:pPr>
              <w:spacing w:after="0"/>
              <w:rPr>
                <w:sz w:val="1"/>
                <w:szCs w:val="1"/>
                <w:color w:val="auto"/>
              </w:rPr>
            </w:pPr>
          </w:p>
        </w:tc>
      </w:tr>
      <w:tr>
        <w:trPr>
          <w:trHeight w:val="17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intersegment revenues</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net</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0" w:type="dxa"/>
            <w:vAlign w:val="bottom"/>
          </w:tcPr>
          <w:p>
            <w:pPr>
              <w:spacing w:after="0"/>
              <w:rPr>
                <w:sz w:val="1"/>
                <w:szCs w:val="1"/>
                <w:color w:val="auto"/>
              </w:rPr>
            </w:pPr>
          </w:p>
        </w:tc>
      </w:tr>
      <w:tr>
        <w:trPr>
          <w:trHeight w:val="185"/>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w:t>
            </w: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18,909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22,688</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120" w:type="dxa"/>
            <w:vAlign w:val="bottom"/>
            <w:vMerge w:val="continue"/>
          </w:tcPr>
          <w:p>
            <w:pPr>
              <w:spacing w:after="0"/>
              <w:rPr>
                <w:sz w:val="11"/>
                <w:szCs w:val="11"/>
                <w:color w:val="auto"/>
              </w:rPr>
            </w:pPr>
          </w:p>
        </w:tc>
        <w:tc>
          <w:tcPr>
            <w:tcW w:w="180" w:type="dxa"/>
            <w:vAlign w:val="bottom"/>
          </w:tcPr>
          <w:p>
            <w:pPr>
              <w:jc w:val="right"/>
              <w:ind w:right="3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306</w:t>
            </w:r>
          </w:p>
        </w:tc>
        <w:tc>
          <w:tcPr>
            <w:tcW w:w="80" w:type="dxa"/>
            <w:vAlign w:val="bottom"/>
          </w:tcPr>
          <w:p>
            <w:pPr>
              <w:spacing w:after="0"/>
              <w:rPr>
                <w:sz w:val="11"/>
                <w:szCs w:val="11"/>
                <w:color w:val="auto"/>
              </w:rPr>
            </w:pPr>
          </w:p>
        </w:tc>
        <w:tc>
          <w:tcPr>
            <w:tcW w:w="240" w:type="dxa"/>
            <w:vAlign w:val="bottom"/>
          </w:tcPr>
          <w:p>
            <w:pPr>
              <w:jc w:val="right"/>
              <w:ind w:right="9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171</w:t>
            </w:r>
          </w:p>
        </w:tc>
        <w:tc>
          <w:tcPr>
            <w:tcW w:w="100" w:type="dxa"/>
            <w:vAlign w:val="bottom"/>
          </w:tcPr>
          <w:p>
            <w:pPr>
              <w:spacing w:after="0"/>
              <w:rPr>
                <w:sz w:val="11"/>
                <w:szCs w:val="11"/>
                <w:color w:val="auto"/>
              </w:rPr>
            </w:pPr>
          </w:p>
        </w:tc>
        <w:tc>
          <w:tcPr>
            <w:tcW w:w="160" w:type="dxa"/>
            <w:vAlign w:val="bottom"/>
          </w:tcPr>
          <w:p>
            <w:pPr>
              <w:jc w:val="right"/>
              <w:ind w:right="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jc w:val="right"/>
              <w:ind w:right="3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ind w:left="9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0" w:type="dxa"/>
            <w:vAlign w:val="bottom"/>
          </w:tcPr>
          <w:p>
            <w:pPr>
              <w:jc w:val="right"/>
              <w:ind w:right="5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477</w:t>
            </w:r>
          </w:p>
        </w:tc>
        <w:tc>
          <w:tcPr>
            <w:tcW w:w="0" w:type="dxa"/>
            <w:vAlign w:val="bottom"/>
          </w:tcPr>
          <w:p>
            <w:pPr>
              <w:spacing w:after="0"/>
              <w:rPr>
                <w:sz w:val="1"/>
                <w:szCs w:val="1"/>
                <w:color w:val="auto"/>
              </w:rPr>
            </w:pPr>
          </w:p>
        </w:tc>
      </w:tr>
      <w:tr>
        <w:trPr>
          <w:trHeight w:val="17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(2,213)</w:t>
            </w:r>
          </w:p>
        </w:tc>
        <w:tc>
          <w:tcPr>
            <w:tcW w:w="0" w:type="dxa"/>
            <w:vAlign w:val="bottom"/>
          </w:tcPr>
          <w:p>
            <w:pPr>
              <w:spacing w:after="0"/>
              <w:rPr>
                <w:sz w:val="1"/>
                <w:szCs w:val="1"/>
                <w:color w:val="auto"/>
              </w:rPr>
            </w:pPr>
          </w:p>
        </w:tc>
      </w:tr>
      <w:tr>
        <w:trPr>
          <w:trHeight w:val="168"/>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Segment assets</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286,921</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46,553</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13,465</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(199,565)</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147,374</w:t>
            </w:r>
          </w:p>
        </w:tc>
        <w:tc>
          <w:tcPr>
            <w:tcW w:w="0" w:type="dxa"/>
            <w:vAlign w:val="bottom"/>
          </w:tcPr>
          <w:p>
            <w:pPr>
              <w:spacing w:after="0"/>
              <w:rPr>
                <w:sz w:val="1"/>
                <w:szCs w:val="1"/>
                <w:color w:val="auto"/>
              </w:rPr>
            </w:pPr>
          </w:p>
        </w:tc>
      </w:tr>
      <w:tr>
        <w:trPr>
          <w:trHeight w:val="17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Segment goodwill</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39,501</w:t>
            </w:r>
          </w:p>
        </w:tc>
        <w:tc>
          <w:tcPr>
            <w:tcW w:w="0" w:type="dxa"/>
            <w:vAlign w:val="bottom"/>
          </w:tcPr>
          <w:p>
            <w:pPr>
              <w:spacing w:after="0"/>
              <w:rPr>
                <w:sz w:val="1"/>
                <w:szCs w:val="1"/>
                <w:color w:val="auto"/>
              </w:rPr>
            </w:pPr>
          </w:p>
        </w:tc>
      </w:tr>
      <w:tr>
        <w:trPr>
          <w:trHeight w:val="168"/>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Segment equity-method investments</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4,578</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4,578</w:t>
            </w:r>
          </w:p>
        </w:tc>
        <w:tc>
          <w:tcPr>
            <w:tcW w:w="0" w:type="dxa"/>
            <w:vAlign w:val="bottom"/>
          </w:tcPr>
          <w:p>
            <w:pPr>
              <w:spacing w:after="0"/>
              <w:rPr>
                <w:sz w:val="1"/>
                <w:szCs w:val="1"/>
                <w:color w:val="auto"/>
              </w:rPr>
            </w:pPr>
          </w:p>
        </w:tc>
      </w:tr>
      <w:tr>
        <w:trPr>
          <w:trHeight w:val="17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Segment expenditures for long-lived assets</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(Continued),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80" w:type="dxa"/>
            <w:vAlign w:val="bottom"/>
          </w:tcPr>
          <w:p>
            <w:pPr>
              <w:spacing w:after="0"/>
              <w:rPr>
                <w:sz w:val="12"/>
                <w:szCs w:val="12"/>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Advisory</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Trust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Westwood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w w:val="93"/>
              </w:rPr>
              <w:t>Eliminations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w w:val="98"/>
              </w:rPr>
              <w:t>Consolidated</w:t>
            </w:r>
          </w:p>
        </w:tc>
        <w:tc>
          <w:tcPr>
            <w:tcW w:w="0" w:type="dxa"/>
            <w:vAlign w:val="bottom"/>
          </w:tcPr>
          <w:p>
            <w:pPr>
              <w:spacing w:after="0"/>
              <w:rPr>
                <w:sz w:val="1"/>
                <w:szCs w:val="1"/>
                <w:color w:val="auto"/>
              </w:rPr>
            </w:pPr>
          </w:p>
        </w:tc>
      </w:tr>
      <w:tr>
        <w:trPr>
          <w:trHeight w:val="169"/>
        </w:trPr>
        <w:tc>
          <w:tcPr>
            <w:tcW w:w="51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Holdings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Six Months Ended June 30, 2025</w:t>
            </w:r>
          </w:p>
        </w:tc>
        <w:tc>
          <w:tcPr>
            <w:tcW w:w="1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fee revenues from external sources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35,686</w:t>
            </w:r>
          </w:p>
        </w:tc>
        <w:tc>
          <w:tcPr>
            <w:tcW w:w="8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10,498</w:t>
            </w:r>
          </w:p>
        </w:tc>
        <w:tc>
          <w:tcPr>
            <w:tcW w:w="30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46,184</w:t>
            </w:r>
          </w:p>
        </w:tc>
        <w:tc>
          <w:tcPr>
            <w:tcW w:w="0" w:type="dxa"/>
            <w:vAlign w:val="bottom"/>
          </w:tcPr>
          <w:p>
            <w:pPr>
              <w:spacing w:after="0"/>
              <w:rPr>
                <w:sz w:val="1"/>
                <w:szCs w:val="1"/>
                <w:color w:val="auto"/>
              </w:rPr>
            </w:pPr>
          </w:p>
        </w:tc>
      </w:tr>
      <w:tr>
        <w:trPr>
          <w:trHeight w:val="18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intersegment revenues</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center"/>
              <w:ind w:left="314"/>
              <w:spacing w:after="0"/>
              <w:rPr>
                <w:sz w:val="20"/>
                <w:szCs w:val="20"/>
                <w:color w:val="auto"/>
              </w:rPr>
            </w:pPr>
            <w:r>
              <w:rPr>
                <w:rFonts w:ascii="Times New Roman" w:cs="Times New Roman" w:eastAsia="Times New Roman" w:hAnsi="Times New Roman"/>
                <w:sz w:val="14"/>
                <w:szCs w:val="14"/>
                <w:color w:val="auto"/>
              </w:rPr>
              <w:t>(3,123)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Other, net</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38,919</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10,576</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gridSpan w:val="3"/>
            <w:shd w:val="clear" w:color="auto" w:fill="CCEEFF"/>
          </w:tcPr>
          <w:p>
            <w:pPr>
              <w:jc w:val="center"/>
              <w:ind w:left="314"/>
              <w:spacing w:after="0"/>
              <w:rPr>
                <w:sz w:val="20"/>
                <w:szCs w:val="20"/>
                <w:color w:val="auto"/>
              </w:rPr>
            </w:pPr>
            <w:r>
              <w:rPr>
                <w:rFonts w:ascii="Times New Roman" w:cs="Times New Roman" w:eastAsia="Times New Roman" w:hAnsi="Times New Roman"/>
                <w:sz w:val="14"/>
                <w:szCs w:val="14"/>
                <w:color w:val="auto"/>
              </w:rPr>
              <w:t>(3,123)</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46,372</w:t>
            </w: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4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Six Months Ended June 30, 2024</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fee revenues from external sources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33,956</w:t>
            </w:r>
          </w:p>
        </w:tc>
        <w:tc>
          <w:tcPr>
            <w:tcW w:w="80" w:type="dxa"/>
            <w:vAlign w:val="bottom"/>
          </w:tcPr>
          <w:p>
            <w:pPr>
              <w:spacing w:after="0"/>
              <w:rPr>
                <w:sz w:val="15"/>
                <w:szCs w:val="15"/>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10,340</w:t>
            </w:r>
          </w:p>
        </w:tc>
        <w:tc>
          <w:tcPr>
            <w:tcW w:w="30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44,296</w:t>
            </w:r>
          </w:p>
        </w:tc>
        <w:tc>
          <w:tcPr>
            <w:tcW w:w="0" w:type="dxa"/>
            <w:vAlign w:val="bottom"/>
          </w:tcPr>
          <w:p>
            <w:pPr>
              <w:spacing w:after="0"/>
              <w:rPr>
                <w:sz w:val="1"/>
                <w:szCs w:val="1"/>
                <w:color w:val="auto"/>
              </w:rPr>
            </w:pPr>
          </w:p>
        </w:tc>
      </w:tr>
      <w:tr>
        <w:trPr>
          <w:trHeight w:val="18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intersegment revenues</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center"/>
              <w:ind w:left="314"/>
              <w:spacing w:after="0"/>
              <w:rPr>
                <w:sz w:val="20"/>
                <w:szCs w:val="20"/>
                <w:color w:val="auto"/>
              </w:rPr>
            </w:pPr>
            <w:r>
              <w:rPr>
                <w:rFonts w:ascii="Times New Roman" w:cs="Times New Roman" w:eastAsia="Times New Roman" w:hAnsi="Times New Roman"/>
                <w:sz w:val="14"/>
                <w:szCs w:val="14"/>
                <w:color w:val="auto"/>
              </w:rPr>
              <w:t>(3,135)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Other, net</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38,102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10,453</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gridSpan w:val="3"/>
            <w:shd w:val="clear" w:color="auto" w:fill="CCEEFF"/>
          </w:tcPr>
          <w:p>
            <w:pPr>
              <w:jc w:val="center"/>
              <w:ind w:left="314"/>
              <w:spacing w:after="0"/>
              <w:rPr>
                <w:sz w:val="20"/>
                <w:szCs w:val="20"/>
                <w:color w:val="auto"/>
              </w:rPr>
            </w:pPr>
            <w:r>
              <w:rPr>
                <w:rFonts w:ascii="Times New Roman" w:cs="Times New Roman" w:eastAsia="Times New Roman" w:hAnsi="Times New Roman"/>
                <w:sz w:val="14"/>
                <w:szCs w:val="14"/>
                <w:color w:val="auto"/>
              </w:rPr>
              <w:t>(3,135)</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45,420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5. INVESTMENTS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51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1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Our investments consist of the following (in thousands):</w:t>
            </w: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1440" w:type="dxa"/>
            <w:vAlign w:val="bottom"/>
            <w:tcBorders>
              <w:bottom w:val="single" w:sz="8" w:color="CCEEFF"/>
            </w:tcBorders>
          </w:tcPr>
          <w:p>
            <w:pPr>
              <w:spacing w:after="0"/>
              <w:rPr>
                <w:sz w:val="15"/>
                <w:szCs w:val="15"/>
                <w:color w:val="auto"/>
              </w:rPr>
            </w:pPr>
          </w:p>
        </w:tc>
        <w:tc>
          <w:tcPr>
            <w:tcW w:w="36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6"/>
          </w:tcPr>
          <w:p>
            <w:pPr>
              <w:ind w:left="500"/>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5"/>
          </w:tcPr>
          <w:p>
            <w:pPr>
              <w:jc w:val="right"/>
              <w:ind w:right="271"/>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0" w:type="dxa"/>
            <w:vAlign w:val="bottom"/>
          </w:tcPr>
          <w:p>
            <w:pPr>
              <w:spacing w:after="0"/>
              <w:rPr>
                <w:sz w:val="1"/>
                <w:szCs w:val="1"/>
                <w:color w:val="auto"/>
              </w:rPr>
            </w:pPr>
          </w:p>
        </w:tc>
      </w:tr>
      <w:tr>
        <w:trPr>
          <w:trHeight w:val="164"/>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at fair value</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19,768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27,694</w:t>
            </w:r>
          </w:p>
        </w:tc>
        <w:tc>
          <w:tcPr>
            <w:tcW w:w="0" w:type="dxa"/>
            <w:vAlign w:val="bottom"/>
          </w:tcPr>
          <w:p>
            <w:pPr>
              <w:spacing w:after="0"/>
              <w:rPr>
                <w:sz w:val="1"/>
                <w:szCs w:val="1"/>
                <w:color w:val="auto"/>
              </w:rPr>
            </w:pPr>
          </w:p>
        </w:tc>
      </w:tr>
      <w:tr>
        <w:trPr>
          <w:trHeight w:val="18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Investments under measurement alternative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11,747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10,747</w:t>
            </w:r>
          </w:p>
        </w:tc>
        <w:tc>
          <w:tcPr>
            <w:tcW w:w="0" w:type="dxa"/>
            <w:vAlign w:val="bottom"/>
          </w:tcPr>
          <w:p>
            <w:pPr>
              <w:spacing w:after="0"/>
              <w:rPr>
                <w:sz w:val="1"/>
                <w:szCs w:val="1"/>
                <w:color w:val="auto"/>
              </w:rPr>
            </w:pPr>
          </w:p>
        </w:tc>
      </w:tr>
      <w:tr>
        <w:trPr>
          <w:trHeight w:val="18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method investments</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4,197</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4,250</w:t>
            </w:r>
          </w:p>
        </w:tc>
        <w:tc>
          <w:tcPr>
            <w:tcW w:w="0" w:type="dxa"/>
            <w:vAlign w:val="bottom"/>
          </w:tcPr>
          <w:p>
            <w:pPr>
              <w:spacing w:after="0"/>
              <w:rPr>
                <w:sz w:val="1"/>
                <w:szCs w:val="1"/>
                <w:color w:val="auto"/>
              </w:rPr>
            </w:pPr>
          </w:p>
        </w:tc>
      </w:tr>
      <w:tr>
        <w:trPr>
          <w:trHeight w:val="160"/>
        </w:trPr>
        <w:tc>
          <w:tcPr>
            <w:tcW w:w="51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Total investments</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35,712</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42,691</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Investments at Fair Value</w:t>
            </w: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120" w:type="dxa"/>
            <w:vAlign w:val="bottom"/>
            <w:gridSpan w:val="2"/>
            <w:vMerge w:val="continue"/>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1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Investments carried at fair value are presented in the table below (in thousands):</w:t>
            </w: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center"/>
              <w:ind w:left="193"/>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9"/>
              </w:rPr>
              <w:t>Estimated</w:t>
            </w:r>
          </w:p>
        </w:tc>
        <w:tc>
          <w:tcPr>
            <w:tcW w:w="0" w:type="dxa"/>
            <w:vAlign w:val="bottom"/>
          </w:tcPr>
          <w:p>
            <w:pPr>
              <w:spacing w:after="0"/>
              <w:rPr>
                <w:sz w:val="1"/>
                <w:szCs w:val="1"/>
                <w:color w:val="auto"/>
              </w:rPr>
            </w:pPr>
          </w:p>
        </w:tc>
      </w:tr>
      <w:tr>
        <w:trPr>
          <w:trHeight w:val="127"/>
        </w:trPr>
        <w:tc>
          <w:tcPr>
            <w:tcW w:w="14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rPr>
              <w:t>Cost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4"/>
          </w:tcPr>
          <w:p>
            <w:pPr>
              <w:jc w:val="center"/>
              <w:ind w:right="49"/>
              <w:spacing w:after="0" w:line="128"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31"/>
              <w:spacing w:after="0" w:line="128" w:lineRule="exact"/>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69"/>
        </w:trPr>
        <w:tc>
          <w:tcPr>
            <w:tcW w:w="1440" w:type="dxa"/>
            <w:vAlign w:val="bottom"/>
            <w:tcBorders>
              <w:bottom w:val="single" w:sz="8" w:color="CCEEFF"/>
            </w:tcBorders>
          </w:tcPr>
          <w:p>
            <w:pPr>
              <w:spacing w:after="0"/>
              <w:rPr>
                <w:sz w:val="14"/>
                <w:szCs w:val="14"/>
                <w:color w:val="auto"/>
              </w:rPr>
            </w:pPr>
          </w:p>
        </w:tc>
        <w:tc>
          <w:tcPr>
            <w:tcW w:w="36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left="193"/>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62"/>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Government securities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8,245</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5"/>
                <w:szCs w:val="15"/>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8,431</w:t>
            </w:r>
          </w:p>
        </w:tc>
        <w:tc>
          <w:tcPr>
            <w:tcW w:w="0" w:type="dxa"/>
            <w:vAlign w:val="bottom"/>
          </w:tcPr>
          <w:p>
            <w:pPr>
              <w:spacing w:after="0"/>
              <w:rPr>
                <w:sz w:val="1"/>
                <w:szCs w:val="1"/>
                <w:color w:val="auto"/>
              </w:rPr>
            </w:pPr>
          </w:p>
        </w:tc>
      </w:tr>
      <w:tr>
        <w:trPr>
          <w:trHeight w:val="18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7,824</w:t>
            </w:r>
          </w:p>
        </w:tc>
        <w:tc>
          <w:tcPr>
            <w:tcW w:w="0" w:type="dxa"/>
            <w:vAlign w:val="bottom"/>
          </w:tcPr>
          <w:p>
            <w:pPr>
              <w:spacing w:after="0"/>
              <w:rPr>
                <w:sz w:val="1"/>
                <w:szCs w:val="1"/>
                <w:color w:val="auto"/>
              </w:rPr>
            </w:pPr>
          </w:p>
        </w:tc>
      </w:tr>
      <w:tr>
        <w:trPr>
          <w:trHeight w:val="18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funds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w:t>
            </w:r>
          </w:p>
        </w:tc>
        <w:tc>
          <w:tcPr>
            <w:tcW w:w="0" w:type="dxa"/>
            <w:vAlign w:val="bottom"/>
          </w:tcPr>
          <w:p>
            <w:pPr>
              <w:spacing w:after="0"/>
              <w:rPr>
                <w:sz w:val="1"/>
                <w:szCs w:val="1"/>
                <w:color w:val="auto"/>
              </w:rPr>
            </w:pPr>
          </w:p>
        </w:tc>
      </w:tr>
      <w:tr>
        <w:trPr>
          <w:trHeight w:val="18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Equities</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18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Exchange-traded bond funds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5"/>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71"/>
        </w:trPr>
        <w:tc>
          <w:tcPr>
            <w:tcW w:w="5120" w:type="dxa"/>
            <w:vAlign w:val="bottom"/>
            <w:tcBorders>
              <w:top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trading securities</w:t>
            </w:r>
          </w:p>
        </w:tc>
        <w:tc>
          <w:tcPr>
            <w:tcW w:w="1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17,822</w:t>
            </w:r>
          </w:p>
        </w:tc>
        <w:tc>
          <w:tcPr>
            <w:tcW w:w="0" w:type="dxa"/>
            <w:vAlign w:val="bottom"/>
          </w:tcPr>
          <w:p>
            <w:pPr>
              <w:spacing w:after="0"/>
              <w:rPr>
                <w:sz w:val="1"/>
                <w:szCs w:val="1"/>
                <w:color w:val="auto"/>
              </w:rPr>
            </w:pPr>
          </w:p>
        </w:tc>
      </w:tr>
      <w:tr>
        <w:trPr>
          <w:trHeight w:val="180"/>
        </w:trPr>
        <w:tc>
          <w:tcPr>
            <w:tcW w:w="5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Private investment funds</w:t>
            </w:r>
          </w:p>
        </w:tc>
        <w:tc>
          <w:tcPr>
            <w:tcW w:w="1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1,946</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investments carried at fair value</w:t>
            </w: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1,796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19,768</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4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Government securities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15,859</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5"/>
                <w:szCs w:val="15"/>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16,056</w:t>
            </w:r>
          </w:p>
        </w:tc>
        <w:tc>
          <w:tcPr>
            <w:tcW w:w="0" w:type="dxa"/>
            <w:vAlign w:val="bottom"/>
          </w:tcPr>
          <w:p>
            <w:pPr>
              <w:spacing w:after="0"/>
              <w:rPr>
                <w:sz w:val="1"/>
                <w:szCs w:val="1"/>
                <w:color w:val="auto"/>
              </w:rPr>
            </w:pPr>
          </w:p>
        </w:tc>
      </w:tr>
      <w:tr>
        <w:trPr>
          <w:trHeight w:val="18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7,803</w:t>
            </w:r>
          </w:p>
        </w:tc>
        <w:tc>
          <w:tcPr>
            <w:tcW w:w="0" w:type="dxa"/>
            <w:vAlign w:val="bottom"/>
          </w:tcPr>
          <w:p>
            <w:pPr>
              <w:spacing w:after="0"/>
              <w:rPr>
                <w:sz w:val="1"/>
                <w:szCs w:val="1"/>
                <w:color w:val="auto"/>
              </w:rPr>
            </w:pPr>
          </w:p>
        </w:tc>
      </w:tr>
      <w:tr>
        <w:trPr>
          <w:trHeight w:val="18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funds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1,618</w:t>
            </w:r>
          </w:p>
        </w:tc>
        <w:tc>
          <w:tcPr>
            <w:tcW w:w="0" w:type="dxa"/>
            <w:vAlign w:val="bottom"/>
          </w:tcPr>
          <w:p>
            <w:pPr>
              <w:spacing w:after="0"/>
              <w:rPr>
                <w:sz w:val="1"/>
                <w:szCs w:val="1"/>
                <w:color w:val="auto"/>
              </w:rPr>
            </w:pPr>
          </w:p>
        </w:tc>
      </w:tr>
      <w:tr>
        <w:trPr>
          <w:trHeight w:val="18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Equities</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180"/>
        </w:trPr>
        <w:tc>
          <w:tcPr>
            <w:tcW w:w="5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Exchange-traded bond funds</w:t>
            </w:r>
          </w:p>
        </w:tc>
        <w:tc>
          <w:tcPr>
            <w:tcW w:w="1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85"/>
              </w:rPr>
              <w:t>(2)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71"/>
        </w:trPr>
        <w:tc>
          <w:tcPr>
            <w:tcW w:w="51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trading securities</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25,748</w:t>
            </w:r>
          </w:p>
        </w:tc>
        <w:tc>
          <w:tcPr>
            <w:tcW w:w="0" w:type="dxa"/>
            <w:vAlign w:val="bottom"/>
          </w:tcPr>
          <w:p>
            <w:pPr>
              <w:spacing w:after="0"/>
              <w:rPr>
                <w:sz w:val="1"/>
                <w:szCs w:val="1"/>
                <w:color w:val="auto"/>
              </w:rPr>
            </w:pPr>
          </w:p>
        </w:tc>
      </w:tr>
      <w:tr>
        <w:trPr>
          <w:trHeight w:val="180"/>
        </w:trPr>
        <w:tc>
          <w:tcPr>
            <w:tcW w:w="5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Private investment funds</w:t>
            </w:r>
          </w:p>
        </w:tc>
        <w:tc>
          <w:tcPr>
            <w:tcW w:w="1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1,946</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investments carried at fair value</w:t>
            </w: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26,788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1,226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27,694</w:t>
            </w: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ind w:right="41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0"/>
        </w:trPr>
        <w:tc>
          <w:tcPr>
            <w:tcW w:w="14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440" w:type="dxa"/>
            <w:vAlign w:val="bottom"/>
            <w:tcBorders>
              <w:bottom w:val="single" w:sz="8" w:color="9A9A9A"/>
            </w:tcBorders>
          </w:tcPr>
          <w:p>
            <w:pPr>
              <w:spacing w:after="0"/>
              <w:rPr>
                <w:sz w:val="7"/>
                <w:szCs w:val="7"/>
                <w:color w:val="auto"/>
              </w:rPr>
            </w:pPr>
          </w:p>
        </w:tc>
        <w:tc>
          <w:tcPr>
            <w:tcW w:w="36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(Continued), (Unaudited)</w:t>
      </w:r>
    </w:p>
    <w:p>
      <w:pPr>
        <w:spacing w:after="0" w:line="200" w:lineRule="exact"/>
        <w:rPr>
          <w:sz w:val="20"/>
          <w:szCs w:val="20"/>
          <w:color w:val="auto"/>
        </w:rPr>
      </w:pPr>
    </w:p>
    <w:p>
      <w:pPr>
        <w:spacing w:after="0" w:line="3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u w:val="single" w:color="auto"/>
          <w:color w:val="auto"/>
        </w:rPr>
        <w:t>Investments Under Measurement Alternative</w:t>
      </w:r>
    </w:p>
    <w:p>
      <w:pPr>
        <w:spacing w:after="0" w:line="94"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Our investments below represent equity interests in private companies without readily determinable fair values. The Company has elected to apply the measurement alternative of cost minus impairment, if any, adjusted for any observable price changes in orderly transactions for these investments. The acquisition cost of Westwood Engineered Beta ("WEBs") is allocated using the relative fair value method between preferred stock and a call option. No impairments of these investments were recorded during the three and six months ended June 30, 2025 or June 30, 2024. Balances are shown below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320" w:type="dxa"/>
            <w:vAlign w:val="bottom"/>
          </w:tcPr>
          <w:p>
            <w:pPr>
              <w:spacing w:after="0"/>
              <w:rPr>
                <w:sz w:val="13"/>
                <w:szCs w:val="13"/>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220" w:type="dxa"/>
            <w:vAlign w:val="bottom"/>
          </w:tcPr>
          <w:p>
            <w:pPr>
              <w:spacing w:after="0"/>
              <w:rPr>
                <w:sz w:val="13"/>
                <w:szCs w:val="13"/>
                <w:color w:val="auto"/>
              </w:rPr>
            </w:pPr>
          </w:p>
        </w:tc>
        <w:tc>
          <w:tcPr>
            <w:tcW w:w="156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7600" w:type="dxa"/>
            <w:vAlign w:val="bottom"/>
            <w:gridSpan w:val="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InvestCloud</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4,455</w:t>
            </w:r>
          </w:p>
        </w:tc>
      </w:tr>
      <w:tr>
        <w:trPr>
          <w:trHeight w:val="180"/>
        </w:trPr>
        <w:tc>
          <w:tcPr>
            <w:tcW w:w="20" w:type="dxa"/>
            <w:vAlign w:val="bottom"/>
          </w:tcPr>
          <w:p>
            <w:pPr>
              <w:spacing w:after="0"/>
              <w:rPr>
                <w:sz w:val="15"/>
                <w:szCs w:val="15"/>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Vista</w:t>
            </w:r>
          </w:p>
        </w:tc>
        <w:tc>
          <w:tcPr>
            <w:tcW w:w="3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2,792</w:t>
            </w:r>
          </w:p>
        </w:tc>
      </w:tr>
      <w:tr>
        <w:trPr>
          <w:trHeight w:val="180"/>
        </w:trPr>
        <w:tc>
          <w:tcPr>
            <w:tcW w:w="20" w:type="dxa"/>
            <w:vAlign w:val="bottom"/>
            <w:shd w:val="clear" w:color="auto" w:fill="CCEEFF"/>
          </w:tcPr>
          <w:p>
            <w:pPr>
              <w:spacing w:after="0"/>
              <w:rPr>
                <w:sz w:val="15"/>
                <w:szCs w:val="15"/>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WEBs - preferred stock</w:t>
            </w: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1,799</w:t>
            </w:r>
          </w:p>
        </w:tc>
      </w:tr>
      <w:tr>
        <w:trPr>
          <w:trHeight w:val="180"/>
        </w:trPr>
        <w:tc>
          <w:tcPr>
            <w:tcW w:w="20" w:type="dxa"/>
            <w:vAlign w:val="bottom"/>
          </w:tcPr>
          <w:p>
            <w:pPr>
              <w:spacing w:after="0"/>
              <w:rPr>
                <w:sz w:val="15"/>
                <w:szCs w:val="15"/>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WEBs - call option</w:t>
            </w:r>
          </w:p>
        </w:tc>
        <w:tc>
          <w:tcPr>
            <w:tcW w:w="3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w:t>
            </w:r>
          </w:p>
        </w:tc>
      </w:tr>
      <w:tr>
        <w:trPr>
          <w:trHeight w:val="180"/>
        </w:trPr>
        <w:tc>
          <w:tcPr>
            <w:tcW w:w="20" w:type="dxa"/>
            <w:vAlign w:val="bottom"/>
            <w:shd w:val="clear" w:color="auto" w:fill="CCEEFF"/>
          </w:tcPr>
          <w:p>
            <w:pPr>
              <w:spacing w:after="0"/>
              <w:rPr>
                <w:sz w:val="15"/>
                <w:szCs w:val="15"/>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TXSE</w:t>
            </w: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r>
      <w:tr>
        <w:trPr>
          <w:trHeight w:val="180"/>
        </w:trPr>
        <w:tc>
          <w:tcPr>
            <w:tcW w:w="20" w:type="dxa"/>
            <w:vAlign w:val="bottom"/>
            <w:tcBorders>
              <w:bottom w:val="single" w:sz="8" w:color="CCEEFF"/>
            </w:tcBorders>
          </w:tcPr>
          <w:p>
            <w:pPr>
              <w:spacing w:after="0"/>
              <w:rPr>
                <w:sz w:val="15"/>
                <w:szCs w:val="15"/>
                <w:color w:val="auto"/>
              </w:rPr>
            </w:pPr>
          </w:p>
        </w:tc>
        <w:tc>
          <w:tcPr>
            <w:tcW w:w="7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Ridgeline</w:t>
            </w:r>
          </w:p>
        </w:tc>
        <w:tc>
          <w:tcPr>
            <w:tcW w:w="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76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investments under measurement alternative</w:t>
            </w: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11,747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Equity Method Investments</w:t>
      </w:r>
    </w:p>
    <w:p>
      <w:pPr>
        <w:spacing w:after="0" w:line="94" w:lineRule="exact"/>
        <w:rPr>
          <w:sz w:val="20"/>
          <w:szCs w:val="20"/>
          <w:color w:val="auto"/>
        </w:rPr>
      </w:pPr>
    </w:p>
    <w:p>
      <w:pPr>
        <w:jc w:val="both"/>
        <w:ind w:right="340" w:firstLine="382"/>
        <w:spacing w:after="0" w:line="269" w:lineRule="auto"/>
        <w:rPr>
          <w:sz w:val="20"/>
          <w:szCs w:val="20"/>
          <w:color w:val="auto"/>
        </w:rPr>
      </w:pPr>
      <w:r>
        <w:rPr>
          <w:rFonts w:ascii="Times New Roman" w:cs="Times New Roman" w:eastAsia="Times New Roman" w:hAnsi="Times New Roman"/>
          <w:sz w:val="14"/>
          <w:szCs w:val="14"/>
          <w:color w:val="auto"/>
        </w:rPr>
        <w:t>These investments represent ownership interests in non-controlled partnerships and are measured based on our share of the net earnings or losses of the investee. Investment balances are included in “Equity method investments” on our Condensed Consolidated Balance Sheets and income and expenses are included in our Condensed Consolidated Statements of Operations under "Other income." Balances are shown below (in thousands):</w:t>
      </w:r>
    </w:p>
    <w:p>
      <w:pPr>
        <w:sectPr>
          <w:pgSz w:w="11900" w:h="16838" w:orient="portrait"/>
          <w:cols w:equalWidth="0" w:num="1">
            <w:col w:w="11280"/>
          </w:cols>
          <w:pgMar w:left="300" w:top="314" w:right="319" w:bottom="1440" w:gutter="0" w:footer="0" w:header="0"/>
        </w:sectPr>
      </w:pPr>
    </w:p>
    <w:p>
      <w:pPr>
        <w:spacing w:after="0" w:line="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3"/>
          <w:szCs w:val="13"/>
          <w:b w:val="1"/>
          <w:bCs w:val="1"/>
          <w:color w:val="auto"/>
        </w:rPr>
        <w:t>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13970</wp:posOffset>
            </wp:positionV>
            <wp:extent cx="212915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29155" cy="6985"/>
                    </a:xfrm>
                    <a:prstGeom prst="rect">
                      <a:avLst/>
                    </a:prstGeom>
                    <a:noFill/>
                  </pic:spPr>
                </pic:pic>
              </a:graphicData>
            </a:graphic>
          </wp:anchor>
        </w:drawing>
      </w:r>
    </w:p>
    <w:p>
      <w:pPr>
        <w:spacing w:after="0" w:line="11" w:lineRule="exact"/>
        <w:rPr>
          <w:sz w:val="20"/>
          <w:szCs w:val="20"/>
          <w:color w:val="auto"/>
        </w:rPr>
      </w:pPr>
    </w:p>
    <w:p>
      <w:pPr>
        <w:ind w:left="4880"/>
        <w:spacing w:after="0"/>
        <w:tabs>
          <w:tab w:leader="none" w:pos="6640" w:val="left"/>
        </w:tabs>
        <w:rPr>
          <w:sz w:val="20"/>
          <w:szCs w:val="20"/>
          <w:color w:val="auto"/>
        </w:rPr>
      </w:pPr>
      <w:r>
        <w:rPr>
          <w:rFonts w:ascii="Times New Roman" w:cs="Times New Roman" w:eastAsia="Times New Roman" w:hAnsi="Times New Roman"/>
          <w:sz w:val="13"/>
          <w:szCs w:val="13"/>
          <w:b w:val="1"/>
          <w:bCs w:val="1"/>
          <w:color w:val="auto"/>
        </w:rPr>
        <w:t>Carrying value</w:t>
      </w:r>
      <w:r>
        <w:rPr>
          <w:sz w:val="20"/>
          <w:szCs w:val="20"/>
          <w:color w:val="auto"/>
        </w:rPr>
        <w:tab/>
      </w:r>
      <w:r>
        <w:rPr>
          <w:rFonts w:ascii="Times New Roman" w:cs="Times New Roman" w:eastAsia="Times New Roman" w:hAnsi="Times New Roman"/>
          <w:sz w:val="12"/>
          <w:szCs w:val="12"/>
          <w:b w:val="1"/>
          <w:bCs w:val="1"/>
          <w:color w:val="auto"/>
        </w:rPr>
        <w:t>Ownership</w:t>
      </w:r>
    </w:p>
    <w:p>
      <w:pPr>
        <w:spacing w:after="0" w:line="20" w:lineRule="exact"/>
        <w:rPr>
          <w:sz w:val="20"/>
          <w:szCs w:val="20"/>
          <w:color w:val="auto"/>
        </w:rPr>
      </w:pPr>
      <w:r>
        <w:rPr>
          <w:sz w:val="20"/>
          <w:szCs w:val="20"/>
          <w:color w:val="auto"/>
        </w:rPr>
        <w:br w:type="column"/>
      </w:r>
    </w:p>
    <w:p>
      <w:pPr>
        <w:ind w:left="760"/>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13970</wp:posOffset>
            </wp:positionV>
            <wp:extent cx="213550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35505" cy="6985"/>
                    </a:xfrm>
                    <a:prstGeom prst="rect">
                      <a:avLst/>
                    </a:prstGeom>
                    <a:noFill/>
                  </pic:spPr>
                </pic:pic>
              </a:graphicData>
            </a:graphic>
          </wp:anchor>
        </w:drawing>
      </w:r>
    </w:p>
    <w:p>
      <w:pPr>
        <w:spacing w:after="0" w:line="11"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3"/>
          <w:szCs w:val="13"/>
          <w:b w:val="1"/>
          <w:bCs w:val="1"/>
          <w:color w:val="auto"/>
        </w:rPr>
        <w:t>Carrying value</w:t>
      </w:r>
      <w:r>
        <w:rPr>
          <w:sz w:val="20"/>
          <w:szCs w:val="20"/>
          <w:color w:val="auto"/>
        </w:rPr>
        <w:tab/>
      </w:r>
      <w:r>
        <w:rPr>
          <w:rFonts w:ascii="Times New Roman" w:cs="Times New Roman" w:eastAsia="Times New Roman" w:hAnsi="Times New Roman"/>
          <w:sz w:val="12"/>
          <w:szCs w:val="12"/>
          <w:b w:val="1"/>
          <w:bCs w:val="1"/>
          <w:color w:val="auto"/>
        </w:rPr>
        <w:t>Ownership</w:t>
      </w:r>
    </w:p>
    <w:p>
      <w:pPr>
        <w:spacing w:after="0" w:line="38" w:lineRule="exact"/>
        <w:rPr>
          <w:sz w:val="20"/>
          <w:szCs w:val="20"/>
          <w:color w:val="auto"/>
        </w:rPr>
      </w:pPr>
    </w:p>
    <w:p>
      <w:pPr>
        <w:sectPr>
          <w:pgSz w:w="11900" w:h="16838" w:orient="portrait"/>
          <w:cols w:equalWidth="0" w:num="2">
            <w:col w:w="7600" w:space="720"/>
            <w:col w:w="2960"/>
          </w:cols>
          <w:pgMar w:left="300" w:top="314" w:right="3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4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r>
        <w:trPr>
          <w:trHeight w:val="155"/>
        </w:trPr>
        <w:tc>
          <w:tcPr>
            <w:tcW w:w="448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Zarvona Energy Fund GP, L.P.</w:t>
            </w:r>
          </w:p>
        </w:tc>
        <w:tc>
          <w:tcPr>
            <w:tcW w:w="660" w:type="dxa"/>
            <w:vAlign w:val="bottom"/>
            <w:shd w:val="clear" w:color="auto" w:fill="CCEEFF"/>
          </w:tcPr>
          <w:p>
            <w:pPr>
              <w:jc w:val="right"/>
              <w:ind w:right="509"/>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3,447</w:t>
            </w:r>
          </w:p>
        </w:tc>
        <w:tc>
          <w:tcPr>
            <w:tcW w:w="2480" w:type="dxa"/>
            <w:vAlign w:val="bottom"/>
            <w:gridSpan w:val="3"/>
            <w:shd w:val="clear" w:color="auto" w:fill="CCEEFF"/>
          </w:tcPr>
          <w:p>
            <w:pPr>
              <w:jc w:val="right"/>
              <w:ind w:right="509"/>
              <w:spacing w:after="0" w:line="155" w:lineRule="exact"/>
              <w:rPr>
                <w:sz w:val="20"/>
                <w:szCs w:val="20"/>
                <w:color w:val="auto"/>
              </w:rPr>
            </w:pPr>
            <w:r>
              <w:rPr>
                <w:rFonts w:ascii="Times New Roman" w:cs="Times New Roman" w:eastAsia="Times New Roman" w:hAnsi="Times New Roman"/>
                <w:sz w:val="14"/>
                <w:szCs w:val="14"/>
                <w:color w:val="auto"/>
              </w:rPr>
              <w:t>50.0 %  $</w:t>
            </w:r>
          </w:p>
        </w:tc>
        <w:tc>
          <w:tcPr>
            <w:tcW w:w="9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3,524</w:t>
            </w:r>
          </w:p>
        </w:tc>
        <w:tc>
          <w:tcPr>
            <w:tcW w:w="17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50.0 %</w:t>
            </w:r>
          </w:p>
        </w:tc>
      </w:tr>
      <w:tr>
        <w:trPr>
          <w:trHeight w:val="180"/>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Zarvona Energy Fund II-A, L.P.</w:t>
            </w:r>
          </w:p>
        </w:tc>
        <w:tc>
          <w:tcPr>
            <w:tcW w:w="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0.5 %</w:t>
            </w:r>
          </w:p>
        </w:tc>
      </w:tr>
      <w:tr>
        <w:trPr>
          <w:trHeight w:val="18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Salient MLP Total Return Fund, L.P.</w:t>
            </w:r>
          </w:p>
        </w:tc>
        <w:tc>
          <w:tcPr>
            <w:tcW w:w="6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480" w:type="dxa"/>
            <w:vAlign w:val="bottom"/>
            <w:gridSpan w:val="3"/>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Salient MLP Total Return TE Fund, L.P.</w:t>
            </w:r>
          </w:p>
        </w:tc>
        <w:tc>
          <w:tcPr>
            <w:tcW w:w="6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0.2 %</w:t>
            </w:r>
          </w:p>
        </w:tc>
      </w:tr>
      <w:tr>
        <w:trPr>
          <w:trHeight w:val="196"/>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4,197</w:t>
            </w:r>
          </w:p>
        </w:tc>
        <w:tc>
          <w:tcPr>
            <w:tcW w:w="17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w:t>
            </w:r>
          </w:p>
        </w:tc>
        <w:tc>
          <w:tcPr>
            <w:tcW w:w="1740" w:type="dxa"/>
            <w:vAlign w:val="bottom"/>
            <w:tcBorders>
              <w:bottom w:val="single" w:sz="8" w:color="CCEEFF"/>
            </w:tcBorders>
            <w:shd w:val="clear" w:color="auto" w:fill="CCEEFF"/>
          </w:tcPr>
          <w:p>
            <w:pPr>
              <w:spacing w:after="0"/>
              <w:rPr>
                <w:sz w:val="16"/>
                <w:szCs w:val="16"/>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FAIR VALUE MEASUREMENTS</w:t>
      </w:r>
    </w:p>
    <w:p>
      <w:pPr>
        <w:spacing w:after="0" w:line="96" w:lineRule="exact"/>
        <w:rPr>
          <w:sz w:val="20"/>
          <w:szCs w:val="20"/>
          <w:color w:val="auto"/>
        </w:rPr>
      </w:pPr>
    </w:p>
    <w:p>
      <w:pPr>
        <w:ind w:right="560" w:firstLine="382"/>
        <w:spacing w:after="0" w:line="287" w:lineRule="auto"/>
        <w:rPr>
          <w:sz w:val="20"/>
          <w:szCs w:val="20"/>
          <w:color w:val="auto"/>
        </w:rPr>
      </w:pPr>
      <w:r>
        <w:rPr>
          <w:rFonts w:ascii="Times New Roman" w:cs="Times New Roman" w:eastAsia="Times New Roman" w:hAnsi="Times New Roman"/>
          <w:sz w:val="14"/>
          <w:szCs w:val="14"/>
          <w:color w:val="auto"/>
        </w:rPr>
        <w:t>ASC 820, Fair Value Measurements, defines fair value, establishes a framework for measuring fair value and requires disclosures regarding certain fair value measurements. ASC 820 establishes a three-tier hierarchy for measuring fair value, as follows:</w:t>
      </w:r>
    </w:p>
    <w:p>
      <w:pPr>
        <w:spacing w:after="0" w:line="39" w:lineRule="exact"/>
        <w:rPr>
          <w:sz w:val="20"/>
          <w:szCs w:val="20"/>
          <w:color w:val="auto"/>
        </w:rPr>
      </w:pPr>
    </w:p>
    <w:p>
      <w:pPr>
        <w:ind w:left="900" w:hanging="450"/>
        <w:spacing w:after="0"/>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 quoted market prices in active markets for identical assets</w:t>
      </w:r>
    </w:p>
    <w:p>
      <w:pPr>
        <w:spacing w:after="0" w:line="93" w:lineRule="exact"/>
        <w:rPr>
          <w:rFonts w:ascii="Times New Roman" w:cs="Times New Roman" w:eastAsia="Times New Roman" w:hAnsi="Times New Roman"/>
          <w:sz w:val="14"/>
          <w:szCs w:val="14"/>
          <w:color w:val="auto"/>
        </w:rPr>
      </w:pPr>
    </w:p>
    <w:p>
      <w:pPr>
        <w:ind w:left="900" w:hanging="450"/>
        <w:spacing w:after="0"/>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 inputs other than quoted prices that are directly or indirectly observable</w:t>
      </w:r>
    </w:p>
    <w:p>
      <w:pPr>
        <w:spacing w:after="0" w:line="93" w:lineRule="exact"/>
        <w:rPr>
          <w:rFonts w:ascii="Times New Roman" w:cs="Times New Roman" w:eastAsia="Times New Roman" w:hAnsi="Times New Roman"/>
          <w:sz w:val="14"/>
          <w:szCs w:val="14"/>
          <w:color w:val="auto"/>
        </w:rPr>
      </w:pPr>
    </w:p>
    <w:p>
      <w:pPr>
        <w:ind w:left="900" w:hanging="450"/>
        <w:spacing w:after="0"/>
        <w:tabs>
          <w:tab w:leader="none" w:pos="9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 significant unobservable inputs where there is little or no market activity</w:t>
      </w:r>
    </w:p>
    <w:p>
      <w:pPr>
        <w:spacing w:after="0" w:line="94" w:lineRule="exact"/>
        <w:rPr>
          <w:sz w:val="20"/>
          <w:szCs w:val="20"/>
          <w:color w:val="auto"/>
        </w:rPr>
      </w:pPr>
    </w:p>
    <w:p>
      <w:pPr>
        <w:ind w:right="320" w:firstLine="509"/>
        <w:spacing w:after="0" w:line="287" w:lineRule="auto"/>
        <w:rPr>
          <w:sz w:val="20"/>
          <w:szCs w:val="20"/>
          <w:color w:val="auto"/>
        </w:rPr>
      </w:pPr>
      <w:r>
        <w:rPr>
          <w:rFonts w:ascii="Times New Roman" w:cs="Times New Roman" w:eastAsia="Times New Roman" w:hAnsi="Times New Roman"/>
          <w:sz w:val="14"/>
          <w:szCs w:val="14"/>
          <w:color w:val="auto"/>
        </w:rPr>
        <w:t>Our investments in InvestCloud, Vista, WEBs, the TXSE Group Inc ("TXSE") and Ridgeline, discussed in Note 5 “Investments,” are excluded from the recurring fair value table shown below because we have elected to apply the measurement alternative for those investments.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values of our investments measured at fair value on a recurring basis within the fair value hierarchy as of the dates indicated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(Continued), (Unaudited)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20" w:type="dxa"/>
            <w:vAlign w:val="bottom"/>
          </w:tcPr>
          <w:p>
            <w:pPr>
              <w:spacing w:after="0"/>
              <w:rPr>
                <w:sz w:val="12"/>
                <w:szCs w:val="12"/>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20" w:type="dxa"/>
            <w:vAlign w:val="bottom"/>
          </w:tcPr>
          <w:p>
            <w:pPr>
              <w:spacing w:after="0"/>
              <w:rPr>
                <w:sz w:val="12"/>
                <w:szCs w:val="12"/>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Pr>
          <w:p>
            <w:pPr>
              <w:spacing w:after="0"/>
              <w:rPr>
                <w:sz w:val="12"/>
                <w:szCs w:val="12"/>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Investments</w:t>
            </w:r>
          </w:p>
        </w:tc>
        <w:tc>
          <w:tcPr>
            <w:tcW w:w="260" w:type="dxa"/>
            <w:vAlign w:val="bottom"/>
          </w:tcPr>
          <w:p>
            <w:pPr>
              <w:spacing w:after="0"/>
              <w:rPr>
                <w:sz w:val="12"/>
                <w:szCs w:val="12"/>
                <w:color w:val="auto"/>
              </w:rPr>
            </w:pPr>
          </w:p>
        </w:tc>
        <w:tc>
          <w:tcPr>
            <w:tcW w:w="860" w:type="dxa"/>
            <w:vAlign w:val="bottom"/>
            <w:vMerge w:val="restart"/>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0"/>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320" w:type="dxa"/>
            <w:vAlign w:val="bottom"/>
            <w:gridSpan w:val="3"/>
          </w:tcPr>
          <w:p>
            <w:pPr>
              <w:jc w:val="center"/>
              <w:ind w:right="100"/>
              <w:spacing w:after="0" w:line="170" w:lineRule="exact"/>
              <w:rPr>
                <w:sz w:val="20"/>
                <w:szCs w:val="20"/>
                <w:color w:val="auto"/>
              </w:rPr>
            </w:pPr>
            <w:r>
              <w:rPr>
                <w:rFonts w:ascii="Times New Roman" w:cs="Times New Roman" w:eastAsia="Times New Roman" w:hAnsi="Times New Roman"/>
                <w:sz w:val="13"/>
                <w:szCs w:val="13"/>
                <w:b w:val="1"/>
                <w:bCs w:val="1"/>
                <w:color w:val="auto"/>
                <w:w w:val="94"/>
              </w:rPr>
              <w:t xml:space="preserve">Measured at NAV </w:t>
            </w:r>
            <w:r>
              <w:rPr>
                <w:rFonts w:ascii="Times New Roman" w:cs="Times New Roman" w:eastAsia="Times New Roman" w:hAnsi="Times New Roman"/>
                <w:sz w:val="16"/>
                <w:szCs w:val="16"/>
                <w:color w:val="auto"/>
                <w:w w:val="94"/>
                <w:vertAlign w:val="superscript"/>
              </w:rPr>
              <w:t>(1)</w:t>
            </w: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trading securities</w:t>
            </w: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17,686</w:t>
            </w:r>
          </w:p>
        </w:tc>
        <w:tc>
          <w:tcPr>
            <w:tcW w:w="10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17,822</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investment funds</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1,946</w:t>
            </w:r>
          </w:p>
        </w:tc>
        <w:tc>
          <w:tcPr>
            <w:tcW w:w="0" w:type="dxa"/>
            <w:vAlign w:val="bottom"/>
          </w:tcPr>
          <w:p>
            <w:pPr>
              <w:spacing w:after="0"/>
              <w:rPr>
                <w:sz w:val="1"/>
                <w:szCs w:val="1"/>
                <w:color w:val="auto"/>
              </w:rPr>
            </w:pPr>
          </w:p>
        </w:tc>
      </w:tr>
      <w:tr>
        <w:trPr>
          <w:trHeight w:val="150"/>
        </w:trPr>
        <w:tc>
          <w:tcPr>
            <w:tcW w:w="5180" w:type="dxa"/>
            <w:vAlign w:val="bottom"/>
          </w:tcPr>
          <w:p>
            <w:pPr>
              <w:ind w:left="280"/>
              <w:spacing w:after="0" w:line="150" w:lineRule="exact"/>
              <w:rPr>
                <w:sz w:val="20"/>
                <w:szCs w:val="20"/>
                <w:color w:val="auto"/>
              </w:rPr>
            </w:pPr>
            <w:r>
              <w:rPr>
                <w:rFonts w:ascii="Times New Roman" w:cs="Times New Roman" w:eastAsia="Times New Roman" w:hAnsi="Times New Roman"/>
                <w:sz w:val="14"/>
                <w:szCs w:val="14"/>
                <w:color w:val="auto"/>
              </w:rPr>
              <w:t>Total assets measured at fair value</w:t>
            </w:r>
          </w:p>
        </w:tc>
        <w:tc>
          <w:tcPr>
            <w:tcW w:w="22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17,686</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1,946</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19,768</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trading securities</w:t>
            </w:r>
          </w:p>
        </w:tc>
        <w:tc>
          <w:tcPr>
            <w:tcW w:w="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25,748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25,748</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Private investment fund</w:t>
            </w:r>
          </w:p>
        </w:tc>
        <w:tc>
          <w:tcPr>
            <w:tcW w:w="2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1,946</w:t>
            </w:r>
          </w:p>
        </w:tc>
        <w:tc>
          <w:tcPr>
            <w:tcW w:w="0" w:type="dxa"/>
            <w:vAlign w:val="bottom"/>
          </w:tcPr>
          <w:p>
            <w:pPr>
              <w:spacing w:after="0"/>
              <w:rPr>
                <w:sz w:val="1"/>
                <w:szCs w:val="1"/>
                <w:color w:val="auto"/>
              </w:rPr>
            </w:pPr>
          </w:p>
        </w:tc>
      </w:tr>
      <w:tr>
        <w:trPr>
          <w:trHeight w:val="196"/>
        </w:trPr>
        <w:tc>
          <w:tcPr>
            <w:tcW w:w="51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assets measured at fair value</w:t>
            </w:r>
          </w:p>
        </w:tc>
        <w:tc>
          <w:tcPr>
            <w:tcW w:w="2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25,748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27,694</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Salient Acquisition contingent consideration</w:t>
            </w: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80" w:type="dxa"/>
            <w:vAlign w:val="bottom"/>
            <w:tcBorders>
              <w:top w:val="single" w:sz="8" w:color="CCEEFF"/>
              <w:bottom w:val="single" w:sz="8" w:color="CCEEFF"/>
            </w:tcBorders>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73"/>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4,657</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13"/>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4,657</w:t>
            </w:r>
          </w:p>
        </w:tc>
        <w:tc>
          <w:tcPr>
            <w:tcW w:w="0" w:type="dxa"/>
            <w:vAlign w:val="bottom"/>
          </w:tcPr>
          <w:p>
            <w:pPr>
              <w:spacing w:after="0"/>
              <w:rPr>
                <w:sz w:val="1"/>
                <w:szCs w:val="1"/>
                <w:color w:val="auto"/>
              </w:rPr>
            </w:pPr>
          </w:p>
        </w:tc>
      </w:tr>
      <w:tr>
        <w:trPr>
          <w:trHeight w:val="172"/>
        </w:trPr>
        <w:tc>
          <w:tcPr>
            <w:tcW w:w="5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liabilities measured at fair value</w:t>
            </w: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4,657</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4,657</w:t>
            </w:r>
          </w:p>
        </w:tc>
        <w:tc>
          <w:tcPr>
            <w:tcW w:w="0" w:type="dxa"/>
            <w:vAlign w:val="bottom"/>
          </w:tcPr>
          <w:p>
            <w:pPr>
              <w:spacing w:after="0"/>
              <w:rPr>
                <w:sz w:val="1"/>
                <w:szCs w:val="1"/>
                <w:color w:val="auto"/>
              </w:rPr>
            </w:pPr>
          </w:p>
        </w:tc>
      </w:tr>
    </w:tbl>
    <w:p>
      <w:pPr>
        <w:ind w:left="20" w:right="460" w:hanging="1"/>
        <w:spacing w:after="0" w:line="247" w:lineRule="auto"/>
        <w:tabs>
          <w:tab w:leader="none" w:pos="18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Comprised of certain investments measured at fair value using NAV as a practical expedient. The fair value amounts presented in this table are intended to permit reconciliation of the fair value hierarchy to the amounts presented on our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3290570</wp:posOffset>
            </wp:positionH>
            <wp:positionV relativeFrom="paragraph">
              <wp:posOffset>-158115</wp:posOffset>
            </wp:positionV>
            <wp:extent cx="387413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4135" cy="6985"/>
                    </a:xfrm>
                    <a:prstGeom prst="rect">
                      <a:avLst/>
                    </a:prstGeom>
                    <a:noFill/>
                  </pic:spPr>
                </pic:pic>
              </a:graphicData>
            </a:graphic>
          </wp:anchor>
        </w:drawing>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changes in Level 3 liabilities measured at fair value on a recurring basis for the periods presented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3"/>
                <w:szCs w:val="13"/>
                <w:b w:val="1"/>
                <w:bCs w:val="1"/>
                <w:color w:val="auto"/>
              </w:rPr>
              <w:t>Fair Value using Significant Unobservable Inputs (Level 3)</w:t>
            </w: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161"/>
        </w:trPr>
        <w:tc>
          <w:tcPr>
            <w:tcW w:w="4580" w:type="dxa"/>
            <w:vAlign w:val="bottom"/>
          </w:tcPr>
          <w:p>
            <w:pPr>
              <w:spacing w:after="0"/>
              <w:rPr>
                <w:sz w:val="14"/>
                <w:szCs w:val="14"/>
                <w:color w:val="auto"/>
              </w:rPr>
            </w:pPr>
          </w:p>
        </w:tc>
        <w:tc>
          <w:tcPr>
            <w:tcW w:w="2760" w:type="dxa"/>
            <w:vAlign w:val="bottom"/>
            <w:tcBorders>
              <w:bottom w:val="single" w:sz="8" w:color="auto"/>
            </w:tcBorders>
            <w:gridSpan w:val="4"/>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jc w:val="right"/>
              <w:ind w:right="834"/>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r>
      <w:tr>
        <w:trPr>
          <w:trHeight w:val="160"/>
        </w:trPr>
        <w:tc>
          <w:tcPr>
            <w:tcW w:w="45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2"/>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Beginning balance</w:t>
            </w:r>
          </w:p>
        </w:tc>
        <w:tc>
          <w:tcPr>
            <w:tcW w:w="1180" w:type="dxa"/>
            <w:vAlign w:val="bottom"/>
            <w:shd w:val="clear" w:color="auto" w:fill="CCEEFF"/>
          </w:tcPr>
          <w:p>
            <w:pPr>
              <w:jc w:val="right"/>
              <w:ind w:right="1035"/>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10,133</w:t>
            </w:r>
          </w:p>
        </w:tc>
      </w:tr>
      <w:tr>
        <w:trPr>
          <w:trHeight w:val="177"/>
        </w:trPr>
        <w:tc>
          <w:tcPr>
            <w:tcW w:w="4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Payments</w:t>
            </w:r>
          </w:p>
        </w:tc>
        <w:tc>
          <w:tcPr>
            <w:tcW w:w="118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(1,815)</w:t>
            </w:r>
          </w:p>
        </w:tc>
        <w:tc>
          <w:tcPr>
            <w:tcW w:w="100" w:type="dxa"/>
            <w:vAlign w:val="bottom"/>
          </w:tcPr>
          <w:p>
            <w:pPr>
              <w:spacing w:after="0"/>
              <w:rPr>
                <w:sz w:val="15"/>
                <w:szCs w:val="15"/>
                <w:color w:val="auto"/>
              </w:rPr>
            </w:pPr>
          </w:p>
        </w:tc>
        <w:tc>
          <w:tcPr>
            <w:tcW w:w="380" w:type="dxa"/>
            <w:vAlign w:val="bottom"/>
          </w:tcPr>
          <w:p>
            <w:pPr>
              <w:jc w:val="right"/>
              <w:ind w:right="233"/>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(1,815)</w:t>
            </w:r>
          </w:p>
        </w:tc>
      </w:tr>
      <w:tr>
        <w:trPr>
          <w:trHeight w:val="184"/>
        </w:trPr>
        <w:tc>
          <w:tcPr>
            <w:tcW w:w="4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losses included in earnings</w:t>
            </w:r>
          </w:p>
        </w:tc>
        <w:tc>
          <w:tcPr>
            <w:tcW w:w="11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1,858</w:t>
            </w:r>
          </w:p>
        </w:tc>
      </w:tr>
      <w:tr>
        <w:trPr>
          <w:trHeight w:val="168"/>
        </w:trPr>
        <w:tc>
          <w:tcPr>
            <w:tcW w:w="45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Ending balance</w:t>
            </w:r>
          </w:p>
        </w:tc>
        <w:tc>
          <w:tcPr>
            <w:tcW w:w="1180" w:type="dxa"/>
            <w:vAlign w:val="bottom"/>
            <w:tcBorders>
              <w:top w:val="single" w:sz="8" w:color="auto"/>
              <w:bottom w:val="single" w:sz="8" w:color="auto"/>
            </w:tcBorders>
          </w:tcPr>
          <w:p>
            <w:pPr>
              <w:jc w:val="right"/>
              <w:ind w:right="1035"/>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915"/>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10,176</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10,176</w:t>
            </w:r>
          </w:p>
        </w:tc>
      </w:tr>
      <w:tr>
        <w:trPr>
          <w:trHeight w:val="20"/>
        </w:trPr>
        <w:tc>
          <w:tcPr>
            <w:tcW w:w="45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final payment for the revenue retention earn-out was made in 2025.</w:t>
      </w:r>
    </w:p>
    <w:p>
      <w:pPr>
        <w:spacing w:after="0" w:line="94" w:lineRule="exact"/>
        <w:rPr>
          <w:sz w:val="20"/>
          <w:szCs w:val="20"/>
          <w:color w:val="auto"/>
        </w:rPr>
      </w:pPr>
    </w:p>
    <w:p>
      <w:pPr>
        <w:ind w:right="220" w:firstLine="382"/>
        <w:spacing w:after="0" w:line="264" w:lineRule="auto"/>
        <w:rPr>
          <w:sz w:val="20"/>
          <w:szCs w:val="20"/>
          <w:color w:val="auto"/>
        </w:rPr>
      </w:pPr>
      <w:r>
        <w:rPr>
          <w:rFonts w:ascii="Times New Roman" w:cs="Times New Roman" w:eastAsia="Times New Roman" w:hAnsi="Times New Roman"/>
          <w:sz w:val="14"/>
          <w:szCs w:val="14"/>
          <w:color w:val="auto"/>
        </w:rPr>
        <w:t>The June 30, 2025 contingent consideration fair value of the growth earn-out was valued based upon updated revenue growth projections following changes in asset values and revised asset flow expectations. The fair value of contingent consideration related to the growth earn-out is measured using the Monte Carlo simulation model, which considered assumptions including revenue growth projections, revenue volatility, risk free rates and discount rates. The projected contingent payment is discounted to the current period using a discounted cash flow model. Increases or decreases in projected revenues, probabilities of payment, discount rates, projected payment dates and other inputs may result in significantly higher or lower fair value measurements.</w:t>
      </w:r>
    </w:p>
    <w:p>
      <w:pPr>
        <w:spacing w:after="0" w:line="56" w:lineRule="exact"/>
        <w:rPr>
          <w:sz w:val="20"/>
          <w:szCs w:val="20"/>
          <w:color w:val="auto"/>
        </w:rPr>
      </w:pPr>
    </w:p>
    <w:p>
      <w:pPr>
        <w:ind w:right="100"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 represents the range of the unobservable inputs utilized in the fair value measurement of the contingent consideration classified as level 3, the weighted averages represent the output of the Monte Carlo simulation models: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Range</w:t>
            </w:r>
          </w:p>
        </w:tc>
        <w:tc>
          <w:tcPr>
            <w:tcW w:w="2360" w:type="dxa"/>
            <w:vAlign w:val="bottom"/>
          </w:tcPr>
          <w:p>
            <w:pPr>
              <w:spacing w:after="0"/>
              <w:rPr>
                <w:sz w:val="14"/>
                <w:szCs w:val="14"/>
                <w:color w:val="auto"/>
              </w:rPr>
            </w:pPr>
          </w:p>
        </w:tc>
      </w:tr>
      <w:tr>
        <w:trPr>
          <w:trHeight w:val="163"/>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 of June 30, 2025:</w:t>
            </w:r>
          </w:p>
        </w:tc>
        <w:tc>
          <w:tcPr>
            <w:tcW w:w="2460" w:type="dxa"/>
            <w:vAlign w:val="bottom"/>
            <w:tcBorders>
              <w:top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880" w:type="dxa"/>
            <w:vAlign w:val="bottom"/>
            <w:tcBorders>
              <w:top w:val="single" w:sz="8" w:color="auto"/>
            </w:tcBorders>
            <w:shd w:val="clear" w:color="auto" w:fill="CCEEFF"/>
          </w:tcPr>
          <w:p>
            <w:pPr>
              <w:jc w:val="center"/>
              <w:ind w:left="212"/>
              <w:spacing w:after="0"/>
              <w:rPr>
                <w:sz w:val="20"/>
                <w:szCs w:val="20"/>
                <w:color w:val="auto"/>
              </w:rPr>
            </w:pPr>
            <w:r>
              <w:rPr>
                <w:rFonts w:ascii="Times New Roman" w:cs="Times New Roman" w:eastAsia="Times New Roman" w:hAnsi="Times New Roman"/>
                <w:sz w:val="13"/>
                <w:szCs w:val="13"/>
                <w:b w:val="1"/>
                <w:bCs w:val="1"/>
                <w:color w:val="auto"/>
                <w:w w:val="97"/>
              </w:rPr>
              <w:t>Low</w:t>
            </w:r>
          </w:p>
        </w:tc>
        <w:tc>
          <w:tcPr>
            <w:tcW w:w="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3"/>
                <w:szCs w:val="13"/>
                <w:b w:val="1"/>
                <w:bCs w:val="1"/>
                <w:color w:val="auto"/>
              </w:rPr>
              <w:t>High</w:t>
            </w:r>
          </w:p>
        </w:tc>
        <w:tc>
          <w:tcPr>
            <w:tcW w:w="80" w:type="dxa"/>
            <w:vAlign w:val="bottom"/>
            <w:tcBorders>
              <w:top w:val="single" w:sz="8" w:color="CCEEFF"/>
            </w:tcBorders>
            <w:shd w:val="clear" w:color="auto" w:fill="CCEEFF"/>
          </w:tcPr>
          <w:p>
            <w:pPr>
              <w:spacing w:after="0"/>
              <w:rPr>
                <w:sz w:val="14"/>
                <w:szCs w:val="14"/>
                <w:color w:val="auto"/>
              </w:rPr>
            </w:pPr>
          </w:p>
        </w:tc>
        <w:tc>
          <w:tcPr>
            <w:tcW w:w="23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 Average Rate</w:t>
            </w:r>
          </w:p>
        </w:tc>
      </w:tr>
      <w:tr>
        <w:trPr>
          <w:trHeight w:val="171"/>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Growth earn-out</w:t>
            </w:r>
          </w:p>
        </w:tc>
        <w:tc>
          <w:tcPr>
            <w:tcW w:w="2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100" w:type="dxa"/>
            <w:vAlign w:val="bottom"/>
          </w:tcPr>
          <w:p>
            <w:pPr>
              <w:spacing w:after="0"/>
              <w:rPr>
                <w:sz w:val="14"/>
                <w:szCs w:val="14"/>
                <w:color w:val="auto"/>
              </w:rPr>
            </w:pPr>
          </w:p>
        </w:tc>
        <w:tc>
          <w:tcPr>
            <w:tcW w:w="880" w:type="dxa"/>
            <w:vAlign w:val="bottom"/>
            <w:tcBorders>
              <w:top w:val="single" w:sz="8" w:color="auto"/>
            </w:tcBorders>
          </w:tcPr>
          <w:p>
            <w:pPr>
              <w:jc w:val="center"/>
              <w:ind w:left="212"/>
              <w:spacing w:after="0"/>
              <w:rPr>
                <w:sz w:val="20"/>
                <w:szCs w:val="20"/>
                <w:color w:val="auto"/>
              </w:rPr>
            </w:pPr>
            <w:r>
              <w:rPr>
                <w:rFonts w:ascii="Times New Roman" w:cs="Times New Roman" w:eastAsia="Times New Roman" w:hAnsi="Times New Roman"/>
                <w:sz w:val="14"/>
                <w:szCs w:val="14"/>
                <w:color w:val="auto"/>
                <w:w w:val="95"/>
              </w:rPr>
              <w:t>6.5%</w:t>
            </w:r>
          </w:p>
        </w:tc>
        <w:tc>
          <w:tcPr>
            <w:tcW w:w="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4"/>
                <w:szCs w:val="14"/>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6.8%</w:t>
            </w:r>
          </w:p>
        </w:tc>
      </w:tr>
      <w:tr>
        <w:trPr>
          <w:trHeight w:val="180"/>
        </w:trPr>
        <w:tc>
          <w:tcPr>
            <w:tcW w:w="394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Volatility</w:t>
            </w:r>
          </w:p>
        </w:tc>
        <w:tc>
          <w:tcPr>
            <w:tcW w:w="880" w:type="dxa"/>
            <w:vAlign w:val="bottom"/>
            <w:shd w:val="clear" w:color="auto" w:fill="CCEEFF"/>
          </w:tcPr>
          <w:p>
            <w:pPr>
              <w:jc w:val="center"/>
              <w:ind w:left="212"/>
              <w:spacing w:after="0"/>
              <w:rPr>
                <w:sz w:val="20"/>
                <w:szCs w:val="20"/>
                <w:color w:val="auto"/>
              </w:rPr>
            </w:pPr>
            <w:r>
              <w:rPr>
                <w:rFonts w:ascii="Times New Roman" w:cs="Times New Roman" w:eastAsia="Times New Roman" w:hAnsi="Times New Roman"/>
                <w:sz w:val="14"/>
                <w:szCs w:val="14"/>
                <w:color w:val="auto"/>
                <w:w w:val="95"/>
              </w:rPr>
              <w:t>1.6%</w:t>
            </w:r>
          </w:p>
        </w:tc>
        <w:tc>
          <w:tcPr>
            <w:tcW w:w="1560" w:type="dxa"/>
            <w:vAlign w:val="bottom"/>
            <w:gridSpan w:val="3"/>
            <w:shd w:val="clear" w:color="auto" w:fill="CCEEFF"/>
          </w:tcPr>
          <w:p>
            <w:pPr>
              <w:jc w:val="center"/>
              <w:ind w:left="293"/>
              <w:spacing w:after="0"/>
              <w:rPr>
                <w:sz w:val="20"/>
                <w:szCs w:val="20"/>
                <w:color w:val="auto"/>
              </w:rPr>
            </w:pPr>
            <w:r>
              <w:rPr>
                <w:rFonts w:ascii="Times New Roman" w:cs="Times New Roman" w:eastAsia="Times New Roman" w:hAnsi="Times New Roman"/>
                <w:sz w:val="14"/>
                <w:szCs w:val="14"/>
                <w:color w:val="auto"/>
                <w:w w:val="99"/>
              </w:rPr>
              <w:t>11.6%</w:t>
            </w:r>
          </w:p>
        </w:tc>
        <w:tc>
          <w:tcPr>
            <w:tcW w:w="80" w:type="dxa"/>
            <w:vAlign w:val="bottom"/>
            <w:shd w:val="clear" w:color="auto" w:fill="CCEEFF"/>
          </w:tcPr>
          <w:p>
            <w:pPr>
              <w:spacing w:after="0"/>
              <w:rPr>
                <w:sz w:val="15"/>
                <w:szCs w:val="15"/>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6.6%</w:t>
            </w:r>
          </w:p>
        </w:tc>
      </w:tr>
      <w:tr>
        <w:trPr>
          <w:trHeight w:val="169"/>
        </w:trPr>
        <w:tc>
          <w:tcPr>
            <w:tcW w:w="39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Range</w:t>
            </w:r>
          </w:p>
        </w:tc>
        <w:tc>
          <w:tcPr>
            <w:tcW w:w="2360" w:type="dxa"/>
            <w:vAlign w:val="bottom"/>
          </w:tcPr>
          <w:p>
            <w:pPr>
              <w:spacing w:after="0"/>
              <w:rPr>
                <w:sz w:val="14"/>
                <w:szCs w:val="14"/>
                <w:color w:val="auto"/>
              </w:rPr>
            </w:pPr>
          </w:p>
        </w:tc>
      </w:tr>
      <w:tr>
        <w:trPr>
          <w:trHeight w:val="162"/>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2460" w:type="dxa"/>
            <w:vAlign w:val="bottom"/>
            <w:tcBorders>
              <w:top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880" w:type="dxa"/>
            <w:vAlign w:val="bottom"/>
            <w:tcBorders>
              <w:top w:val="single" w:sz="8" w:color="auto"/>
            </w:tcBorders>
            <w:shd w:val="clear" w:color="auto" w:fill="CCEEFF"/>
          </w:tcPr>
          <w:p>
            <w:pPr>
              <w:jc w:val="center"/>
              <w:ind w:left="212"/>
              <w:spacing w:after="0"/>
              <w:rPr>
                <w:sz w:val="20"/>
                <w:szCs w:val="20"/>
                <w:color w:val="auto"/>
              </w:rPr>
            </w:pPr>
            <w:r>
              <w:rPr>
                <w:rFonts w:ascii="Times New Roman" w:cs="Times New Roman" w:eastAsia="Times New Roman" w:hAnsi="Times New Roman"/>
                <w:sz w:val="13"/>
                <w:szCs w:val="13"/>
                <w:b w:val="1"/>
                <w:bCs w:val="1"/>
                <w:color w:val="auto"/>
                <w:w w:val="97"/>
              </w:rPr>
              <w:t>Low</w:t>
            </w:r>
          </w:p>
        </w:tc>
        <w:tc>
          <w:tcPr>
            <w:tcW w:w="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3"/>
                <w:szCs w:val="13"/>
                <w:b w:val="1"/>
                <w:bCs w:val="1"/>
                <w:color w:val="auto"/>
              </w:rPr>
              <w:t>High</w:t>
            </w:r>
          </w:p>
        </w:tc>
        <w:tc>
          <w:tcPr>
            <w:tcW w:w="80" w:type="dxa"/>
            <w:vAlign w:val="bottom"/>
            <w:tcBorders>
              <w:top w:val="single" w:sz="8" w:color="CCEEFF"/>
            </w:tcBorders>
            <w:shd w:val="clear" w:color="auto" w:fill="CCEEFF"/>
          </w:tcPr>
          <w:p>
            <w:pPr>
              <w:spacing w:after="0"/>
              <w:rPr>
                <w:sz w:val="14"/>
                <w:szCs w:val="14"/>
                <w:color w:val="auto"/>
              </w:rPr>
            </w:pPr>
          </w:p>
        </w:tc>
        <w:tc>
          <w:tcPr>
            <w:tcW w:w="23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 Average Rate</w:t>
            </w:r>
          </w:p>
        </w:tc>
      </w:tr>
      <w:tr>
        <w:trPr>
          <w:trHeight w:val="171"/>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Growth earn-out</w:t>
            </w:r>
          </w:p>
        </w:tc>
        <w:tc>
          <w:tcPr>
            <w:tcW w:w="2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100" w:type="dxa"/>
            <w:vAlign w:val="bottom"/>
          </w:tcPr>
          <w:p>
            <w:pPr>
              <w:spacing w:after="0"/>
              <w:rPr>
                <w:sz w:val="14"/>
                <w:szCs w:val="14"/>
                <w:color w:val="auto"/>
              </w:rPr>
            </w:pPr>
          </w:p>
        </w:tc>
        <w:tc>
          <w:tcPr>
            <w:tcW w:w="880" w:type="dxa"/>
            <w:vAlign w:val="bottom"/>
            <w:tcBorders>
              <w:top w:val="single" w:sz="8" w:color="auto"/>
            </w:tcBorders>
          </w:tcPr>
          <w:p>
            <w:pPr>
              <w:jc w:val="center"/>
              <w:ind w:left="212"/>
              <w:spacing w:after="0"/>
              <w:rPr>
                <w:sz w:val="20"/>
                <w:szCs w:val="20"/>
                <w:color w:val="auto"/>
              </w:rPr>
            </w:pPr>
            <w:r>
              <w:rPr>
                <w:rFonts w:ascii="Times New Roman" w:cs="Times New Roman" w:eastAsia="Times New Roman" w:hAnsi="Times New Roman"/>
                <w:sz w:val="14"/>
                <w:szCs w:val="14"/>
                <w:color w:val="auto"/>
                <w:w w:val="95"/>
              </w:rPr>
              <w:t>7.0%</w:t>
            </w:r>
          </w:p>
        </w:tc>
        <w:tc>
          <w:tcPr>
            <w:tcW w:w="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4"/>
                <w:szCs w:val="14"/>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7.3%</w:t>
            </w:r>
          </w:p>
        </w:tc>
      </w:tr>
      <w:tr>
        <w:trPr>
          <w:trHeight w:val="180"/>
        </w:trPr>
        <w:tc>
          <w:tcPr>
            <w:tcW w:w="394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Volatility</w:t>
            </w:r>
          </w:p>
        </w:tc>
        <w:tc>
          <w:tcPr>
            <w:tcW w:w="880" w:type="dxa"/>
            <w:vAlign w:val="bottom"/>
            <w:shd w:val="clear" w:color="auto" w:fill="CCEEFF"/>
          </w:tcPr>
          <w:p>
            <w:pPr>
              <w:jc w:val="center"/>
              <w:ind w:left="212"/>
              <w:spacing w:after="0"/>
              <w:rPr>
                <w:sz w:val="20"/>
                <w:szCs w:val="20"/>
                <w:color w:val="auto"/>
              </w:rPr>
            </w:pPr>
            <w:r>
              <w:rPr>
                <w:rFonts w:ascii="Times New Roman" w:cs="Times New Roman" w:eastAsia="Times New Roman" w:hAnsi="Times New Roman"/>
                <w:sz w:val="14"/>
                <w:szCs w:val="14"/>
                <w:color w:val="auto"/>
                <w:w w:val="95"/>
              </w:rPr>
              <w:t>1.9%</w:t>
            </w:r>
          </w:p>
        </w:tc>
        <w:tc>
          <w:tcPr>
            <w:tcW w:w="1560" w:type="dxa"/>
            <w:vAlign w:val="bottom"/>
            <w:gridSpan w:val="3"/>
            <w:shd w:val="clear" w:color="auto" w:fill="CCEEFF"/>
          </w:tcPr>
          <w:p>
            <w:pPr>
              <w:jc w:val="center"/>
              <w:ind w:left="293"/>
              <w:spacing w:after="0"/>
              <w:rPr>
                <w:sz w:val="20"/>
                <w:szCs w:val="20"/>
                <w:color w:val="auto"/>
              </w:rPr>
            </w:pPr>
            <w:r>
              <w:rPr>
                <w:rFonts w:ascii="Times New Roman" w:cs="Times New Roman" w:eastAsia="Times New Roman" w:hAnsi="Times New Roman"/>
                <w:sz w:val="14"/>
                <w:szCs w:val="14"/>
                <w:color w:val="auto"/>
                <w:w w:val="99"/>
              </w:rPr>
              <w:t>11.9%</w:t>
            </w:r>
          </w:p>
        </w:tc>
        <w:tc>
          <w:tcPr>
            <w:tcW w:w="80" w:type="dxa"/>
            <w:vAlign w:val="bottom"/>
            <w:shd w:val="clear" w:color="auto" w:fill="CCEEFF"/>
          </w:tcPr>
          <w:p>
            <w:pPr>
              <w:spacing w:after="0"/>
              <w:rPr>
                <w:sz w:val="15"/>
                <w:szCs w:val="15"/>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6.9%</w:t>
            </w:r>
          </w:p>
        </w:tc>
      </w:tr>
      <w:tr>
        <w:trPr>
          <w:trHeight w:val="838"/>
        </w:trPr>
        <w:tc>
          <w:tcPr>
            <w:tcW w:w="3940" w:type="dxa"/>
            <w:vAlign w:val="bottom"/>
          </w:tcPr>
          <w:p>
            <w:pPr>
              <w:spacing w:after="0"/>
              <w:rPr>
                <w:sz w:val="24"/>
                <w:szCs w:val="24"/>
                <w:color w:val="auto"/>
              </w:rPr>
            </w:pPr>
          </w:p>
        </w:tc>
        <w:tc>
          <w:tcPr>
            <w:tcW w:w="2360" w:type="dxa"/>
            <w:vAlign w:val="bottom"/>
          </w:tcPr>
          <w:p>
            <w:pPr>
              <w:ind w:left="164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87"/>
        </w:trPr>
        <w:tc>
          <w:tcPr>
            <w:tcW w:w="3940" w:type="dxa"/>
            <w:vAlign w:val="bottom"/>
            <w:tcBorders>
              <w:bottom w:val="single" w:sz="8" w:color="9A9A9A"/>
            </w:tcBorders>
          </w:tcPr>
          <w:p>
            <w:pPr>
              <w:spacing w:after="0"/>
              <w:rPr>
                <w:sz w:val="7"/>
                <w:szCs w:val="7"/>
                <w:color w:val="auto"/>
              </w:rPr>
            </w:pPr>
          </w:p>
        </w:tc>
        <w:tc>
          <w:tcPr>
            <w:tcW w:w="2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3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(Continued), (Unaudited)</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22222"/>
        </w:rPr>
        <w:t>7. INCOME TAXES</w:t>
      </w:r>
    </w:p>
    <w:p>
      <w:pPr>
        <w:spacing w:after="0" w:line="96" w:lineRule="exact"/>
        <w:rPr>
          <w:sz w:val="20"/>
          <w:szCs w:val="20"/>
          <w:color w:val="auto"/>
        </w:rPr>
      </w:pPr>
    </w:p>
    <w:p>
      <w:pPr>
        <w:ind w:right="20" w:firstLine="382"/>
        <w:spacing w:after="0" w:line="270" w:lineRule="auto"/>
        <w:rPr>
          <w:sz w:val="20"/>
          <w:szCs w:val="20"/>
          <w:color w:val="auto"/>
        </w:rPr>
      </w:pPr>
      <w:r>
        <w:rPr>
          <w:rFonts w:ascii="Times New Roman" w:cs="Times New Roman" w:eastAsia="Times New Roman" w:hAnsi="Times New Roman"/>
          <w:sz w:val="14"/>
          <w:szCs w:val="14"/>
          <w:color w:val="auto"/>
        </w:rPr>
        <w:t>Our effective income tax rate differed from the 21% statutory rate for the three and six months ended June 30, 2025 due to permanent differences related to executive compensation. Our effective income tax rate differed from the 21% statutory rate for the three and six months ended June 30, 2024 due to permanent differences between book and tax restricted stock expense based on a decrease in our stock price between the restricted stock grant and vesting dates.</w:t>
      </w:r>
    </w:p>
    <w:p>
      <w:pPr>
        <w:spacing w:after="0" w:line="51" w:lineRule="exact"/>
        <w:rPr>
          <w:sz w:val="20"/>
          <w:szCs w:val="20"/>
          <w:color w:val="auto"/>
        </w:rPr>
      </w:pPr>
    </w:p>
    <w:p>
      <w:pPr>
        <w:ind w:right="100" w:firstLine="382"/>
        <w:spacing w:after="0" w:line="287" w:lineRule="auto"/>
        <w:rPr>
          <w:sz w:val="20"/>
          <w:szCs w:val="20"/>
          <w:color w:val="auto"/>
        </w:rPr>
      </w:pPr>
      <w:r>
        <w:rPr>
          <w:rFonts w:ascii="Times New Roman" w:cs="Times New Roman" w:eastAsia="Times New Roman" w:hAnsi="Times New Roman"/>
          <w:sz w:val="14"/>
          <w:szCs w:val="14"/>
          <w:color w:val="auto"/>
        </w:rPr>
        <w:t>On July 4, 2025, the One Big Beautiful Bill Act ("OBBBA") was enacted into United States law. The OBBBA extends or makes permanent various tax provisions that were originally enacted in the 2017 Tax Cuts and Jobs Act, and were set to expire at the end of 2025. We are in the process of analyzing the impact of the OBBBA on our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EARNINGS PER SHARE</w:t>
      </w:r>
    </w:p>
    <w:p>
      <w:pPr>
        <w:spacing w:after="0" w:line="96" w:lineRule="exact"/>
        <w:rPr>
          <w:sz w:val="20"/>
          <w:szCs w:val="20"/>
          <w:color w:val="auto"/>
        </w:rPr>
      </w:pPr>
    </w:p>
    <w:p>
      <w:pPr>
        <w:jc w:val="both"/>
        <w:ind w:right="240" w:firstLine="382"/>
        <w:spacing w:after="0" w:line="270" w:lineRule="auto"/>
        <w:rPr>
          <w:sz w:val="20"/>
          <w:szCs w:val="20"/>
          <w:color w:val="auto"/>
        </w:rPr>
      </w:pPr>
      <w:r>
        <w:rPr>
          <w:rFonts w:ascii="Times New Roman" w:cs="Times New Roman" w:eastAsia="Times New Roman" w:hAnsi="Times New Roman"/>
          <w:sz w:val="14"/>
          <w:szCs w:val="14"/>
          <w:color w:val="auto"/>
        </w:rPr>
        <w:t>Basic earnings per common share is computed by dividing income attributable to Westwood Holdings Group, Inc. by the weighted average number of shares outstanding for the applicable period. Diluted earnings per share is computed based on the weighted average number of shares outstanding plus the effect of any dilutive shares of restricted stock granted to employees and non-employee directors.</w:t>
      </w:r>
    </w:p>
    <w:p>
      <w:pPr>
        <w:spacing w:after="0" w:line="51" w:lineRule="exact"/>
        <w:rPr>
          <w:sz w:val="20"/>
          <w:szCs w:val="20"/>
          <w:color w:val="auto"/>
        </w:rPr>
      </w:pPr>
    </w:p>
    <w:p>
      <w:pPr>
        <w:ind w:right="160" w:firstLine="382"/>
        <w:spacing w:after="0" w:line="287" w:lineRule="auto"/>
        <w:rPr>
          <w:sz w:val="20"/>
          <w:szCs w:val="20"/>
          <w:color w:val="auto"/>
        </w:rPr>
      </w:pPr>
      <w:r>
        <w:rPr>
          <w:rFonts w:ascii="Times New Roman" w:cs="Times New Roman" w:eastAsia="Times New Roman" w:hAnsi="Times New Roman"/>
          <w:sz w:val="14"/>
          <w:szCs w:val="14"/>
          <w:color w:val="auto"/>
        </w:rPr>
        <w:t>There were approximately 0 and 6,000 anti-dilutive restricted shares outstanding for the three months ended June 30, 2025 and June 30, 2024, respectively. There were approximately 10,000 and 13,000 anti-dilutive restricted shares outstanding for the six months ended June 30, 2025 and June 30, 2024, respectively.</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earnings per share (in thousands, except per share and share amounts):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40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734"/>
              <w:spacing w:after="0"/>
              <w:rPr>
                <w:sz w:val="20"/>
                <w:szCs w:val="20"/>
                <w:color w:val="auto"/>
              </w:rPr>
            </w:pPr>
            <w:r>
              <w:rPr>
                <w:rFonts w:ascii="Times New Roman" w:cs="Times New Roman" w:eastAsia="Times New Roman" w:hAnsi="Times New Roman"/>
                <w:sz w:val="12"/>
                <w:szCs w:val="12"/>
                <w:b w:val="1"/>
                <w:bCs w:val="1"/>
                <w:color w:val="auto"/>
              </w:rPr>
              <w:t>Six Months Ended June 30,</w:t>
            </w:r>
          </w:p>
        </w:tc>
      </w:tr>
      <w:tr>
        <w:trPr>
          <w:trHeight w:val="153"/>
        </w:trPr>
        <w:tc>
          <w:tcPr>
            <w:tcW w:w="51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7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(loss) attributable to Westwood Holdings Group, Inc.</w:t>
            </w: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79"/>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shares outstanding - basic</w:t>
            </w:r>
          </w:p>
        </w:tc>
        <w:tc>
          <w:tcPr>
            <w:tcW w:w="8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8,404,859</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8,218,596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8,329,803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8,158,812</w:t>
            </w:r>
          </w:p>
        </w:tc>
      </w:tr>
      <w:tr>
        <w:trPr>
          <w:trHeight w:val="18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Dilutive potential shares from unvested restricted shares</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408,747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468,289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279,619</w:t>
            </w:r>
          </w:p>
        </w:tc>
      </w:tr>
      <w:tr>
        <w:trPr>
          <w:trHeight w:val="168"/>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shares outstanding - diluted</w:t>
            </w:r>
          </w:p>
        </w:tc>
        <w:tc>
          <w:tcPr>
            <w:tcW w:w="8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8,813,606</w:t>
            </w:r>
          </w:p>
        </w:tc>
        <w:tc>
          <w:tcPr>
            <w:tcW w:w="1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8,218,596</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8,798,092</w:t>
            </w: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8,438,431</w:t>
            </w:r>
          </w:p>
        </w:tc>
      </w:tr>
      <w:tr>
        <w:trPr>
          <w:trHeight w:val="18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Earnings (loss) per share:</w:t>
            </w: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7"/>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Basic</w:t>
            </w: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0.12</w:t>
            </w:r>
          </w:p>
        </w:tc>
        <w:tc>
          <w:tcPr>
            <w:tcW w:w="100" w:type="dxa"/>
            <w:vAlign w:val="bottom"/>
          </w:tcPr>
          <w:p>
            <w:pPr>
              <w:spacing w:after="0"/>
              <w:rPr>
                <w:sz w:val="15"/>
                <w:szCs w:val="15"/>
                <w:color w:val="auto"/>
              </w:rPr>
            </w:pPr>
          </w:p>
        </w:tc>
        <w:tc>
          <w:tcPr>
            <w:tcW w:w="840" w:type="dxa"/>
            <w:vAlign w:val="bottom"/>
          </w:tcPr>
          <w:p>
            <w:pPr>
              <w:jc w:val="right"/>
              <w:ind w:right="69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(0.27)</w:t>
            </w:r>
          </w:p>
        </w:tc>
        <w:tc>
          <w:tcPr>
            <w:tcW w:w="100" w:type="dxa"/>
            <w:vAlign w:val="bottom"/>
          </w:tcPr>
          <w:p>
            <w:pPr>
              <w:spacing w:after="0"/>
              <w:rPr>
                <w:sz w:val="15"/>
                <w:szCs w:val="15"/>
                <w:color w:val="auto"/>
              </w:rPr>
            </w:pP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0.18</w:t>
            </w:r>
          </w:p>
        </w:tc>
        <w:tc>
          <w:tcPr>
            <w:tcW w:w="80" w:type="dxa"/>
            <w:vAlign w:val="bottom"/>
          </w:tcPr>
          <w:p>
            <w:pPr>
              <w:spacing w:after="0"/>
              <w:rPr>
                <w:sz w:val="15"/>
                <w:szCs w:val="15"/>
                <w:color w:val="auto"/>
              </w:rPr>
            </w:pPr>
          </w:p>
        </w:tc>
        <w:tc>
          <w:tcPr>
            <w:tcW w:w="3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r>
      <w:tr>
        <w:trPr>
          <w:trHeight w:val="18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w:t>
            </w: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0.12</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0.01</w:t>
            </w:r>
          </w:p>
        </w:tc>
      </w:tr>
    </w:tbl>
    <w:p>
      <w:pPr>
        <w:spacing w:after="0" w:line="200" w:lineRule="exact"/>
        <w:rPr>
          <w:sz w:val="20"/>
          <w:szCs w:val="20"/>
          <w:color w:val="auto"/>
        </w:rPr>
      </w:pPr>
    </w:p>
    <w:p>
      <w:pPr>
        <w:spacing w:after="0" w:line="261" w:lineRule="exact"/>
        <w:rPr>
          <w:sz w:val="20"/>
          <w:szCs w:val="20"/>
          <w:color w:val="auto"/>
        </w:rPr>
      </w:pPr>
    </w:p>
    <w:p>
      <w:pPr>
        <w:ind w:right="7940" w:firstLine="5"/>
        <w:spacing w:after="0" w:line="381" w:lineRule="auto"/>
        <w:tabs>
          <w:tab w:leader="none" w:pos="141"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GOODWILL AND OTHER INTANGIBLE ASSETS Goodwill</w:t>
      </w:r>
    </w:p>
    <w:p>
      <w:pPr>
        <w:ind w:right="60" w:firstLine="382"/>
        <w:spacing w:after="0" w:line="264" w:lineRule="auto"/>
        <w:rPr>
          <w:sz w:val="20"/>
          <w:szCs w:val="20"/>
          <w:color w:val="auto"/>
        </w:rPr>
      </w:pPr>
      <w:r>
        <w:rPr>
          <w:rFonts w:ascii="Times New Roman" w:cs="Times New Roman" w:eastAsia="Times New Roman" w:hAnsi="Times New Roman"/>
          <w:sz w:val="14"/>
          <w:szCs w:val="14"/>
          <w:color w:val="auto"/>
        </w:rPr>
        <w:t>Goodwill represents the excess of the cost of acquired assets over the fair value of the underlying liabilities at the date of acquisition. Goodwill is not amortized but is reviewed for impairment annually, or between annual assessments if a triggering event occurs or circumstances change that would more likely than not result in the fair value of a reporting unit below its carrying amount. We completed our most recent annual goodwill impairment assessment during the third quarter of 2024 and determined that no goodwill impairment related to the Advisory or Trust segment was required. No goodwill impairments were recorded during the three and six months ended June 30, 2025 or June 30, 2024.</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Goodwill balances were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62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Trust Segment</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Advisory Segment</w:t>
            </w:r>
          </w:p>
        </w:tc>
        <w:tc>
          <w:tcPr>
            <w:tcW w:w="500" w:type="dxa"/>
            <w:vAlign w:val="bottom"/>
          </w:tcPr>
          <w:p>
            <w:pPr>
              <w:spacing w:after="0"/>
              <w:rPr>
                <w:sz w:val="16"/>
                <w:szCs w:val="16"/>
                <w:color w:val="auto"/>
              </w:rPr>
            </w:pPr>
          </w:p>
        </w:tc>
        <w:tc>
          <w:tcPr>
            <w:tcW w:w="1660" w:type="dxa"/>
            <w:vAlign w:val="bottom"/>
          </w:tcPr>
          <w:p>
            <w:pPr>
              <w:jc w:val="right"/>
              <w:ind w:right="87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1"/>
        </w:trPr>
        <w:tc>
          <w:tcPr>
            <w:tcW w:w="4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ind w:right="147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16,401</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23,100</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39,501</w:t>
            </w:r>
          </w:p>
        </w:tc>
      </w:tr>
      <w:tr>
        <w:trPr>
          <w:trHeight w:val="178"/>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620" w:type="dxa"/>
            <w:vAlign w:val="bottom"/>
          </w:tcPr>
          <w:p>
            <w:pPr>
              <w:jc w:val="right"/>
              <w:ind w:right="147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16,401</w:t>
            </w:r>
          </w:p>
        </w:tc>
        <w:tc>
          <w:tcPr>
            <w:tcW w:w="80" w:type="dxa"/>
            <w:vAlign w:val="bottom"/>
          </w:tcPr>
          <w:p>
            <w:pPr>
              <w:spacing w:after="0"/>
              <w:rPr>
                <w:sz w:val="15"/>
                <w:szCs w:val="15"/>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23,100</w:t>
            </w:r>
          </w:p>
        </w:tc>
        <w:tc>
          <w:tcPr>
            <w:tcW w:w="80" w:type="dxa"/>
            <w:vAlign w:val="bottom"/>
          </w:tcPr>
          <w:p>
            <w:pPr>
              <w:spacing w:after="0"/>
              <w:rPr>
                <w:sz w:val="15"/>
                <w:szCs w:val="15"/>
                <w:color w:val="auto"/>
              </w:rPr>
            </w:pPr>
          </w:p>
        </w:tc>
        <w:tc>
          <w:tcPr>
            <w:tcW w:w="50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39,501</w:t>
            </w: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Intangible Assets</w:t>
      </w:r>
    </w:p>
    <w:p>
      <w:pPr>
        <w:spacing w:after="0" w:line="96" w:lineRule="exact"/>
        <w:rPr>
          <w:sz w:val="20"/>
          <w:szCs w:val="20"/>
          <w:color w:val="auto"/>
        </w:rPr>
      </w:pPr>
    </w:p>
    <w:p>
      <w:pPr>
        <w:ind w:right="140" w:firstLine="382"/>
        <w:spacing w:after="0" w:line="287" w:lineRule="auto"/>
        <w:rPr>
          <w:sz w:val="20"/>
          <w:szCs w:val="20"/>
          <w:color w:val="auto"/>
        </w:rPr>
      </w:pPr>
      <w:r>
        <w:rPr>
          <w:rFonts w:ascii="Times New Roman" w:cs="Times New Roman" w:eastAsia="Times New Roman" w:hAnsi="Times New Roman"/>
          <w:sz w:val="14"/>
          <w:szCs w:val="14"/>
          <w:color w:val="auto"/>
        </w:rPr>
        <w:t>Our intangible assets represent the acquisition date fair value of acquired client relationships, trade names, non-compete agreements and internally developed software and are reflected net of amortization. In valuing these assets, we made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(Continued), (Unaudited)</w:t>
      </w:r>
    </w:p>
    <w:p>
      <w:pPr>
        <w:spacing w:after="0" w:line="355"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significant estimates regarding their useful lives, growth rates and potential attrition. We periodically review intangible assets for events or circumstances that would indicate impairment. No intangible asset impairments were recorded during the three and six months ended June 30, 2025 or June 30, 2024.</w:t>
      </w:r>
    </w:p>
    <w:p>
      <w:pPr>
        <w:spacing w:after="0" w:line="39" w:lineRule="exact"/>
        <w:rPr>
          <w:sz w:val="20"/>
          <w:szCs w:val="20"/>
          <w:color w:val="auto"/>
        </w:rPr>
      </w:pPr>
    </w:p>
    <w:p>
      <w:pPr>
        <w:ind w:right="240" w:firstLine="382"/>
        <w:spacing w:after="0" w:line="287" w:lineRule="auto"/>
        <w:rPr>
          <w:sz w:val="20"/>
          <w:szCs w:val="20"/>
          <w:color w:val="auto"/>
        </w:rPr>
      </w:pPr>
      <w:r>
        <w:rPr>
          <w:rFonts w:ascii="Times New Roman" w:cs="Times New Roman" w:eastAsia="Times New Roman" w:hAnsi="Times New Roman"/>
          <w:sz w:val="14"/>
          <w:szCs w:val="14"/>
          <w:color w:val="auto"/>
        </w:rPr>
        <w:t>Amortization expense, which is included in “General and administrative” expense on our Condensed Consolidated Statements of Operations, was $1.0 million and $2.1 million for the three and six months ended June 30, 2025 and June 30, 2024,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22222"/>
        </w:rPr>
        <w:t>10. LEASES</w:t>
      </w:r>
    </w:p>
    <w:p>
      <w:pPr>
        <w:spacing w:after="0" w:line="9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On June 24, 2025, we renewed our office lease for approximately 30,000 square feet located in Dallas, Texas. This lease is expected to commence in the second quarter of fiscal 2026 for a term of 11.4 years. Our total obligation for the base rent will be approximately $8.7 million.</w:t>
      </w:r>
    </w:p>
    <w:p>
      <w:pPr>
        <w:spacing w:after="0" w:line="39" w:lineRule="exact"/>
        <w:rPr>
          <w:sz w:val="20"/>
          <w:szCs w:val="20"/>
          <w:color w:val="auto"/>
        </w:rPr>
      </w:pPr>
    </w:p>
    <w:p>
      <w:pPr>
        <w:ind w:right="260" w:firstLine="382"/>
        <w:spacing w:after="0" w:line="287" w:lineRule="auto"/>
        <w:rPr>
          <w:sz w:val="20"/>
          <w:szCs w:val="20"/>
          <w:color w:val="auto"/>
        </w:rPr>
      </w:pPr>
      <w:r>
        <w:rPr>
          <w:rFonts w:ascii="Times New Roman" w:cs="Times New Roman" w:eastAsia="Times New Roman" w:hAnsi="Times New Roman"/>
          <w:sz w:val="14"/>
          <w:szCs w:val="14"/>
          <w:color w:val="auto"/>
        </w:rPr>
        <w:t>As of June 30, 2025 there have been no other material changes outside the ordinary course of business to our leases since December 31, 2024. For information regarding our leases, refer to Note 12 “Leases” in Part IV, Item 15. “Exhibits, Financial Statement Schedules” in our Annual Report on Form 10-K for the fiscal year ended December 31, 2024.</w:t>
      </w:r>
    </w:p>
    <w:p>
      <w:pPr>
        <w:spacing w:after="0" w:line="37" w:lineRule="exact"/>
        <w:rPr>
          <w:sz w:val="20"/>
          <w:szCs w:val="20"/>
          <w:color w:val="auto"/>
        </w:rPr>
      </w:pPr>
    </w:p>
    <w:p>
      <w:pPr>
        <w:ind w:right="9260" w:firstLine="5"/>
        <w:spacing w:after="0" w:line="381" w:lineRule="auto"/>
        <w:tabs>
          <w:tab w:leader="none" w:pos="204"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STOCKHOLDERS' EQUITY Share Repurchase Program</w:t>
      </w:r>
    </w:p>
    <w:p>
      <w:pPr>
        <w:ind w:left="3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 of June 30, 2025, shares up to a value of $5.5 million may yet be repurchased under our plan.</w:t>
      </w:r>
    </w:p>
    <w:p>
      <w:pPr>
        <w:spacing w:after="0" w:line="94" w:lineRule="exact"/>
        <w:rPr>
          <w:sz w:val="20"/>
          <w:szCs w:val="20"/>
          <w:color w:val="auto"/>
        </w:rPr>
      </w:pPr>
    </w:p>
    <w:p>
      <w:pPr>
        <w:ind w:right="180" w:firstLine="382"/>
        <w:spacing w:after="0" w:line="287" w:lineRule="auto"/>
        <w:rPr>
          <w:sz w:val="20"/>
          <w:szCs w:val="20"/>
          <w:color w:val="auto"/>
        </w:rPr>
      </w:pPr>
      <w:r>
        <w:rPr>
          <w:rFonts w:ascii="Times New Roman" w:cs="Times New Roman" w:eastAsia="Times New Roman" w:hAnsi="Times New Roman"/>
          <w:sz w:val="14"/>
          <w:szCs w:val="14"/>
          <w:color w:val="auto"/>
        </w:rPr>
        <w:t>During the three and six months ended June 30, 2025, the Company did not repurchase any shares of our common stock. During the three and six months ended June 30, 2024, the Company repurchased 86,346 shares of our common stock at an average price of $12.45 per share, including commissions, for an aggregate purchase price of $1.1 million under our share repurchase plan.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VARIABLE INTEREST ENTITIES</w:t>
      </w:r>
    </w:p>
    <w:p>
      <w:pPr>
        <w:spacing w:after="0" w:line="96" w:lineRule="exact"/>
        <w:rPr>
          <w:sz w:val="20"/>
          <w:szCs w:val="20"/>
          <w:color w:val="auto"/>
        </w:rPr>
      </w:pPr>
    </w:p>
    <w:p>
      <w:pPr>
        <w:ind w:right="200" w:firstLine="382"/>
        <w:spacing w:after="0" w:line="264" w:lineRule="auto"/>
        <w:rPr>
          <w:sz w:val="20"/>
          <w:szCs w:val="20"/>
          <w:color w:val="auto"/>
        </w:rPr>
      </w:pPr>
      <w:r>
        <w:rPr>
          <w:rFonts w:ascii="Times New Roman" w:cs="Times New Roman" w:eastAsia="Times New Roman" w:hAnsi="Times New Roman"/>
          <w:sz w:val="14"/>
          <w:szCs w:val="14"/>
          <w:color w:val="auto"/>
        </w:rPr>
        <w:t xml:space="preserve">We evaluated (i) our relationship as sponsor of the Common Trust Funds (“CTFs”) and managing member of the private equity funds Westwood Hospitality, Westwood Technology Opportunities Fund I, LP and Westwood Energy Secondaries (collectively the “Private Funds”), (ii) our advisory relationships with the Westwood Funds® and (iii) our investments in InvestCloud, Vista, Zarvona Energy Fund GP and Zarvona Energy Fund II-A as discussed in Note 5 </w:t>
      </w:r>
      <w:r>
        <w:rPr>
          <w:rFonts w:ascii="Times New Roman" w:cs="Times New Roman" w:eastAsia="Times New Roman" w:hAnsi="Times New Roman"/>
          <w:sz w:val="14"/>
          <w:szCs w:val="14"/>
          <w:color w:val="222222"/>
        </w:rPr>
        <w:t>“Investments”</w:t>
      </w:r>
      <w:r>
        <w:rPr>
          <w:rFonts w:ascii="Times New Roman" w:cs="Times New Roman" w:eastAsia="Times New Roman" w:hAnsi="Times New Roman"/>
          <w:sz w:val="14"/>
          <w:szCs w:val="14"/>
          <w:color w:val="auto"/>
        </w:rPr>
        <w:t xml:space="preserve"> (“Private Equity”) to determine whether each of these entities is a variable interest entity (“VIE”) or voting ownership entity (“VOE”).</w:t>
      </w:r>
    </w:p>
    <w:p>
      <w:pPr>
        <w:spacing w:after="0" w:line="56" w:lineRule="exact"/>
        <w:rPr>
          <w:sz w:val="20"/>
          <w:szCs w:val="20"/>
          <w:color w:val="auto"/>
        </w:rPr>
      </w:pPr>
    </w:p>
    <w:p>
      <w:pPr>
        <w:ind w:right="120" w:firstLine="382"/>
        <w:spacing w:after="0" w:line="258" w:lineRule="auto"/>
        <w:rPr>
          <w:sz w:val="20"/>
          <w:szCs w:val="20"/>
          <w:color w:val="auto"/>
        </w:rPr>
      </w:pPr>
      <w:r>
        <w:rPr>
          <w:rFonts w:ascii="Times New Roman" w:cs="Times New Roman" w:eastAsia="Times New Roman" w:hAnsi="Times New Roman"/>
          <w:sz w:val="14"/>
          <w:szCs w:val="14"/>
          <w:color w:val="auto"/>
        </w:rPr>
        <w:t>Based on our analyses, the CTFs, Private Funds, Zarvona Energy Fund II-A and WEBs (together the “Westwood VIEs”) are considered VIEs, and the Westwood Funds®, InvestCloud, Vista, Zarvona Energy Fund GP, TXSE and Ridgeline are considered VOEs (together the “Westwood VOEs”). We receive fees for managing assets in all of these entities commensurate with market rates. As of June 30, 2025 and December 31, 2024, we evaluated all of the Westwood VIEs and Westwood VOEs to determine whether or not we should consolidate the entities into our Condensed Consolidated Financial Statements. For the Westwood VIEs, we evaluated whether or not we qualify as the primary beneficiary based on whether we have the obligation to absorb significant losses, the right to receive residual returns and the right to direct the activities of the entity that most significantly impact the entity’s economic performance, and concluded that we do not qualify as a primary beneficiary for those entities. For the Westwood VOEs, we evaluated whether or not we own a controlling financial interest in the entities, and we concluded that we do not. Based on our analyses, we have not consolidated the Westwood VIEs or Westwood VOEs into our Condensed Consolidated Financial Statements for the periods ending June 30, 2025 and December 31, 2024.</w:t>
      </w:r>
    </w:p>
    <w:p>
      <w:pPr>
        <w:spacing w:after="0" w:line="62" w:lineRule="exact"/>
        <w:rPr>
          <w:sz w:val="20"/>
          <w:szCs w:val="20"/>
          <w:color w:val="auto"/>
        </w:rPr>
      </w:pPr>
    </w:p>
    <w:p>
      <w:pPr>
        <w:ind w:right="100" w:firstLine="382"/>
        <w:spacing w:after="0" w:line="270" w:lineRule="auto"/>
        <w:rPr>
          <w:sz w:val="20"/>
          <w:szCs w:val="20"/>
          <w:color w:val="auto"/>
        </w:rPr>
      </w:pPr>
      <w:r>
        <w:rPr>
          <w:rFonts w:ascii="Times New Roman" w:cs="Times New Roman" w:eastAsia="Times New Roman" w:hAnsi="Times New Roman"/>
          <w:sz w:val="14"/>
          <w:szCs w:val="14"/>
          <w:color w:val="auto"/>
        </w:rPr>
        <w:t>We have not otherwise provided any financial support that we were not previously contractually obligated to provide and there are no arrangements that would require us to provide additional financial support to any of these entities. Our seed investments in the Westwood Funds® are accounted for as investments in accordance with our other investments described in Note 5 “Investments.”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recognized fee revenue from the Westwood VIEs and Westwood VOEs as follows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913"/>
              <w:spacing w:after="0"/>
              <w:rPr>
                <w:sz w:val="20"/>
                <w:szCs w:val="20"/>
                <w:color w:val="auto"/>
              </w:rPr>
            </w:pPr>
            <w:r>
              <w:rPr>
                <w:rFonts w:ascii="Times New Roman" w:cs="Times New Roman" w:eastAsia="Times New Roman" w:hAnsi="Times New Roman"/>
                <w:sz w:val="13"/>
                <w:szCs w:val="13"/>
                <w:b w:val="1"/>
                <w:bCs w:val="1"/>
                <w:color w:val="auto"/>
                <w:w w:val="99"/>
              </w:rPr>
              <w:t>Three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500" w:type="dxa"/>
            <w:vAlign w:val="bottom"/>
            <w:tcBorders>
              <w:bottom w:val="single" w:sz="8" w:color="auto"/>
            </w:tcBorders>
          </w:tcPr>
          <w:p>
            <w:pPr>
              <w:spacing w:after="0"/>
              <w:rPr>
                <w:sz w:val="14"/>
                <w:szCs w:val="14"/>
                <w:color w:val="auto"/>
              </w:rPr>
            </w:pPr>
          </w:p>
        </w:tc>
      </w:tr>
      <w:tr>
        <w:trPr>
          <w:trHeight w:val="161"/>
        </w:trPr>
        <w:tc>
          <w:tcPr>
            <w:tcW w:w="30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rPr>
              <w:t>June 30, 2024</w:t>
            </w:r>
          </w:p>
        </w:tc>
      </w:tr>
      <w:tr>
        <w:trPr>
          <w:trHeight w:val="172"/>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Fee Revenues</w:t>
            </w:r>
          </w:p>
        </w:tc>
        <w:tc>
          <w:tcPr>
            <w:tcW w:w="1380" w:type="dxa"/>
            <w:vAlign w:val="bottom"/>
            <w:shd w:val="clear" w:color="auto" w:fill="CCEEFF"/>
          </w:tcPr>
          <w:p>
            <w:pPr>
              <w:jc w:val="right"/>
              <w:ind w:right="1213"/>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1373"/>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353"/>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b w:val="1"/>
          <w:bCs w:val="1"/>
          <w:color w:val="auto"/>
        </w:rPr>
        <w:t>WESTWOOD HOLDINGS GROUP,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 — (Continued), (Unaudited)</w:t>
      </w:r>
    </w:p>
    <w:p>
      <w:pPr>
        <w:spacing w:after="0" w:line="355" w:lineRule="exact"/>
        <w:rPr>
          <w:sz w:val="20"/>
          <w:szCs w:val="20"/>
          <w:color w:val="auto"/>
        </w:rPr>
      </w:pPr>
    </w:p>
    <w:p>
      <w:pPr>
        <w:ind w:right="80" w:firstLine="382"/>
        <w:spacing w:after="0" w:line="278" w:lineRule="auto"/>
        <w:rPr>
          <w:sz w:val="20"/>
          <w:szCs w:val="20"/>
          <w:color w:val="auto"/>
        </w:rPr>
      </w:pPr>
      <w:r>
        <w:rPr>
          <w:rFonts w:ascii="Times New Roman" w:cs="Times New Roman" w:eastAsia="Times New Roman" w:hAnsi="Times New Roman"/>
          <w:sz w:val="14"/>
          <w:szCs w:val="14"/>
          <w:color w:val="auto"/>
        </w:rPr>
        <w:t>The following table displays the AUM, the amount of our seed investments that are included in “Investments” and “Investments, at fair value” on the Condensed Consolidated Balance Sheets, and the financial risk of loss in each vehicle (in millions):</w:t>
      </w:r>
    </w:p>
    <w:tbl>
      <w:tblPr>
        <w:tblLayout w:type="fixed"/>
        <w:tblInd w:w="0" w:type="dxa"/>
        <w:tblCellMar>
          <w:top w:w="0" w:type="dxa"/>
          <w:left w:w="0" w:type="dxa"/>
          <w:bottom w:w="0" w:type="dxa"/>
          <w:right w:w="0" w:type="dxa"/>
        </w:tblCellMar>
      </w:tblPr>
      <w:tr>
        <w:trPr>
          <w:trHeight w:val="170"/>
        </w:trPr>
        <w:tc>
          <w:tcPr>
            <w:tcW w:w="67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As of June 30, 2025</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6740" w:type="dxa"/>
            <w:vAlign w:val="bottom"/>
          </w:tcPr>
          <w:p>
            <w:pPr>
              <w:spacing w:after="0"/>
              <w:rPr>
                <w:sz w:val="10"/>
                <w:szCs w:val="10"/>
                <w:color w:val="auto"/>
              </w:rPr>
            </w:pPr>
          </w:p>
        </w:tc>
        <w:tc>
          <w:tcPr>
            <w:tcW w:w="960" w:type="dxa"/>
            <w:vAlign w:val="bottom"/>
          </w:tcPr>
          <w:p>
            <w:pPr>
              <w:jc w:val="center"/>
              <w:ind w:left="401"/>
              <w:spacing w:after="0" w:line="120" w:lineRule="exact"/>
              <w:rPr>
                <w:sz w:val="20"/>
                <w:szCs w:val="20"/>
                <w:color w:val="auto"/>
              </w:rPr>
            </w:pPr>
            <w:r>
              <w:rPr>
                <w:rFonts w:ascii="Times New Roman" w:cs="Times New Roman" w:eastAsia="Times New Roman" w:hAnsi="Times New Roman"/>
                <w:sz w:val="13"/>
                <w:szCs w:val="13"/>
                <w:b w:val="1"/>
                <w:bCs w:val="1"/>
                <w:color w:val="auto"/>
                <w:w w:val="97"/>
              </w:rPr>
              <w:t>Assets</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740" w:type="dxa"/>
            <w:vAlign w:val="bottom"/>
          </w:tcPr>
          <w:p>
            <w:pPr>
              <w:spacing w:after="0"/>
              <w:rPr>
                <w:sz w:val="11"/>
                <w:szCs w:val="11"/>
                <w:color w:val="auto"/>
              </w:rPr>
            </w:pPr>
          </w:p>
        </w:tc>
        <w:tc>
          <w:tcPr>
            <w:tcW w:w="960" w:type="dxa"/>
            <w:vAlign w:val="bottom"/>
          </w:tcPr>
          <w:p>
            <w:pPr>
              <w:jc w:val="center"/>
              <w:ind w:left="421"/>
              <w:spacing w:after="0" w:line="128" w:lineRule="exact"/>
              <w:rPr>
                <w:sz w:val="20"/>
                <w:szCs w:val="20"/>
                <w:color w:val="auto"/>
              </w:rPr>
            </w:pPr>
            <w:r>
              <w:rPr>
                <w:rFonts w:ascii="Times New Roman" w:cs="Times New Roman" w:eastAsia="Times New Roman" w:hAnsi="Times New Roman"/>
                <w:sz w:val="13"/>
                <w:szCs w:val="13"/>
                <w:b w:val="1"/>
                <w:bCs w:val="1"/>
                <w:color w:val="auto"/>
              </w:rPr>
              <w:t>Under</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vMerge w:val="restart"/>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Amount at Risk</w:t>
            </w:r>
          </w:p>
        </w:tc>
        <w:tc>
          <w:tcPr>
            <w:tcW w:w="0" w:type="dxa"/>
            <w:vAlign w:val="bottom"/>
          </w:tcPr>
          <w:p>
            <w:pPr>
              <w:spacing w:after="0"/>
              <w:rPr>
                <w:sz w:val="1"/>
                <w:szCs w:val="1"/>
                <w:color w:val="auto"/>
              </w:rPr>
            </w:pPr>
          </w:p>
        </w:tc>
      </w:tr>
      <w:tr>
        <w:trPr>
          <w:trHeight w:val="169"/>
        </w:trPr>
        <w:tc>
          <w:tcPr>
            <w:tcW w:w="674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Management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Investment</w:t>
            </w:r>
          </w:p>
        </w:tc>
        <w:tc>
          <w:tcPr>
            <w:tcW w:w="2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VIEs/VOEs:</w:t>
            </w:r>
          </w:p>
        </w:tc>
        <w:tc>
          <w:tcPr>
            <w:tcW w:w="9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Westwood Funds®</w:t>
            </w:r>
          </w:p>
        </w:tc>
        <w:tc>
          <w:tcPr>
            <w:tcW w:w="960" w:type="dxa"/>
            <w:vAlign w:val="bottom"/>
          </w:tcPr>
          <w:p>
            <w:pPr>
              <w:jc w:val="right"/>
              <w:ind w:right="841"/>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Common Trust Funds</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Private Funds</w:t>
            </w: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80"/>
        </w:trPr>
        <w:tc>
          <w:tcPr>
            <w:tcW w:w="6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Private Equity</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 assets:</w:t>
            </w: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Wealth Management</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7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Institutional</w:t>
            </w: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9,069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 Under Management</w:t>
            </w:r>
          </w:p>
        </w:tc>
        <w:tc>
          <w:tcPr>
            <w:tcW w:w="960" w:type="dxa"/>
            <w:vAlign w:val="bottom"/>
            <w:tcBorders>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17,341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22222"/>
        </w:rPr>
        <w:t>13. RELATED PARTY TRANSACTIONS</w:t>
      </w:r>
    </w:p>
    <w:p>
      <w:pPr>
        <w:spacing w:after="0" w:line="96" w:lineRule="exact"/>
        <w:rPr>
          <w:sz w:val="20"/>
          <w:szCs w:val="20"/>
          <w:color w:val="auto"/>
        </w:rPr>
      </w:pPr>
    </w:p>
    <w:p>
      <w:pPr>
        <w:ind w:right="80" w:firstLine="382"/>
        <w:spacing w:after="0" w:line="270" w:lineRule="auto"/>
        <w:rPr>
          <w:sz w:val="20"/>
          <w:szCs w:val="20"/>
          <w:color w:val="auto"/>
        </w:rPr>
      </w:pPr>
      <w:r>
        <w:rPr>
          <w:rFonts w:ascii="Times New Roman" w:cs="Times New Roman" w:eastAsia="Times New Roman" w:hAnsi="Times New Roman"/>
          <w:sz w:val="14"/>
          <w:szCs w:val="14"/>
          <w:color w:val="auto"/>
        </w:rPr>
        <w:t>The Company engages in transactions with its affiliates in the ordinary course of business. Westwood Management provides investment advisory services to the Westwood Funds®. Under the terms of the investment advisory agreements, the Company earns quarterly fees paid by clients of the fund or by the funds directly. The fees are based on negotiated fee schedules applied to AUM. For the three and six months ended June 30, 2025 and June 30, 2024, the Company earned immaterial fees from the affiliated funds.</w:t>
      </w:r>
    </w:p>
    <w:p>
      <w:pPr>
        <w:spacing w:after="0" w:line="176" w:lineRule="exact"/>
        <w:rPr>
          <w:sz w:val="20"/>
          <w:szCs w:val="20"/>
          <w:color w:val="auto"/>
        </w:rPr>
      </w:pPr>
    </w:p>
    <w:p>
      <w:pPr>
        <w:ind w:left="380" w:right="9520" w:hanging="375"/>
        <w:spacing w:after="0" w:line="381" w:lineRule="auto"/>
        <w:tabs>
          <w:tab w:leader="none" w:pos="21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SUBSEQUENT EVENTS </w:t>
      </w:r>
      <w:r>
        <w:rPr>
          <w:rFonts w:ascii="Times New Roman" w:cs="Times New Roman" w:eastAsia="Times New Roman" w:hAnsi="Times New Roman"/>
          <w:sz w:val="14"/>
          <w:szCs w:val="14"/>
          <w:i w:val="1"/>
          <w:iCs w:val="1"/>
          <w:color w:val="auto"/>
        </w:rPr>
        <w:t>Dividend Declared</w:t>
      </w:r>
    </w:p>
    <w:p>
      <w:pPr>
        <w:ind w:left="3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August 8, 2025, the Board of Directors declared a quarterly cash dividend of $0.15 per share of common stock payable on October 1, 2025 to stockholders of record on September 2,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4" w:right="319" w:bottom="1440" w:gutter="0" w:footer="0" w:header="0"/>
        </w:sectPr>
      </w:pPr>
    </w:p>
    <w:bookmarkStart w:id="17" w:name="page18"/>
    <w:bookmarkEnd w:id="17"/>
    <w:p>
      <w:pPr>
        <w:ind w:right="3280"/>
        <w:spacing w:after="0" w:line="381" w:lineRule="auto"/>
        <w:rPr>
          <w:sz w:val="20"/>
          <w:szCs w:val="20"/>
          <w:color w:val="auto"/>
        </w:rPr>
      </w:pPr>
      <w:r>
        <w:rPr>
          <w:rFonts w:ascii="Times New Roman" w:cs="Times New Roman" w:eastAsia="Times New Roman" w:hAnsi="Times New Roman"/>
          <w:sz w:val="14"/>
          <w:szCs w:val="14"/>
          <w:b w:val="1"/>
          <w:bCs w:val="1"/>
          <w:color w:val="auto"/>
        </w:rPr>
        <w:t xml:space="preserve">ITEM 2. MANAGEMENT’S DISCUSSION AND ANALYSIS OF FINANCIAL CONDITION AND RESULTS OF OPERATIONS </w:t>
      </w:r>
      <w:r>
        <w:rPr>
          <w:rFonts w:ascii="Times New Roman" w:cs="Times New Roman" w:eastAsia="Times New Roman" w:hAnsi="Times New Roman"/>
          <w:sz w:val="14"/>
          <w:szCs w:val="14"/>
          <w:b w:val="1"/>
          <w:bCs w:val="1"/>
          <w:u w:val="single" w:color="auto"/>
          <w:color w:val="auto"/>
        </w:rPr>
        <w:t>Forward-Looking Statements</w:t>
      </w:r>
    </w:p>
    <w:p>
      <w:pPr>
        <w:ind w:firstLine="382"/>
        <w:spacing w:after="0" w:line="260" w:lineRule="auto"/>
        <w:rPr>
          <w:sz w:val="20"/>
          <w:szCs w:val="20"/>
          <w:color w:val="auto"/>
        </w:rPr>
      </w:pPr>
      <w:r>
        <w:rPr>
          <w:rFonts w:ascii="Times New Roman" w:cs="Times New Roman" w:eastAsia="Times New Roman" w:hAnsi="Times New Roman"/>
          <w:sz w:val="14"/>
          <w:szCs w:val="14"/>
          <w:color w:val="auto"/>
        </w:rPr>
        <w:t>Statements in this report and our Annual Report to Stockholders that are not purely historical facts, including, without limitation, statements about our expected future financial position, results of operations or cash flows, as well as other statements including, without limitation, words such as “anticipate,” “believe,” “plan,” “estimate,” “expect,” “intend,” “should,” “could,” “goal,” “potentially,” “may,” “designed”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risks described under “Risk Factors” in our Annual Report on Form 10-K for the year ended December 31, 2024 and those risks set forth below:</w:t>
      </w:r>
    </w:p>
    <w:p>
      <w:pPr>
        <w:spacing w:after="0" w:line="231" w:lineRule="exact"/>
        <w:rPr>
          <w:sz w:val="20"/>
          <w:szCs w:val="20"/>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composition and market value of our AUM and AUA;</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our fee structure in light of competitive fee pressures;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actions of activist stockholders;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to our common stockholders have included and may in the future include a return of capital;</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inclusion of foreign company investments in our AUM;</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regulations adversely affecting the financial services industry;</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effective cyber security;</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risks;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and market new investment strategies successfully;</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reputation and our relationships with current and potential customers;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qualified personnel;</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perform operational tasks;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select and oversee third-party vendors;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the operations and funds of our subsidiaries;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effective information systems;</w:t>
      </w:r>
    </w:p>
    <w:p>
      <w:pPr>
        <w:spacing w:after="0" w:line="93" w:lineRule="exact"/>
        <w:rPr>
          <w:rFonts w:ascii="Times New Roman" w:cs="Times New Roman" w:eastAsia="Times New Roman" w:hAnsi="Times New Roman"/>
          <w:sz w:val="14"/>
          <w:szCs w:val="14"/>
          <w:color w:val="auto"/>
        </w:rPr>
      </w:pPr>
    </w:p>
    <w:p>
      <w:pPr>
        <w:ind w:left="760" w:right="80" w:hanging="246"/>
        <w:spacing w:after="0" w:line="287" w:lineRule="auto"/>
        <w:tabs>
          <w:tab w:leader="none" w:pos="7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prevent misuse of assets and information in the possession of our employees and third-party vendors, which could damage our reputation and result in costly litigation and liability for our clients and us;</w:t>
      </w:r>
    </w:p>
    <w:p>
      <w:pPr>
        <w:spacing w:after="0" w:line="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stock is thinly traded and may be subject to volatility;</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in the investment management industry;</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avoid termination of client agreements and the related investment redemptions;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concentration of our revenues in a small number of customers;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made and may continue to make business combinations as a part of our business strategy, which may present certain risks and uncertainties;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relationships with investment consulting firms;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execute on our strategic initiatives;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declare and pay dividends;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fund future capital requirements on favorable terms;</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properly address conflicts of interest;</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adequate insurance coverage; and</w:t>
      </w:r>
    </w:p>
    <w:p>
      <w:pPr>
        <w:spacing w:after="0" w:line="9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 effective system of internal controls.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7" w:right="339" w:bottom="1440" w:gutter="0" w:footer="0" w:header="0"/>
        </w:sectPr>
      </w:pPr>
    </w:p>
    <w:bookmarkStart w:id="18" w:name="page19"/>
    <w:bookmarkEnd w:id="18"/>
    <w:p>
      <w:pPr>
        <w:ind w:right="60" w:firstLine="382"/>
        <w:spacing w:after="0" w:line="287" w:lineRule="auto"/>
        <w:rPr>
          <w:sz w:val="20"/>
          <w:szCs w:val="20"/>
          <w:color w:val="auto"/>
        </w:rPr>
      </w:pPr>
      <w:r>
        <w:rPr>
          <w:rFonts w:ascii="Times New Roman" w:cs="Times New Roman" w:eastAsia="Times New Roman" w:hAnsi="Times New Roman"/>
          <w:sz w:val="14"/>
          <w:szCs w:val="14"/>
          <w:color w:val="auto"/>
        </w:rPr>
        <w:t>You should not unduly rely on these forward-looking statements, which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Overview</w:t>
      </w:r>
    </w:p>
    <w:p>
      <w:pPr>
        <w:spacing w:after="0" w:line="96" w:lineRule="exact"/>
        <w:rPr>
          <w:sz w:val="20"/>
          <w:szCs w:val="20"/>
          <w:color w:val="auto"/>
        </w:rPr>
      </w:pPr>
    </w:p>
    <w:p>
      <w:pPr>
        <w:ind w:right="120" w:firstLine="382"/>
        <w:spacing w:after="0" w:line="270" w:lineRule="auto"/>
        <w:rPr>
          <w:sz w:val="20"/>
          <w:szCs w:val="20"/>
          <w:color w:val="auto"/>
        </w:rPr>
      </w:pPr>
      <w:r>
        <w:rPr>
          <w:rFonts w:ascii="Times New Roman" w:cs="Times New Roman" w:eastAsia="Times New Roman" w:hAnsi="Times New Roman"/>
          <w:sz w:val="14"/>
          <w:szCs w:val="14"/>
          <w:color w:val="auto"/>
        </w:rPr>
        <w:t>We manage investment assets and provide services for our clients through our subsidiaries, Westwood Management Corp., Westwood Advisors, L.L.C. and Salient Advisors, L.P. and Broadmark Asset Management LLC (each of which is an SEC-registered investment advisor and referred to hereinafter together as "Westwood Management") and Westwood Trust. Westwood Management provides investment advisory services to institutional investors, a family of mutual funds called the Westwood Funds®, other mutual funds, individuals and clients of Westwood Trust.</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Westwood Trust provides trust and custodial services and participation in common trust funds to institutions and high net worth individuals.</w:t>
      </w:r>
    </w:p>
    <w:p>
      <w:pPr>
        <w:spacing w:after="0" w:line="94"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Our revenues are generally derived from fees based on a percentage of AUM and AUA, and Westwood Management and Westwood Trust collectively had AUM of approximately $17.3 billion and AUA of approximately $0.9 billion at June 30, 2025. We have established a track record of delivering competitive, risk-adjusted returns for our clients.</w:t>
      </w:r>
    </w:p>
    <w:p>
      <w:pPr>
        <w:spacing w:after="0" w:line="39"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With respect to most of our AUM, we utilize a "value" investment style focused on achieving superior long-term, risk-adjusted returns by investing in companies with high levels of free cash flow, improving returns on equity and strengthening balance sheets that are well positioned for growth but whose value is not fully recognized in the marketplace. This investment approach is designed to limit downside during unfavorable periods and provide superior real returns over the long term. Our investment teams have significant industry experience. Our investment team members have an average investment experience of over twenty years.</w:t>
      </w:r>
    </w:p>
    <w:p>
      <w:pPr>
        <w:spacing w:after="0" w:line="56" w:lineRule="exact"/>
        <w:rPr>
          <w:sz w:val="20"/>
          <w:szCs w:val="20"/>
          <w:color w:val="auto"/>
        </w:rPr>
      </w:pPr>
    </w:p>
    <w:p>
      <w:pPr>
        <w:ind w:right="60" w:firstLine="382"/>
        <w:spacing w:after="0" w:line="264" w:lineRule="auto"/>
        <w:rPr>
          <w:sz w:val="20"/>
          <w:szCs w:val="20"/>
          <w:color w:val="auto"/>
        </w:rPr>
      </w:pPr>
      <w:r>
        <w:rPr>
          <w:rFonts w:ascii="Times New Roman" w:cs="Times New Roman" w:eastAsia="Times New Roman" w:hAnsi="Times New Roman"/>
          <w:sz w:val="14"/>
          <w:szCs w:val="14"/>
          <w:color w:val="auto"/>
        </w:rPr>
        <w:t>We have built a foundation in terms of personnel and infrastructure to support a much larger business and we have developed investment strategies that we believe will be sought after within our target institutional, wealth management and intermediary markets. Developing new products and growing the organization has resulted in our incurring expenses that, in some cases, have not yet generated significant offsetting revenues. We believe that investors will recognize the potential for new revenue streams inherent in these products and services; however, there is no guarantee that they will occur.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6" w:lineRule="exact"/>
        <w:rPr>
          <w:sz w:val="20"/>
          <w:szCs w:val="20"/>
          <w:color w:val="auto"/>
        </w:rPr>
      </w:pPr>
    </w:p>
    <w:p>
      <w:pPr>
        <w:ind w:right="20" w:firstLine="382"/>
        <w:spacing w:after="0" w:line="258" w:lineRule="auto"/>
        <w:rPr>
          <w:sz w:val="20"/>
          <w:szCs w:val="20"/>
          <w:color w:val="auto"/>
        </w:rPr>
      </w:pPr>
      <w:r>
        <w:rPr>
          <w:rFonts w:ascii="Times New Roman" w:cs="Times New Roman" w:eastAsia="Times New Roman" w:hAnsi="Times New Roman"/>
          <w:sz w:val="14"/>
          <w:szCs w:val="14"/>
          <w:color w:val="auto"/>
        </w:rPr>
        <w:t>We derive our revenues from investment advisory fees, trust fees and other revenues. Our advisory fees are generated by Westwood Management, which manages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Certain of our clients have a contractual performance-based fee component in their contracts, which generates additional revenues if we outperform a specified index over a specific period of time. We record revenue for performance-based fees at the end of the measurement period. Since our advance paying clients’ billing periods coincide with the calendar quarter to which such payments relate, revenue is recognized within the quarter, and our Condensed Consolidated Financial Statements contain no deferred advisory fee revenues.</w:t>
      </w:r>
    </w:p>
    <w:p>
      <w:pPr>
        <w:spacing w:after="0" w:line="62"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Trust fees are primarily calculated quarterly in arrears based on a daily average of AUM for the quarter. Since billing periods for most of Westwood Trust's clients coincide with the calendar quarter, revenue is fully recognized within the quarter, and our Condensed Consolidated Financial Statements contain no deferred advisory fee revenues.</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other revenues primarily consist of investment income from seed money investments into new investment strategies.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Compensation and Benefits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Employee compensation and benefits costs generally consist of salaries, sales commissions, incentive compensation, stock-based compensation expense and benefits.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7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color w:val="auto"/>
        </w:rPr>
        <w:t>Sales and Marketing</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Sales and marketing costs relate to our marketing efforts, including travel and entertainment, direct marketing and advertising costs.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Westwood Mutual Funds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Expenses for Westwood mutual funds relate to our marketing, distribution and administration of the Westwood Funds</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color w:val="auto"/>
        </w:rPr>
        <w: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Information Technology</w:t>
      </w:r>
    </w:p>
    <w:p>
      <w:pPr>
        <w:spacing w:after="0" w:line="96" w:lineRule="exact"/>
        <w:rPr>
          <w:sz w:val="20"/>
          <w:szCs w:val="20"/>
          <w:color w:val="auto"/>
        </w:rPr>
      </w:pPr>
    </w:p>
    <w:p>
      <w:pPr>
        <w:ind w:right="220" w:firstLine="382"/>
        <w:spacing w:after="0" w:line="287" w:lineRule="auto"/>
        <w:rPr>
          <w:sz w:val="20"/>
          <w:szCs w:val="20"/>
          <w:color w:val="auto"/>
        </w:rPr>
      </w:pPr>
      <w:r>
        <w:rPr>
          <w:rFonts w:ascii="Times New Roman" w:cs="Times New Roman" w:eastAsia="Times New Roman" w:hAnsi="Times New Roman"/>
          <w:sz w:val="14"/>
          <w:szCs w:val="14"/>
          <w:color w:val="auto"/>
        </w:rPr>
        <w:t>Information technology expenses include costs associated with proprietary investment research tools, maintenance and support, computing hardware, software licenses, telecommunications and other related costs.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Professional Services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Professional services expenses generally consist of costs associated with sub-advisory fees, audit, legal and other professional services.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96" w:lineRule="exact"/>
        <w:rPr>
          <w:sz w:val="20"/>
          <w:szCs w:val="20"/>
          <w:color w:val="auto"/>
        </w:rPr>
      </w:pPr>
    </w:p>
    <w:p>
      <w:pPr>
        <w:ind w:right="480" w:firstLine="382"/>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expenses generally consist of costs associated with the lease of office space, amortization, depreciation, insurance, custody expense, Directors' fees, investor relations, licenses and fees, office supplies and other miscellaneous expenses.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(Gain) loss from change in fair value of contingent consideration</w:t>
      </w:r>
    </w:p>
    <w:p>
      <w:pPr>
        <w:spacing w:after="0" w:line="96"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(Gain) loss from change in fair value of contingent consideration consists of fair value adjustments related to contingent consideration from our 2022 acquisition of Salient Partners, L.P. (the "Salient Acquisition"), with gains representing reductions in value and losses representing increases in value.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Investment Income</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Net investment income primarily includes interest and dividend income on fixed income securities and money market funds.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Other income primarily consists of income from the sublease of a portion of our corporate offices.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Firm-wide Assets Under Management</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Firm-wide assets under management of $18.3 billion at June 30, 2025 consisted of $17.3 billion of AUM and $0.9 billion of AUA.</w:t>
      </w:r>
    </w:p>
    <w:p>
      <w:pPr>
        <w:spacing w:after="0" w:line="136" w:lineRule="exact"/>
        <w:rPr>
          <w:sz w:val="20"/>
          <w:szCs w:val="20"/>
          <w:color w:val="auto"/>
        </w:rPr>
      </w:pPr>
    </w:p>
    <w:p>
      <w:pPr>
        <w:ind w:right="300" w:firstLine="382"/>
        <w:spacing w:after="0" w:line="287" w:lineRule="auto"/>
        <w:rPr>
          <w:sz w:val="20"/>
          <w:szCs w:val="20"/>
          <w:color w:val="auto"/>
        </w:rPr>
      </w:pPr>
      <w:r>
        <w:rPr>
          <w:rFonts w:ascii="Times New Roman" w:cs="Times New Roman" w:eastAsia="Times New Roman" w:hAnsi="Times New Roman"/>
          <w:sz w:val="14"/>
          <w:szCs w:val="14"/>
          <w:color w:val="auto"/>
        </w:rPr>
        <w:t>AUM increased $1.5 billion to $17.3 billion at June 30, 2025 compared with $15.8 billion at June 30, 2024. The average of beginning and ending AUM for the second quarter of 2025 was $17.2 billion compared to $16.0 billion for the second quarter of 2024.</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displays AUM as of June 30, 2025 and 2024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As of June 30,</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1"/>
        </w:trPr>
        <w:tc>
          <w:tcPr>
            <w:tcW w:w="75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72"/>
        </w:trPr>
        <w:tc>
          <w:tcPr>
            <w:tcW w:w="75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4"/>
                <w:szCs w:val="14"/>
                <w:color w:val="auto"/>
              </w:rPr>
              <w:t>Institutional</w:t>
            </w:r>
            <w:r>
              <w:rPr>
                <w:rFonts w:ascii="Times New Roman" w:cs="Times New Roman" w:eastAsia="Times New Roman" w:hAnsi="Times New Roman"/>
                <w:sz w:val="18"/>
                <w:szCs w:val="18"/>
                <w:color w:val="auto"/>
                <w:vertAlign w:val="superscript"/>
              </w:rPr>
              <w:t>(1)</w:t>
            </w:r>
          </w:p>
        </w:tc>
        <w:tc>
          <w:tcPr>
            <w:tcW w:w="76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7,649</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r>
      <w:tr>
        <w:trPr>
          <w:trHeight w:val="180"/>
        </w:trPr>
        <w:tc>
          <w:tcPr>
            <w:tcW w:w="75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Wealth Management</w:t>
            </w:r>
            <w:r>
              <w:rPr>
                <w:rFonts w:ascii="Times New Roman" w:cs="Times New Roman" w:eastAsia="Times New Roman" w:hAnsi="Times New Roman"/>
                <w:sz w:val="18"/>
                <w:szCs w:val="18"/>
                <w:color w:val="auto"/>
                <w:vertAlign w:val="superscript"/>
              </w:rPr>
              <w:t>(2)</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4,184</w:t>
            </w:r>
          </w:p>
        </w:tc>
        <w:tc>
          <w:tcPr>
            <w:tcW w:w="124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0</w:t>
            </w:r>
          </w:p>
        </w:tc>
      </w:tr>
      <w:tr>
        <w:trPr>
          <w:trHeight w:val="180"/>
        </w:trPr>
        <w:tc>
          <w:tcPr>
            <w:tcW w:w="75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Mutual Funds</w:t>
            </w:r>
            <w:r>
              <w:rPr>
                <w:rFonts w:ascii="Times New Roman" w:cs="Times New Roman" w:eastAsia="Times New Roman" w:hAnsi="Times New Roman"/>
                <w:sz w:val="18"/>
                <w:szCs w:val="18"/>
                <w:color w:val="auto"/>
                <w:vertAlign w:val="superscript"/>
              </w:rPr>
              <w:t>(3)</w:t>
            </w:r>
          </w:p>
        </w:tc>
        <w:tc>
          <w:tcPr>
            <w:tcW w:w="7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3,924</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3,943</w:t>
            </w:r>
          </w:p>
        </w:tc>
        <w:tc>
          <w:tcPr>
            <w:tcW w:w="12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0</w:t>
            </w:r>
          </w:p>
        </w:tc>
      </w:tr>
      <w:tr>
        <w:trPr>
          <w:trHeight w:val="171"/>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AUM</w:t>
            </w:r>
          </w:p>
        </w:tc>
        <w:tc>
          <w:tcPr>
            <w:tcW w:w="7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17,341</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15,776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10 %</w:t>
            </w:r>
          </w:p>
        </w:tc>
      </w:tr>
      <w:tr>
        <w:trPr>
          <w:trHeight w:val="20"/>
        </w:trPr>
        <w:tc>
          <w:tcPr>
            <w:tcW w:w="75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left="260" w:hanging="255"/>
        <w:spacing w:after="0" w:line="260" w:lineRule="auto"/>
        <w:tabs>
          <w:tab w:leader="none" w:pos="254"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Institutional includes (i) separate accounts of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RIAs that offer Westwood products to their customers.</w:t>
      </w:r>
    </w:p>
    <w:p>
      <w:pPr>
        <w:ind w:left="260" w:hanging="255"/>
        <w:spacing w:after="0" w:line="283" w:lineRule="auto"/>
        <w:tabs>
          <w:tab w:leader="none" w:pos="254"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Wealth Management includes assets for which Westwood Trust provides trust and custodial services and participation in common trust funds that it sponsors to institutions and high net worth individuals pursuant to trust or agency agreements and assets for which Westwood Advisors, L.L.C. provides advisory services to high net worth individuals. Investment sub-advisory services are provided for the common trust funds by Westwood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2" w:right="319" w:bottom="1440" w:gutter="0" w:footer="0" w:header="0"/>
        </w:sectPr>
      </w:pPr>
    </w:p>
    <w:bookmarkStart w:id="20" w:name="page21"/>
    <w:bookmarkEnd w:id="20"/>
    <w:p>
      <w:pPr>
        <w:ind w:left="260"/>
        <w:spacing w:after="0" w:line="270" w:lineRule="auto"/>
        <w:rPr>
          <w:sz w:val="20"/>
          <w:szCs w:val="20"/>
          <w:color w:val="auto"/>
        </w:rPr>
      </w:pPr>
      <w:r>
        <w:rPr>
          <w:rFonts w:ascii="Times New Roman" w:cs="Times New Roman" w:eastAsia="Times New Roman" w:hAnsi="Times New Roman"/>
          <w:sz w:val="11"/>
          <w:szCs w:val="11"/>
          <w:color w:val="auto"/>
        </w:rPr>
        <w:t>Management and unaffiliated sub-advisors. For certain assets in this category Westwood Trust provides limited custodial services for a minimal or no fee, viewing these assets as potentially converting to fee-generating managed assets in the future.</w:t>
      </w:r>
    </w:p>
    <w:p>
      <w:pPr>
        <w:spacing w:after="0" w:line="142" w:lineRule="exact"/>
        <w:rPr>
          <w:sz w:val="20"/>
          <w:szCs w:val="20"/>
          <w:color w:val="auto"/>
        </w:rPr>
      </w:pPr>
    </w:p>
    <w:p>
      <w:pPr>
        <w:ind w:left="260" w:hanging="255"/>
        <w:spacing w:after="0"/>
        <w:tabs>
          <w:tab w:leader="none" w:pos="2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Mutual Funds include the Westwood Funds®, a family of mutual funds for which Westwood Management serves as advisor. These funds are available to individual investors, institutional investors and wealth management accounts.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Roll-Forward of Assets Under Management</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38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r>
      <w:tr>
        <w:trPr>
          <w:trHeight w:val="164"/>
        </w:trPr>
        <w:tc>
          <w:tcPr>
            <w:tcW w:w="20" w:type="dxa"/>
            <w:vAlign w:val="bottom"/>
            <w:tcBorders>
              <w:bottom w:val="single" w:sz="8" w:color="CCEEFF"/>
            </w:tcBorders>
          </w:tcPr>
          <w:p>
            <w:pPr>
              <w:spacing w:after="0"/>
              <w:rPr>
                <w:sz w:val="14"/>
                <w:szCs w:val="14"/>
                <w:color w:val="auto"/>
              </w:rPr>
            </w:pPr>
          </w:p>
        </w:tc>
        <w:tc>
          <w:tcPr>
            <w:tcW w:w="55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30"/>
        </w:trPr>
        <w:tc>
          <w:tcPr>
            <w:tcW w:w="20" w:type="dxa"/>
            <w:vAlign w:val="bottom"/>
            <w:shd w:val="clear" w:color="auto" w:fill="CCEEFF"/>
          </w:tcPr>
          <w:p>
            <w:pPr>
              <w:spacing w:after="0"/>
              <w:rPr>
                <w:sz w:val="11"/>
                <w:szCs w:val="11"/>
                <w:color w:val="auto"/>
              </w:rPr>
            </w:pPr>
          </w:p>
        </w:tc>
        <w:tc>
          <w:tcPr>
            <w:tcW w:w="5520" w:type="dxa"/>
            <w:vAlign w:val="bottom"/>
            <w:gridSpan w:val="4"/>
            <w:shd w:val="clear" w:color="auto" w:fill="CCEEFF"/>
          </w:tcPr>
          <w:p>
            <w:pPr>
              <w:spacing w:after="0" w:line="130" w:lineRule="exact"/>
              <w:rPr>
                <w:sz w:val="20"/>
                <w:szCs w:val="20"/>
                <w:color w:val="auto"/>
              </w:rPr>
            </w:pPr>
            <w:r>
              <w:rPr>
                <w:rFonts w:ascii="Times New Roman" w:cs="Times New Roman" w:eastAsia="Times New Roman" w:hAnsi="Times New Roman"/>
                <w:sz w:val="14"/>
                <w:szCs w:val="14"/>
                <w:b w:val="1"/>
                <w:bCs w:val="1"/>
                <w:color w:val="auto"/>
              </w:rPr>
              <w:t>Institutional</w:t>
            </w:r>
          </w:p>
        </w:tc>
        <w:tc>
          <w:tcPr>
            <w:tcW w:w="8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32"/>
        </w:trPr>
        <w:tc>
          <w:tcPr>
            <w:tcW w:w="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68"/>
        </w:trPr>
        <w:tc>
          <w:tcPr>
            <w:tcW w:w="20" w:type="dxa"/>
            <w:vAlign w:val="bottom"/>
          </w:tcPr>
          <w:p>
            <w:pPr>
              <w:spacing w:after="0"/>
              <w:rPr>
                <w:sz w:val="14"/>
                <w:szCs w:val="14"/>
                <w:color w:val="auto"/>
              </w:rPr>
            </w:pPr>
          </w:p>
        </w:tc>
        <w:tc>
          <w:tcPr>
            <w:tcW w:w="55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Beginning of period assets</w:t>
            </w: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8,985</w:t>
            </w:r>
          </w:p>
        </w:tc>
        <w:tc>
          <w:tcPr>
            <w:tcW w:w="100" w:type="dxa"/>
            <w:vAlign w:val="bottom"/>
          </w:tcPr>
          <w:p>
            <w:pPr>
              <w:spacing w:after="0"/>
              <w:rPr>
                <w:sz w:val="14"/>
                <w:szCs w:val="14"/>
                <w:color w:val="auto"/>
              </w:rPr>
            </w:pPr>
          </w:p>
        </w:tc>
        <w:tc>
          <w:tcPr>
            <w:tcW w:w="940" w:type="dxa"/>
            <w:vAlign w:val="bottom"/>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7,742</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8,301</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7,215</w:t>
            </w:r>
          </w:p>
        </w:tc>
      </w:tr>
      <w:tr>
        <w:trPr>
          <w:trHeight w:val="172"/>
        </w:trPr>
        <w:tc>
          <w:tcPr>
            <w:tcW w:w="20" w:type="dxa"/>
            <w:vAlign w:val="bottom"/>
            <w:shd w:val="clear" w:color="auto" w:fill="CCEEFF"/>
          </w:tcPr>
          <w:p>
            <w:pPr>
              <w:spacing w:after="0"/>
              <w:rPr>
                <w:sz w:val="14"/>
                <w:szCs w:val="14"/>
                <w:color w:val="auto"/>
              </w:rPr>
            </w:pPr>
          </w:p>
        </w:tc>
        <w:tc>
          <w:tcPr>
            <w:tcW w:w="552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Inflows</w:t>
            </w:r>
          </w:p>
        </w:tc>
        <w:tc>
          <w:tcPr>
            <w:tcW w:w="8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w:t>
            </w:r>
          </w:p>
        </w:tc>
      </w:tr>
      <w:tr>
        <w:trPr>
          <w:trHeight w:val="168"/>
        </w:trPr>
        <w:tc>
          <w:tcPr>
            <w:tcW w:w="20" w:type="dxa"/>
            <w:vAlign w:val="bottom"/>
            <w:tcBorders>
              <w:bottom w:val="single" w:sz="8" w:color="CCEEFF"/>
            </w:tcBorders>
          </w:tcPr>
          <w:p>
            <w:pPr>
              <w:spacing w:after="0"/>
              <w:rPr>
                <w:sz w:val="14"/>
                <w:szCs w:val="14"/>
                <w:color w:val="auto"/>
              </w:rPr>
            </w:pPr>
          </w:p>
        </w:tc>
        <w:tc>
          <w:tcPr>
            <w:tcW w:w="5520" w:type="dxa"/>
            <w:vAlign w:val="bottom"/>
            <w:tcBorders>
              <w:bottom w:val="single" w:sz="8" w:color="CCEEFF"/>
            </w:tcBorders>
            <w:gridSpan w:val="4"/>
          </w:tcPr>
          <w:p>
            <w:pPr>
              <w:ind w:left="260"/>
              <w:spacing w:after="0"/>
              <w:rPr>
                <w:sz w:val="20"/>
                <w:szCs w:val="20"/>
                <w:color w:val="auto"/>
              </w:rPr>
            </w:pPr>
            <w:r>
              <w:rPr>
                <w:rFonts w:ascii="Times New Roman" w:cs="Times New Roman" w:eastAsia="Times New Roman" w:hAnsi="Times New Roman"/>
                <w:sz w:val="13"/>
                <w:szCs w:val="13"/>
                <w:color w:val="auto"/>
              </w:rPr>
              <w:t>Outflows</w:t>
            </w: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(491)</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(540)</w:t>
            </w:r>
          </w:p>
        </w:tc>
      </w:tr>
      <w:tr>
        <w:trPr>
          <w:trHeight w:val="163"/>
        </w:trPr>
        <w:tc>
          <w:tcPr>
            <w:tcW w:w="20" w:type="dxa"/>
            <w:vAlign w:val="bottom"/>
            <w:shd w:val="clear" w:color="auto" w:fill="CCEEFF"/>
          </w:tcPr>
          <w:p>
            <w:pPr>
              <w:spacing w:after="0"/>
              <w:rPr>
                <w:sz w:val="14"/>
                <w:szCs w:val="14"/>
                <w:color w:val="auto"/>
              </w:rPr>
            </w:pPr>
          </w:p>
        </w:tc>
        <w:tc>
          <w:tcPr>
            <w:tcW w:w="5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client flows</w:t>
            </w:r>
          </w:p>
        </w:tc>
        <w:tc>
          <w:tcPr>
            <w:tcW w:w="8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8"/>
        </w:trPr>
        <w:tc>
          <w:tcPr>
            <w:tcW w:w="20" w:type="dxa"/>
            <w:vAlign w:val="bottom"/>
            <w:tcBorders>
              <w:bottom w:val="single" w:sz="8" w:color="CCEEFF"/>
            </w:tcBorders>
          </w:tcPr>
          <w:p>
            <w:pPr>
              <w:spacing w:after="0"/>
              <w:rPr>
                <w:sz w:val="14"/>
                <w:szCs w:val="14"/>
                <w:color w:val="auto"/>
              </w:rPr>
            </w:pPr>
          </w:p>
        </w:tc>
        <w:tc>
          <w:tcPr>
            <w:tcW w:w="5520" w:type="dxa"/>
            <w:vAlign w:val="bottom"/>
            <w:tcBorders>
              <w:bottom w:val="single" w:sz="8" w:color="CCEEFF"/>
            </w:tcBorders>
            <w:gridSpan w:val="4"/>
          </w:tcPr>
          <w:p>
            <w:pPr>
              <w:ind w:left="260"/>
              <w:spacing w:after="0"/>
              <w:rPr>
                <w:sz w:val="20"/>
                <w:szCs w:val="20"/>
                <w:color w:val="auto"/>
              </w:rPr>
            </w:pPr>
            <w:r>
              <w:rPr>
                <w:rFonts w:ascii="Times New Roman" w:cs="Times New Roman" w:eastAsia="Times New Roman" w:hAnsi="Times New Roman"/>
                <w:sz w:val="13"/>
                <w:szCs w:val="13"/>
                <w:color w:val="auto"/>
              </w:rPr>
              <w:t>Market appreciation (depreciation)</w:t>
            </w: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457</w:t>
            </w:r>
          </w:p>
        </w:tc>
      </w:tr>
      <w:tr>
        <w:trPr>
          <w:trHeight w:val="160"/>
        </w:trPr>
        <w:tc>
          <w:tcPr>
            <w:tcW w:w="20" w:type="dxa"/>
            <w:vAlign w:val="bottom"/>
            <w:shd w:val="clear" w:color="auto" w:fill="CCEEFF"/>
          </w:tcPr>
          <w:p>
            <w:pPr>
              <w:spacing w:after="0"/>
              <w:rPr>
                <w:sz w:val="13"/>
                <w:szCs w:val="13"/>
                <w:color w:val="auto"/>
              </w:rPr>
            </w:pPr>
          </w:p>
        </w:tc>
        <w:tc>
          <w:tcPr>
            <w:tcW w:w="5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change</w:t>
            </w:r>
          </w:p>
        </w:tc>
        <w:tc>
          <w:tcPr>
            <w:tcW w:w="8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0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940</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w:t>
            </w:r>
          </w:p>
        </w:tc>
      </w:tr>
      <w:tr>
        <w:trPr>
          <w:trHeight w:val="163"/>
        </w:trPr>
        <w:tc>
          <w:tcPr>
            <w:tcW w:w="20" w:type="dxa"/>
            <w:vAlign w:val="bottom"/>
          </w:tcPr>
          <w:p>
            <w:pPr>
              <w:spacing w:after="0"/>
              <w:rPr>
                <w:sz w:val="14"/>
                <w:szCs w:val="14"/>
                <w:color w:val="auto"/>
              </w:rPr>
            </w:pPr>
          </w:p>
        </w:tc>
        <w:tc>
          <w:tcPr>
            <w:tcW w:w="55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End of period assets</w:t>
            </w:r>
          </w:p>
        </w:tc>
        <w:tc>
          <w:tcPr>
            <w:tcW w:w="86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9,241</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7,649</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9,241</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7,678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78"/>
        </w:trPr>
        <w:tc>
          <w:tcPr>
            <w:tcW w:w="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80" w:type="dxa"/>
            <w:vAlign w:val="bottom"/>
            <w:tcBorders>
              <w:left w:val="single" w:sz="8" w:color="CCEEFF"/>
            </w:tcBorders>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4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r>
      <w:tr>
        <w:trPr>
          <w:trHeight w:val="154"/>
        </w:trPr>
        <w:tc>
          <w:tcPr>
            <w:tcW w:w="20" w:type="dxa"/>
            <w:vAlign w:val="bottom"/>
          </w:tcPr>
          <w:p>
            <w:pPr>
              <w:spacing w:after="0"/>
              <w:rPr>
                <w:sz w:val="13"/>
                <w:szCs w:val="13"/>
                <w:color w:val="auto"/>
              </w:rPr>
            </w:pPr>
          </w:p>
        </w:tc>
        <w:tc>
          <w:tcPr>
            <w:tcW w:w="1260" w:type="dxa"/>
            <w:vAlign w:val="bottom"/>
            <w:tcBorders>
              <w:bottom w:val="single" w:sz="8" w:color="auto"/>
            </w:tcBorders>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8"/>
              </w:rPr>
              <w:t>Wealth Management</w:t>
            </w:r>
          </w:p>
        </w:tc>
        <w:tc>
          <w:tcPr>
            <w:tcW w:w="4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6"/>
        </w:trPr>
        <w:tc>
          <w:tcPr>
            <w:tcW w:w="20" w:type="dxa"/>
            <w:vAlign w:val="bottom"/>
            <w:shd w:val="clear" w:color="auto" w:fill="CCEEFF"/>
          </w:tcPr>
          <w:p>
            <w:pPr>
              <w:spacing w:after="0"/>
              <w:rPr>
                <w:sz w:val="15"/>
                <w:szCs w:val="15"/>
                <w:color w:val="auto"/>
              </w:rPr>
            </w:pPr>
          </w:p>
        </w:tc>
        <w:tc>
          <w:tcPr>
            <w:tcW w:w="5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Beginning of period assets</w:t>
            </w: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4,140</w:t>
            </w:r>
          </w:p>
        </w:tc>
      </w:tr>
      <w:tr>
        <w:trPr>
          <w:trHeight w:val="168"/>
        </w:trPr>
        <w:tc>
          <w:tcPr>
            <w:tcW w:w="20" w:type="dxa"/>
            <w:vAlign w:val="bottom"/>
          </w:tcPr>
          <w:p>
            <w:pPr>
              <w:spacing w:after="0"/>
              <w:rPr>
                <w:sz w:val="14"/>
                <w:szCs w:val="14"/>
                <w:color w:val="auto"/>
              </w:rPr>
            </w:pPr>
          </w:p>
        </w:tc>
        <w:tc>
          <w:tcPr>
            <w:tcW w:w="552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Inflows</w:t>
            </w: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r>
      <w:tr>
        <w:trPr>
          <w:trHeight w:val="172"/>
        </w:trPr>
        <w:tc>
          <w:tcPr>
            <w:tcW w:w="20" w:type="dxa"/>
            <w:vAlign w:val="bottom"/>
            <w:shd w:val="clear" w:color="auto" w:fill="CCEEFF"/>
          </w:tcPr>
          <w:p>
            <w:pPr>
              <w:spacing w:after="0"/>
              <w:rPr>
                <w:sz w:val="14"/>
                <w:szCs w:val="14"/>
                <w:color w:val="auto"/>
              </w:rPr>
            </w:pPr>
          </w:p>
        </w:tc>
        <w:tc>
          <w:tcPr>
            <w:tcW w:w="552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Outflows</w:t>
            </w:r>
          </w:p>
        </w:tc>
        <w:tc>
          <w:tcPr>
            <w:tcW w:w="8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w:t>
            </w:r>
          </w:p>
        </w:tc>
      </w:tr>
      <w:tr>
        <w:trPr>
          <w:trHeight w:val="158"/>
        </w:trPr>
        <w:tc>
          <w:tcPr>
            <w:tcW w:w="20" w:type="dxa"/>
            <w:vAlign w:val="bottom"/>
          </w:tcPr>
          <w:p>
            <w:pPr>
              <w:spacing w:after="0"/>
              <w:rPr>
                <w:sz w:val="13"/>
                <w:szCs w:val="13"/>
                <w:color w:val="auto"/>
              </w:rPr>
            </w:pPr>
          </w:p>
        </w:tc>
        <w:tc>
          <w:tcPr>
            <w:tcW w:w="55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Net client flows</w:t>
            </w:r>
          </w:p>
        </w:tc>
        <w:tc>
          <w:tcPr>
            <w:tcW w:w="8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w:t>
            </w:r>
          </w:p>
        </w:tc>
      </w:tr>
      <w:tr>
        <w:trPr>
          <w:trHeight w:val="172"/>
        </w:trPr>
        <w:tc>
          <w:tcPr>
            <w:tcW w:w="20" w:type="dxa"/>
            <w:vAlign w:val="bottom"/>
            <w:shd w:val="clear" w:color="auto" w:fill="CCEEFF"/>
          </w:tcPr>
          <w:p>
            <w:pPr>
              <w:spacing w:after="0"/>
              <w:rPr>
                <w:sz w:val="14"/>
                <w:szCs w:val="14"/>
                <w:color w:val="auto"/>
              </w:rPr>
            </w:pPr>
          </w:p>
        </w:tc>
        <w:tc>
          <w:tcPr>
            <w:tcW w:w="552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Market appreciation (depreciation)</w:t>
            </w:r>
          </w:p>
        </w:tc>
        <w:tc>
          <w:tcPr>
            <w:tcW w:w="8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r>
      <w:tr>
        <w:trPr>
          <w:trHeight w:val="158"/>
        </w:trPr>
        <w:tc>
          <w:tcPr>
            <w:tcW w:w="20" w:type="dxa"/>
            <w:vAlign w:val="bottom"/>
            <w:tcBorders>
              <w:bottom w:val="single" w:sz="8" w:color="CCEEFF"/>
            </w:tcBorders>
          </w:tcPr>
          <w:p>
            <w:pPr>
              <w:spacing w:after="0"/>
              <w:rPr>
                <w:sz w:val="13"/>
                <w:szCs w:val="13"/>
                <w:color w:val="auto"/>
              </w:rPr>
            </w:pPr>
          </w:p>
        </w:tc>
        <w:tc>
          <w:tcPr>
            <w:tcW w:w="55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3"/>
                <w:szCs w:val="13"/>
                <w:color w:val="auto"/>
              </w:rPr>
              <w:t>Net change</w:t>
            </w:r>
          </w:p>
        </w:tc>
        <w:tc>
          <w:tcPr>
            <w:tcW w:w="8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55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End of period assets</w:t>
            </w:r>
          </w:p>
        </w:tc>
        <w:tc>
          <w:tcPr>
            <w:tcW w:w="86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4,176</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4,184</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8"/>
              </w:rPr>
              <w:t>Mutual Funds</w:t>
            </w:r>
          </w:p>
        </w:tc>
        <w:tc>
          <w:tcPr>
            <w:tcW w:w="4660" w:type="dxa"/>
            <w:vAlign w:val="bottom"/>
            <w:tcBorders>
              <w:bottom w:val="single" w:sz="8" w:color="CCEEFF"/>
            </w:tcBorders>
            <w:gridSpan w:val="2"/>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55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Beginning of period assets</w:t>
            </w:r>
          </w:p>
        </w:tc>
        <w:tc>
          <w:tcPr>
            <w:tcW w:w="860" w:type="dxa"/>
            <w:vAlign w:val="bottom"/>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3,891</w:t>
            </w:r>
          </w:p>
        </w:tc>
        <w:tc>
          <w:tcPr>
            <w:tcW w:w="100" w:type="dxa"/>
            <w:vAlign w:val="bottom"/>
          </w:tcPr>
          <w:p>
            <w:pPr>
              <w:spacing w:after="0"/>
              <w:rPr>
                <w:sz w:val="14"/>
                <w:szCs w:val="14"/>
                <w:color w:val="auto"/>
              </w:rPr>
            </w:pPr>
          </w:p>
        </w:tc>
        <w:tc>
          <w:tcPr>
            <w:tcW w:w="940" w:type="dxa"/>
            <w:vAlign w:val="bottom"/>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4,189</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3,915</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4,104</w:t>
            </w:r>
          </w:p>
        </w:tc>
      </w:tr>
      <w:tr>
        <w:trPr>
          <w:trHeight w:val="172"/>
        </w:trPr>
        <w:tc>
          <w:tcPr>
            <w:tcW w:w="20" w:type="dxa"/>
            <w:vAlign w:val="bottom"/>
            <w:shd w:val="clear" w:color="auto" w:fill="CCEEFF"/>
          </w:tcPr>
          <w:p>
            <w:pPr>
              <w:spacing w:after="0"/>
              <w:rPr>
                <w:sz w:val="14"/>
                <w:szCs w:val="14"/>
                <w:color w:val="auto"/>
              </w:rPr>
            </w:pPr>
          </w:p>
        </w:tc>
        <w:tc>
          <w:tcPr>
            <w:tcW w:w="552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Inflows</w:t>
            </w:r>
          </w:p>
        </w:tc>
        <w:tc>
          <w:tcPr>
            <w:tcW w:w="8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w:t>
            </w:r>
          </w:p>
        </w:tc>
      </w:tr>
      <w:tr>
        <w:trPr>
          <w:trHeight w:val="168"/>
        </w:trPr>
        <w:tc>
          <w:tcPr>
            <w:tcW w:w="20" w:type="dxa"/>
            <w:vAlign w:val="bottom"/>
            <w:tcBorders>
              <w:bottom w:val="single" w:sz="8" w:color="CCEEFF"/>
            </w:tcBorders>
          </w:tcPr>
          <w:p>
            <w:pPr>
              <w:spacing w:after="0"/>
              <w:rPr>
                <w:sz w:val="14"/>
                <w:szCs w:val="14"/>
                <w:color w:val="auto"/>
              </w:rPr>
            </w:pPr>
          </w:p>
        </w:tc>
        <w:tc>
          <w:tcPr>
            <w:tcW w:w="5520" w:type="dxa"/>
            <w:vAlign w:val="bottom"/>
            <w:tcBorders>
              <w:bottom w:val="single" w:sz="8" w:color="CCEEFF"/>
            </w:tcBorders>
            <w:gridSpan w:val="4"/>
          </w:tcPr>
          <w:p>
            <w:pPr>
              <w:ind w:left="260"/>
              <w:spacing w:after="0"/>
              <w:rPr>
                <w:sz w:val="20"/>
                <w:szCs w:val="20"/>
                <w:color w:val="auto"/>
              </w:rPr>
            </w:pPr>
            <w:r>
              <w:rPr>
                <w:rFonts w:ascii="Times New Roman" w:cs="Times New Roman" w:eastAsia="Times New Roman" w:hAnsi="Times New Roman"/>
                <w:sz w:val="13"/>
                <w:szCs w:val="13"/>
                <w:color w:val="auto"/>
              </w:rPr>
              <w:t>Outflows</w:t>
            </w: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(716)</w:t>
            </w:r>
          </w:p>
        </w:tc>
      </w:tr>
      <w:tr>
        <w:trPr>
          <w:trHeight w:val="163"/>
        </w:trPr>
        <w:tc>
          <w:tcPr>
            <w:tcW w:w="20" w:type="dxa"/>
            <w:vAlign w:val="bottom"/>
            <w:shd w:val="clear" w:color="auto" w:fill="CCEEFF"/>
          </w:tcPr>
          <w:p>
            <w:pPr>
              <w:spacing w:after="0"/>
              <w:rPr>
                <w:sz w:val="14"/>
                <w:szCs w:val="14"/>
                <w:color w:val="auto"/>
              </w:rPr>
            </w:pPr>
          </w:p>
        </w:tc>
        <w:tc>
          <w:tcPr>
            <w:tcW w:w="5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client flows</w:t>
            </w:r>
          </w:p>
        </w:tc>
        <w:tc>
          <w:tcPr>
            <w:tcW w:w="8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w:t>
            </w:r>
          </w:p>
        </w:tc>
      </w:tr>
      <w:tr>
        <w:trPr>
          <w:trHeight w:val="168"/>
        </w:trPr>
        <w:tc>
          <w:tcPr>
            <w:tcW w:w="20" w:type="dxa"/>
            <w:vAlign w:val="bottom"/>
            <w:tcBorders>
              <w:bottom w:val="single" w:sz="8" w:color="CCEEFF"/>
            </w:tcBorders>
          </w:tcPr>
          <w:p>
            <w:pPr>
              <w:spacing w:after="0"/>
              <w:rPr>
                <w:sz w:val="14"/>
                <w:szCs w:val="14"/>
                <w:color w:val="auto"/>
              </w:rPr>
            </w:pPr>
          </w:p>
        </w:tc>
        <w:tc>
          <w:tcPr>
            <w:tcW w:w="5520" w:type="dxa"/>
            <w:vAlign w:val="bottom"/>
            <w:tcBorders>
              <w:bottom w:val="single" w:sz="8" w:color="CCEEFF"/>
            </w:tcBorders>
            <w:gridSpan w:val="4"/>
          </w:tcPr>
          <w:p>
            <w:pPr>
              <w:ind w:left="260"/>
              <w:spacing w:after="0"/>
              <w:rPr>
                <w:sz w:val="20"/>
                <w:szCs w:val="20"/>
                <w:color w:val="auto"/>
              </w:rPr>
            </w:pPr>
            <w:r>
              <w:rPr>
                <w:rFonts w:ascii="Times New Roman" w:cs="Times New Roman" w:eastAsia="Times New Roman" w:hAnsi="Times New Roman"/>
                <w:sz w:val="13"/>
                <w:szCs w:val="13"/>
                <w:color w:val="auto"/>
              </w:rPr>
              <w:t>Market appreciation (depreciation)</w:t>
            </w: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w:t>
            </w:r>
          </w:p>
        </w:tc>
      </w:tr>
      <w:tr>
        <w:trPr>
          <w:trHeight w:val="160"/>
        </w:trPr>
        <w:tc>
          <w:tcPr>
            <w:tcW w:w="20" w:type="dxa"/>
            <w:vAlign w:val="bottom"/>
            <w:shd w:val="clear" w:color="auto" w:fill="CCEEFF"/>
          </w:tcPr>
          <w:p>
            <w:pPr>
              <w:spacing w:after="0"/>
              <w:rPr>
                <w:sz w:val="13"/>
                <w:szCs w:val="13"/>
                <w:color w:val="auto"/>
              </w:rPr>
            </w:pPr>
          </w:p>
        </w:tc>
        <w:tc>
          <w:tcPr>
            <w:tcW w:w="5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change</w:t>
            </w:r>
          </w:p>
        </w:tc>
        <w:tc>
          <w:tcPr>
            <w:tcW w:w="8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r>
      <w:tr>
        <w:trPr>
          <w:trHeight w:val="163"/>
        </w:trPr>
        <w:tc>
          <w:tcPr>
            <w:tcW w:w="20" w:type="dxa"/>
            <w:vAlign w:val="bottom"/>
          </w:tcPr>
          <w:p>
            <w:pPr>
              <w:spacing w:after="0"/>
              <w:rPr>
                <w:sz w:val="14"/>
                <w:szCs w:val="14"/>
                <w:color w:val="auto"/>
              </w:rPr>
            </w:pPr>
          </w:p>
        </w:tc>
        <w:tc>
          <w:tcPr>
            <w:tcW w:w="55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End of period assets</w:t>
            </w:r>
          </w:p>
        </w:tc>
        <w:tc>
          <w:tcPr>
            <w:tcW w:w="86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3,924</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3,943</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3,924</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3,943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78"/>
        </w:trPr>
        <w:tc>
          <w:tcPr>
            <w:tcW w:w="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80" w:type="dxa"/>
            <w:vAlign w:val="bottom"/>
            <w:tcBorders>
              <w:left w:val="single" w:sz="8" w:color="CCEEFF"/>
            </w:tcBorders>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4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r>
      <w:tr>
        <w:trPr>
          <w:trHeight w:val="149"/>
        </w:trPr>
        <w:tc>
          <w:tcPr>
            <w:tcW w:w="20" w:type="dxa"/>
            <w:vAlign w:val="bottom"/>
          </w:tcPr>
          <w:p>
            <w:pPr>
              <w:spacing w:after="0"/>
              <w:rPr>
                <w:sz w:val="12"/>
                <w:szCs w:val="12"/>
                <w:color w:val="auto"/>
              </w:rPr>
            </w:pPr>
          </w:p>
        </w:tc>
        <w:tc>
          <w:tcPr>
            <w:tcW w:w="55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AUM</w:t>
            </w: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5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Beginning of period assets</w:t>
            </w: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16,983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16,150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16,607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15,459</w:t>
            </w:r>
          </w:p>
        </w:tc>
      </w:tr>
      <w:tr>
        <w:trPr>
          <w:trHeight w:val="168"/>
        </w:trPr>
        <w:tc>
          <w:tcPr>
            <w:tcW w:w="20" w:type="dxa"/>
            <w:vAlign w:val="bottom"/>
          </w:tcPr>
          <w:p>
            <w:pPr>
              <w:spacing w:after="0"/>
              <w:rPr>
                <w:sz w:val="14"/>
                <w:szCs w:val="14"/>
                <w:color w:val="auto"/>
              </w:rPr>
            </w:pPr>
          </w:p>
        </w:tc>
        <w:tc>
          <w:tcPr>
            <w:tcW w:w="552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Inflows</w:t>
            </w: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1,045</w:t>
            </w:r>
          </w:p>
        </w:tc>
      </w:tr>
      <w:tr>
        <w:trPr>
          <w:trHeight w:val="172"/>
        </w:trPr>
        <w:tc>
          <w:tcPr>
            <w:tcW w:w="20" w:type="dxa"/>
            <w:vAlign w:val="bottom"/>
            <w:shd w:val="clear" w:color="auto" w:fill="CCEEFF"/>
          </w:tcPr>
          <w:p>
            <w:pPr>
              <w:spacing w:after="0"/>
              <w:rPr>
                <w:sz w:val="14"/>
                <w:szCs w:val="14"/>
                <w:color w:val="auto"/>
              </w:rPr>
            </w:pPr>
          </w:p>
        </w:tc>
        <w:tc>
          <w:tcPr>
            <w:tcW w:w="552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Outflows</w:t>
            </w:r>
          </w:p>
        </w:tc>
        <w:tc>
          <w:tcPr>
            <w:tcW w:w="8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(1,537)</w:t>
            </w:r>
          </w:p>
        </w:tc>
      </w:tr>
      <w:tr>
        <w:trPr>
          <w:trHeight w:val="158"/>
        </w:trPr>
        <w:tc>
          <w:tcPr>
            <w:tcW w:w="20" w:type="dxa"/>
            <w:vAlign w:val="bottom"/>
          </w:tcPr>
          <w:p>
            <w:pPr>
              <w:spacing w:after="0"/>
              <w:rPr>
                <w:sz w:val="13"/>
                <w:szCs w:val="13"/>
                <w:color w:val="auto"/>
              </w:rPr>
            </w:pPr>
          </w:p>
        </w:tc>
        <w:tc>
          <w:tcPr>
            <w:tcW w:w="55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Net client flows</w:t>
            </w:r>
          </w:p>
        </w:tc>
        <w:tc>
          <w:tcPr>
            <w:tcW w:w="8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w:t>
            </w:r>
          </w:p>
        </w:tc>
      </w:tr>
      <w:tr>
        <w:trPr>
          <w:trHeight w:val="172"/>
        </w:trPr>
        <w:tc>
          <w:tcPr>
            <w:tcW w:w="20" w:type="dxa"/>
            <w:vAlign w:val="bottom"/>
            <w:shd w:val="clear" w:color="auto" w:fill="CCEEFF"/>
          </w:tcPr>
          <w:p>
            <w:pPr>
              <w:spacing w:after="0"/>
              <w:rPr>
                <w:sz w:val="14"/>
                <w:szCs w:val="14"/>
                <w:color w:val="auto"/>
              </w:rPr>
            </w:pPr>
          </w:p>
        </w:tc>
        <w:tc>
          <w:tcPr>
            <w:tcW w:w="552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Market appreciation (depreciation)</w:t>
            </w:r>
          </w:p>
        </w:tc>
        <w:tc>
          <w:tcPr>
            <w:tcW w:w="8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w:t>
            </w:r>
          </w:p>
        </w:tc>
      </w:tr>
      <w:tr>
        <w:trPr>
          <w:trHeight w:val="158"/>
        </w:trPr>
        <w:tc>
          <w:tcPr>
            <w:tcW w:w="20" w:type="dxa"/>
            <w:vAlign w:val="bottom"/>
            <w:tcBorders>
              <w:bottom w:val="single" w:sz="8" w:color="CCEEFF"/>
            </w:tcBorders>
          </w:tcPr>
          <w:p>
            <w:pPr>
              <w:spacing w:after="0"/>
              <w:rPr>
                <w:sz w:val="13"/>
                <w:szCs w:val="13"/>
                <w:color w:val="auto"/>
              </w:rPr>
            </w:pPr>
          </w:p>
        </w:tc>
        <w:tc>
          <w:tcPr>
            <w:tcW w:w="55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3"/>
                <w:szCs w:val="13"/>
                <w:color w:val="auto"/>
              </w:rPr>
              <w:t>Net change</w:t>
            </w:r>
          </w:p>
        </w:tc>
        <w:tc>
          <w:tcPr>
            <w:tcW w:w="8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326</w:t>
            </w: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55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End of period assets</w:t>
            </w:r>
          </w:p>
        </w:tc>
        <w:tc>
          <w:tcPr>
            <w:tcW w:w="86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17,341</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15,776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17,341</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15,785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June 30, 2025 compared to the three months ended June 30, 2024</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change in AUM for the three months ended June 30, 2025 was due to market appreciation of $0.6 billion offset by net outflows of $0.2 billion.</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change in AUM for the three months ended June 30, 2024 was due to net outflows of $0.3 billion.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Six months ended </w:t>
      </w:r>
      <w:r>
        <w:rPr>
          <w:rFonts w:ascii="Times New Roman" w:cs="Times New Roman" w:eastAsia="Times New Roman" w:hAnsi="Times New Roman"/>
          <w:sz w:val="14"/>
          <w:szCs w:val="14"/>
          <w:b w:val="1"/>
          <w:bCs w:val="1"/>
          <w:i w:val="1"/>
          <w:iCs w:val="1"/>
          <w:color w:val="auto"/>
        </w:rPr>
        <w:t>June 30, 2025 compared to the</w:t>
      </w:r>
      <w:r>
        <w:rPr>
          <w:rFonts w:ascii="Times New Roman" w:cs="Times New Roman" w:eastAsia="Times New Roman" w:hAnsi="Times New Roman"/>
          <w:sz w:val="13"/>
          <w:szCs w:val="13"/>
          <w:b w:val="1"/>
          <w:bCs w:val="1"/>
          <w:i w:val="1"/>
          <w:iCs w:val="1"/>
          <w:color w:val="auto"/>
        </w:rPr>
        <w:t xml:space="preserve"> six months ended </w:t>
      </w:r>
      <w:r>
        <w:rPr>
          <w:rFonts w:ascii="Times New Roman" w:cs="Times New Roman" w:eastAsia="Times New Roman" w:hAnsi="Times New Roman"/>
          <w:sz w:val="14"/>
          <w:szCs w:val="14"/>
          <w:b w:val="1"/>
          <w:bCs w:val="1"/>
          <w:i w:val="1"/>
          <w:iCs w:val="1"/>
          <w:color w:val="auto"/>
        </w:rPr>
        <w:t>June 30, 2024</w:t>
      </w:r>
    </w:p>
    <w:p>
      <w:pPr>
        <w:spacing w:after="0" w:line="96" w:lineRule="exact"/>
        <w:rPr>
          <w:sz w:val="20"/>
          <w:szCs w:val="20"/>
          <w:color w:val="auto"/>
        </w:rPr>
      </w:pPr>
    </w:p>
    <w:p>
      <w:pPr>
        <w:ind w:right="160" w:firstLine="382"/>
        <w:spacing w:after="0" w:line="287" w:lineRule="auto"/>
        <w:rPr>
          <w:sz w:val="20"/>
          <w:szCs w:val="20"/>
          <w:color w:val="auto"/>
        </w:rPr>
      </w:pPr>
      <w:r>
        <w:rPr>
          <w:rFonts w:ascii="Times New Roman" w:cs="Times New Roman" w:eastAsia="Times New Roman" w:hAnsi="Times New Roman"/>
          <w:sz w:val="14"/>
          <w:szCs w:val="14"/>
          <w:color w:val="auto"/>
        </w:rPr>
        <w:t>The $0.7 billion increase in AUM for the six months ended June 30, 2025 was due to net inflows of $0.4 billion and market appreciation of $0.3 billion. Net inflows were primarily related to our SmallCap Value strategy.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6" w:right="319" w:bottom="1440" w:gutter="0" w:footer="0" w:header="0"/>
        </w:sectPr>
      </w:pPr>
    </w:p>
    <w:bookmarkStart w:id="21" w:name="page22"/>
    <w:bookmarkEnd w:id="21"/>
    <w:p>
      <w:pPr>
        <w:ind w:right="280" w:firstLine="382"/>
        <w:spacing w:after="0" w:line="287" w:lineRule="auto"/>
        <w:rPr>
          <w:sz w:val="20"/>
          <w:szCs w:val="20"/>
          <w:color w:val="auto"/>
        </w:rPr>
      </w:pPr>
      <w:r>
        <w:rPr>
          <w:rFonts w:ascii="Times New Roman" w:cs="Times New Roman" w:eastAsia="Times New Roman" w:hAnsi="Times New Roman"/>
          <w:sz w:val="14"/>
          <w:szCs w:val="14"/>
          <w:color w:val="auto"/>
        </w:rPr>
        <w:t>The $0.3 billion increase in AUM for the six months ended June 30, 2024 was due to market appreciation of $0.8 billion offset by net outflows of $0.5 billion. Net outflows were primarily related to our LargeCap Value strategy.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Roll-Forward of Assets Under Advisement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120" w:type="dxa"/>
            <w:vAlign w:val="bottom"/>
            <w:gridSpan w:val="5"/>
          </w:tcPr>
          <w:p>
            <w:pPr>
              <w:ind w:left="50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400" w:type="dxa"/>
            <w:vAlign w:val="bottom"/>
          </w:tcPr>
          <w:p>
            <w:pPr>
              <w:spacing w:after="0"/>
              <w:rPr>
                <w:sz w:val="14"/>
                <w:szCs w:val="1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960" w:type="dxa"/>
            <w:vAlign w:val="bottom"/>
          </w:tcPr>
          <w:p>
            <w:pPr>
              <w:spacing w:after="0"/>
              <w:rPr>
                <w:sz w:val="14"/>
                <w:szCs w:val="14"/>
                <w:color w:val="auto"/>
              </w:rPr>
            </w:pPr>
          </w:p>
        </w:tc>
      </w:tr>
      <w:tr>
        <w:trPr>
          <w:trHeight w:val="164"/>
        </w:trPr>
        <w:tc>
          <w:tcPr>
            <w:tcW w:w="20" w:type="dxa"/>
            <w:vAlign w:val="bottom"/>
            <w:tcBorders>
              <w:bottom w:val="single" w:sz="8" w:color="CCEEFF"/>
            </w:tcBorders>
          </w:tcPr>
          <w:p>
            <w:pPr>
              <w:spacing w:after="0"/>
              <w:rPr>
                <w:sz w:val="14"/>
                <w:szCs w:val="14"/>
                <w:color w:val="auto"/>
              </w:rPr>
            </w:pPr>
          </w:p>
        </w:tc>
        <w:tc>
          <w:tcPr>
            <w:tcW w:w="4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i w:val="1"/>
                <w:iCs w:val="1"/>
                <w:color w:val="auto"/>
              </w:rPr>
              <w:t>(in millions)</w:t>
            </w: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w w:val="92"/>
              </w:rPr>
              <w:t>2024</w:t>
            </w:r>
          </w:p>
        </w:tc>
      </w:tr>
      <w:tr>
        <w:trPr>
          <w:trHeight w:val="142"/>
        </w:trPr>
        <w:tc>
          <w:tcPr>
            <w:tcW w:w="20" w:type="dxa"/>
            <w:vAlign w:val="bottom"/>
            <w:shd w:val="clear" w:color="auto" w:fill="CCEEFF"/>
          </w:tcPr>
          <w:p>
            <w:pPr>
              <w:spacing w:after="0"/>
              <w:rPr>
                <w:sz w:val="12"/>
                <w:szCs w:val="12"/>
                <w:color w:val="auto"/>
              </w:rPr>
            </w:pPr>
          </w:p>
        </w:tc>
        <w:tc>
          <w:tcPr>
            <w:tcW w:w="4320" w:type="dxa"/>
            <w:vAlign w:val="bottom"/>
            <w:gridSpan w:val="2"/>
            <w:shd w:val="clear" w:color="auto" w:fill="CCEEFF"/>
          </w:tcPr>
          <w:p>
            <w:pPr>
              <w:spacing w:after="0" w:line="130" w:lineRule="exact"/>
              <w:rPr>
                <w:sz w:val="20"/>
                <w:szCs w:val="20"/>
                <w:color w:val="auto"/>
              </w:rPr>
            </w:pPr>
            <w:r>
              <w:rPr>
                <w:rFonts w:ascii="Times New Roman" w:cs="Times New Roman" w:eastAsia="Times New Roman" w:hAnsi="Times New Roman"/>
                <w:sz w:val="14"/>
                <w:szCs w:val="14"/>
                <w:b w:val="1"/>
                <w:bCs w:val="1"/>
                <w:color w:val="auto"/>
              </w:rPr>
              <w:t>Assets Under Advisement</w:t>
            </w:r>
          </w:p>
        </w:tc>
        <w:tc>
          <w:tcPr>
            <w:tcW w:w="3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68"/>
        </w:trPr>
        <w:tc>
          <w:tcPr>
            <w:tcW w:w="20" w:type="dxa"/>
            <w:vAlign w:val="bottom"/>
            <w:tcBorders>
              <w:top w:val="single" w:sz="8" w:color="CCEEFF"/>
            </w:tcBorders>
          </w:tcPr>
          <w:p>
            <w:pPr>
              <w:spacing w:after="0"/>
              <w:rPr>
                <w:sz w:val="14"/>
                <w:szCs w:val="14"/>
                <w:color w:val="auto"/>
              </w:rPr>
            </w:pPr>
          </w:p>
        </w:tc>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Beginning of period assets</w:t>
            </w:r>
          </w:p>
        </w:tc>
        <w:tc>
          <w:tcPr>
            <w:tcW w:w="278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967</w:t>
            </w:r>
          </w:p>
        </w:tc>
        <w:tc>
          <w:tcPr>
            <w:tcW w:w="8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8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960</w:t>
            </w:r>
          </w:p>
        </w:tc>
        <w:tc>
          <w:tcPr>
            <w:tcW w:w="8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jc w:val="right"/>
              <w:ind w:right="5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1,079</w:t>
            </w:r>
          </w:p>
        </w:tc>
      </w:tr>
      <w:tr>
        <w:trPr>
          <w:trHeight w:val="172"/>
        </w:trPr>
        <w:tc>
          <w:tcPr>
            <w:tcW w:w="20" w:type="dxa"/>
            <w:vAlign w:val="bottom"/>
            <w:shd w:val="clear" w:color="auto" w:fill="CCEEFF"/>
          </w:tcPr>
          <w:p>
            <w:pPr>
              <w:spacing w:after="0"/>
              <w:rPr>
                <w:sz w:val="14"/>
                <w:szCs w:val="14"/>
                <w:color w:val="auto"/>
              </w:rPr>
            </w:pPr>
          </w:p>
        </w:tc>
        <w:tc>
          <w:tcPr>
            <w:tcW w:w="4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Inflows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68"/>
        </w:trPr>
        <w:tc>
          <w:tcPr>
            <w:tcW w:w="20" w:type="dxa"/>
            <w:vAlign w:val="bottom"/>
            <w:tcBorders>
              <w:bottom w:val="single" w:sz="8" w:color="CCEEFF"/>
            </w:tcBorders>
          </w:tcPr>
          <w:p>
            <w:pPr>
              <w:spacing w:after="0"/>
              <w:rPr>
                <w:sz w:val="14"/>
                <w:szCs w:val="14"/>
                <w:color w:val="auto"/>
              </w:rPr>
            </w:pPr>
          </w:p>
        </w:tc>
        <w:tc>
          <w:tcPr>
            <w:tcW w:w="43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3"/>
                <w:szCs w:val="13"/>
                <w:color w:val="auto"/>
              </w:rPr>
              <w:t>Outflows</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w:t>
            </w:r>
          </w:p>
        </w:tc>
      </w:tr>
      <w:tr>
        <w:trPr>
          <w:trHeight w:val="163"/>
        </w:trPr>
        <w:tc>
          <w:tcPr>
            <w:tcW w:w="20" w:type="dxa"/>
            <w:vAlign w:val="bottom"/>
            <w:shd w:val="clear" w:color="auto" w:fill="CCEEFF"/>
          </w:tcPr>
          <w:p>
            <w:pPr>
              <w:spacing w:after="0"/>
              <w:rPr>
                <w:sz w:val="14"/>
                <w:szCs w:val="14"/>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client flows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r>
      <w:tr>
        <w:trPr>
          <w:trHeight w:val="168"/>
        </w:trPr>
        <w:tc>
          <w:tcPr>
            <w:tcW w:w="20" w:type="dxa"/>
            <w:vAlign w:val="bottom"/>
            <w:tcBorders>
              <w:bottom w:val="single" w:sz="8" w:color="CCEEFF"/>
            </w:tcBorders>
          </w:tcPr>
          <w:p>
            <w:pPr>
              <w:spacing w:after="0"/>
              <w:rPr>
                <w:sz w:val="14"/>
                <w:szCs w:val="14"/>
                <w:color w:val="auto"/>
              </w:rPr>
            </w:pPr>
          </w:p>
        </w:tc>
        <w:tc>
          <w:tcPr>
            <w:tcW w:w="43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3"/>
                <w:szCs w:val="13"/>
                <w:color w:val="auto"/>
              </w:rPr>
              <w:t>Market appreciation (depreciation)</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60"/>
        </w:trPr>
        <w:tc>
          <w:tcPr>
            <w:tcW w:w="20" w:type="dxa"/>
            <w:vAlign w:val="bottom"/>
            <w:shd w:val="clear" w:color="auto" w:fill="CCEEFF"/>
          </w:tcPr>
          <w:p>
            <w:pPr>
              <w:spacing w:after="0"/>
              <w:rPr>
                <w:sz w:val="13"/>
                <w:szCs w:val="13"/>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change</w:t>
            </w:r>
          </w:p>
        </w:tc>
        <w:tc>
          <w:tcPr>
            <w:tcW w:w="3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63"/>
        </w:trPr>
        <w:tc>
          <w:tcPr>
            <w:tcW w:w="20" w:type="dxa"/>
            <w:vAlign w:val="bottom"/>
          </w:tcPr>
          <w:p>
            <w:pPr>
              <w:spacing w:after="0"/>
              <w:rPr>
                <w:sz w:val="14"/>
                <w:szCs w:val="14"/>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End of period assets</w:t>
            </w: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939</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988</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939</w:t>
            </w:r>
          </w:p>
        </w:tc>
        <w:tc>
          <w:tcPr>
            <w:tcW w:w="80" w:type="dxa"/>
            <w:vAlign w:val="bottom"/>
          </w:tcPr>
          <w:p>
            <w:pPr>
              <w:spacing w:after="0"/>
              <w:rPr>
                <w:sz w:val="14"/>
                <w:szCs w:val="14"/>
                <w:color w:val="auto"/>
              </w:rPr>
            </w:pPr>
          </w:p>
        </w:tc>
        <w:tc>
          <w:tcPr>
            <w:tcW w:w="7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988</w:t>
            </w: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Results of Operations</w:t>
      </w:r>
    </w:p>
    <w:p>
      <w:pPr>
        <w:spacing w:after="0" w:line="96" w:lineRule="exact"/>
        <w:rPr>
          <w:sz w:val="20"/>
          <w:szCs w:val="20"/>
          <w:color w:val="auto"/>
        </w:rPr>
      </w:pPr>
    </w:p>
    <w:p>
      <w:pPr>
        <w:ind w:right="100"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 (dollars in thousands) and discussion of our results of operations are based upon data derived from the Condensed Consolidated Statements of Operations contained in our Condensed Consolidated Financial Statements and should be read in conjunction with those statements included elsewhere in this report.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gridSpan w:val="5"/>
          </w:tcPr>
          <w:p>
            <w:pPr>
              <w:ind w:left="28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80" w:type="dxa"/>
            <w:vAlign w:val="bottom"/>
            <w:gridSpan w:val="5"/>
          </w:tcPr>
          <w:p>
            <w:pPr>
              <w:ind w:left="360"/>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980" w:type="dxa"/>
            <w:vAlign w:val="bottom"/>
          </w:tcPr>
          <w:p>
            <w:pPr>
              <w:spacing w:after="0"/>
              <w:rPr>
                <w:sz w:val="13"/>
                <w:szCs w:val="13"/>
                <w:color w:val="auto"/>
              </w:rPr>
            </w:pPr>
          </w:p>
        </w:tc>
      </w:tr>
      <w:tr>
        <w:trPr>
          <w:trHeight w:val="159"/>
        </w:trPr>
        <w:tc>
          <w:tcPr>
            <w:tcW w:w="48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7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7"/>
        </w:trPr>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37"/>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17"/>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4"/>
                <w:szCs w:val="14"/>
                <w:color w:val="auto"/>
              </w:rPr>
            </w:pP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4"/>
                <w:szCs w:val="14"/>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17"/>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4"/>
                <w:szCs w:val="14"/>
                <w:color w:val="auto"/>
              </w:rPr>
            </w:pPr>
          </w:p>
        </w:tc>
        <w:tc>
          <w:tcPr>
            <w:tcW w:w="980" w:type="dxa"/>
            <w:vAlign w:val="bottom"/>
          </w:tcPr>
          <w:p>
            <w:pPr>
              <w:jc w:val="right"/>
              <w:ind w:right="237"/>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50"/>
        </w:trPr>
        <w:tc>
          <w:tcPr>
            <w:tcW w:w="482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Revenues:</w:t>
            </w: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r>
      <w:tr>
        <w:trPr>
          <w:trHeight w:val="168"/>
        </w:trPr>
        <w:tc>
          <w:tcPr>
            <w:tcW w:w="4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Advisory fees: asset-based</w:t>
            </w: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17,955</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17,139</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35,686</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33,956</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5 %</w:t>
            </w:r>
          </w:p>
        </w:tc>
      </w:tr>
      <w:tr>
        <w:trPr>
          <w:trHeight w:val="172"/>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Trust fees: asset-based</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5,227</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10,498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10,340</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4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Other, net</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1,124</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(83)</w:t>
            </w:r>
          </w:p>
        </w:tc>
      </w:tr>
      <w:tr>
        <w:trPr>
          <w:trHeight w:val="163"/>
        </w:trPr>
        <w:tc>
          <w:tcPr>
            <w:tcW w:w="4820" w:type="dxa"/>
            <w:vAlign w:val="bottom"/>
            <w:shd w:val="clear" w:color="auto" w:fill="CCEEFF"/>
          </w:tcPr>
          <w:p>
            <w:pPr>
              <w:ind w:left="360"/>
              <w:spacing w:after="0" w:line="147" w:lineRule="exact"/>
              <w:rPr>
                <w:sz w:val="20"/>
                <w:szCs w:val="20"/>
                <w:color w:val="auto"/>
              </w:rPr>
            </w:pPr>
            <w:r>
              <w:rPr>
                <w:rFonts w:ascii="Times New Roman" w:cs="Times New Roman" w:eastAsia="Times New Roman" w:hAnsi="Times New Roman"/>
                <w:sz w:val="13"/>
                <w:szCs w:val="13"/>
                <w:color w:val="auto"/>
              </w:rPr>
              <w:t>Total revenues</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23,120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22,688</w:t>
            </w: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46,372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45,420</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w:t>
            </w:r>
          </w:p>
        </w:tc>
      </w:tr>
      <w:tr>
        <w:trPr>
          <w:trHeight w:val="149"/>
        </w:trPr>
        <w:tc>
          <w:tcPr>
            <w:tcW w:w="48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Expenses: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1"/>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Employee compensation and benefits</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13,472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13,638</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27,973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28,349</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4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Sales and marketing</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w:t>
            </w:r>
          </w:p>
        </w:tc>
        <w:tc>
          <w:tcPr>
            <w:tcW w:w="80" w:type="dxa"/>
            <w:vAlign w:val="bottom"/>
          </w:tcPr>
          <w:p>
            <w:pPr>
              <w:spacing w:after="0"/>
              <w:rPr>
                <w:sz w:val="14"/>
                <w:szCs w:val="14"/>
                <w:color w:val="auto"/>
              </w:rPr>
            </w:pP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1,383</w:t>
            </w:r>
          </w:p>
        </w:tc>
        <w:tc>
          <w:tcPr>
            <w:tcW w:w="100" w:type="dxa"/>
            <w:vAlign w:val="bottom"/>
          </w:tcPr>
          <w:p>
            <w:pPr>
              <w:spacing w:after="0"/>
              <w:rPr>
                <w:sz w:val="14"/>
                <w:szCs w:val="14"/>
                <w:color w:val="auto"/>
              </w:rPr>
            </w:pPr>
          </w:p>
        </w:tc>
        <w:tc>
          <w:tcPr>
            <w:tcW w:w="9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Westwood mutual funds</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855</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1,576</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18</w:t>
            </w:r>
          </w:p>
        </w:tc>
      </w:tr>
      <w:tr>
        <w:trPr>
          <w:trHeight w:val="168"/>
        </w:trPr>
        <w:tc>
          <w:tcPr>
            <w:tcW w:w="4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Information technology</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2,350</w:t>
            </w:r>
          </w:p>
        </w:tc>
        <w:tc>
          <w:tcPr>
            <w:tcW w:w="8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4,640</w:t>
            </w:r>
          </w:p>
        </w:tc>
        <w:tc>
          <w:tcPr>
            <w:tcW w:w="100" w:type="dxa"/>
            <w:vAlign w:val="bottom"/>
          </w:tcPr>
          <w:p>
            <w:pPr>
              <w:spacing w:after="0"/>
              <w:rPr>
                <w:sz w:val="14"/>
                <w:szCs w:val="14"/>
                <w:color w:val="auto"/>
              </w:rPr>
            </w:pPr>
          </w:p>
        </w:tc>
        <w:tc>
          <w:tcPr>
            <w:tcW w:w="9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16</w:t>
            </w:r>
          </w:p>
        </w:tc>
      </w:tr>
      <w:tr>
        <w:trPr>
          <w:trHeight w:val="172"/>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Professional services</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1,450</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2,939</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4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3,011</w:t>
            </w:r>
          </w:p>
        </w:tc>
        <w:tc>
          <w:tcPr>
            <w:tcW w:w="80" w:type="dxa"/>
            <w:vAlign w:val="bottom"/>
          </w:tcPr>
          <w:p>
            <w:pPr>
              <w:spacing w:after="0"/>
              <w:rPr>
                <w:sz w:val="14"/>
                <w:szCs w:val="14"/>
                <w:color w:val="auto"/>
              </w:rPr>
            </w:pP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5,912</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 from change in fair value of contingent consideration</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4,807</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1,858</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58"/>
        </w:trPr>
        <w:tc>
          <w:tcPr>
            <w:tcW w:w="4820" w:type="dxa"/>
            <w:vAlign w:val="bottom"/>
            <w:tcBorders>
              <w:bottom w:val="single" w:sz="8" w:color="CCEEFF"/>
            </w:tcBorders>
          </w:tcPr>
          <w:p>
            <w:pPr>
              <w:ind w:left="360"/>
              <w:spacing w:after="0" w:line="146" w:lineRule="exact"/>
              <w:rPr>
                <w:sz w:val="20"/>
                <w:szCs w:val="20"/>
                <w:color w:val="auto"/>
              </w:rPr>
            </w:pPr>
            <w:r>
              <w:rPr>
                <w:rFonts w:ascii="Times New Roman" w:cs="Times New Roman" w:eastAsia="Times New Roman" w:hAnsi="Times New Roman"/>
                <w:sz w:val="13"/>
                <w:szCs w:val="13"/>
                <w:color w:val="auto"/>
              </w:rPr>
              <w:t>Total expenses</w:t>
            </w: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22,252</w:t>
            </w:r>
          </w:p>
        </w:tc>
        <w:tc>
          <w:tcPr>
            <w:tcW w:w="1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26,866</w:t>
            </w:r>
          </w:p>
        </w:tc>
        <w:tc>
          <w:tcPr>
            <w:tcW w:w="80" w:type="dxa"/>
            <w:vAlign w:val="bottom"/>
            <w:tcBorders>
              <w:bottom w:val="single" w:sz="8" w:color="CCEEFF"/>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45,572</w:t>
            </w:r>
          </w:p>
        </w:tc>
        <w:tc>
          <w:tcPr>
            <w:tcW w:w="100" w:type="dxa"/>
            <w:vAlign w:val="bottom"/>
            <w:tcBorders>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46,657</w:t>
            </w:r>
          </w:p>
        </w:tc>
        <w:tc>
          <w:tcPr>
            <w:tcW w:w="100" w:type="dxa"/>
            <w:vAlign w:val="bottom"/>
            <w:tcBorders>
              <w:bottom w:val="single" w:sz="8" w:color="CCEEFF"/>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operating income (loss)</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(4,178)</w:t>
            </w: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(121)</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r>
      <w:tr>
        <w:trPr>
          <w:trHeight w:val="158"/>
        </w:trPr>
        <w:tc>
          <w:tcPr>
            <w:tcW w:w="4820" w:type="dxa"/>
            <w:vAlign w:val="bottom"/>
          </w:tcPr>
          <w:p>
            <w:pPr>
              <w:ind w:left="180"/>
              <w:spacing w:after="0" w:line="146" w:lineRule="exact"/>
              <w:rPr>
                <w:sz w:val="20"/>
                <w:szCs w:val="20"/>
                <w:color w:val="auto"/>
              </w:rPr>
            </w:pPr>
            <w:r>
              <w:rPr>
                <w:rFonts w:ascii="Times New Roman" w:cs="Times New Roman" w:eastAsia="Times New Roman" w:hAnsi="Times New Roman"/>
                <w:sz w:val="13"/>
                <w:szCs w:val="13"/>
                <w:color w:val="auto"/>
              </w:rPr>
              <w:t>Net investment income</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80" w:type="dxa"/>
            <w:vAlign w:val="bottom"/>
          </w:tcPr>
          <w:p>
            <w:pPr>
              <w:spacing w:after="0"/>
              <w:rPr>
                <w:sz w:val="13"/>
                <w:szCs w:val="13"/>
                <w:color w:val="auto"/>
              </w:rPr>
            </w:pP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1,003</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72"/>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income</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31 %</w:t>
            </w:r>
          </w:p>
        </w:tc>
      </w:tr>
      <w:tr>
        <w:trPr>
          <w:trHeight w:val="158"/>
        </w:trPr>
        <w:tc>
          <w:tcPr>
            <w:tcW w:w="4820" w:type="dxa"/>
            <w:vAlign w:val="bottom"/>
            <w:tcBorders>
              <w:bottom w:val="single" w:sz="8" w:color="CCEEFF"/>
            </w:tcBorders>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Income (loss) before income taxes</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1,468</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(3,406)</w:t>
            </w: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(143)</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2,060</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1077 %</w:t>
            </w:r>
          </w:p>
        </w:tc>
      </w:tr>
      <w:tr>
        <w:trPr>
          <w:trHeight w:val="163"/>
        </w:trPr>
        <w:tc>
          <w:tcPr>
            <w:tcW w:w="48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Income tax provision</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(1,193)</w:t>
            </w: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(137)</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149 %</w:t>
            </w:r>
          </w:p>
        </w:tc>
      </w:tr>
      <w:tr>
        <w:trPr>
          <w:trHeight w:val="158"/>
        </w:trPr>
        <w:tc>
          <w:tcPr>
            <w:tcW w:w="48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Net income (loss)</w:t>
            </w:r>
          </w:p>
        </w:tc>
        <w:tc>
          <w:tcPr>
            <w:tcW w:w="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1,031</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(2,213)</w:t>
            </w:r>
          </w:p>
        </w:tc>
        <w:tc>
          <w:tcPr>
            <w:tcW w:w="8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1,508</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(3309)%</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54"/>
        </w:trPr>
        <w:tc>
          <w:tcPr>
            <w:tcW w:w="48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Less: income (loss) attributable to noncontrolling interest</w:t>
            </w:r>
          </w:p>
        </w:tc>
        <w:tc>
          <w:tcPr>
            <w:tcW w:w="2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158"/>
        </w:trPr>
        <w:tc>
          <w:tcPr>
            <w:tcW w:w="48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Income (loss) attributable to Westwood Holdings Group, Inc.</w:t>
            </w:r>
          </w:p>
        </w:tc>
        <w:tc>
          <w:tcPr>
            <w:tcW w:w="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(2,243)</w:t>
            </w:r>
          </w:p>
        </w:tc>
        <w:tc>
          <w:tcPr>
            <w:tcW w:w="8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1,497</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2725 %</w:t>
            </w:r>
          </w:p>
        </w:tc>
      </w:tr>
      <w:tr>
        <w:trPr>
          <w:trHeight w:val="20"/>
        </w:trPr>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4" w:right="319" w:bottom="1440" w:gutter="0" w:footer="0" w:header="0"/>
        </w:sectPr>
      </w:pPr>
    </w:p>
    <w:bookmarkStart w:id="22" w:name="page23"/>
    <w:bookmarkEnd w:id="22"/>
    <w:p>
      <w:pPr>
        <w:ind w:left="140"/>
        <w:spacing w:after="0"/>
        <w:tabs>
          <w:tab w:leader="none" w:pos="400" w:val="left"/>
        </w:tabs>
        <w:rPr>
          <w:sz w:val="20"/>
          <w:szCs w:val="20"/>
          <w:color w:val="auto"/>
        </w:rPr>
      </w:pPr>
      <w:r>
        <w:rPr>
          <w:rFonts w:ascii="Times New Roman" w:cs="Times New Roman" w:eastAsia="Times New Roman" w:hAnsi="Times New Roman"/>
          <w:sz w:val="11"/>
          <w:szCs w:val="11"/>
          <w:color w:val="auto"/>
        </w:rPr>
        <w:t>NM</w:t>
        <w:tab/>
        <w:t>Not meaningful</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June 30, 2025 compared to three months ended June 30, 2024</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Total revenues</w:t>
      </w:r>
      <w:r>
        <w:rPr>
          <w:rFonts w:ascii="Times New Roman" w:cs="Times New Roman" w:eastAsia="Times New Roman" w:hAnsi="Times New Roman"/>
          <w:sz w:val="14"/>
          <w:szCs w:val="14"/>
          <w:color w:val="auto"/>
        </w:rPr>
        <w:t>. Total revenues for the three months ended June 30, 2025 were higher than revenues for the three months ended June 30, 2024 due to higher average AUM.</w:t>
      </w:r>
    </w:p>
    <w:p>
      <w:pPr>
        <w:spacing w:after="0" w:line="94" w:lineRule="exact"/>
        <w:rPr>
          <w:sz w:val="20"/>
          <w:szCs w:val="20"/>
          <w:color w:val="auto"/>
        </w:rPr>
      </w:pPr>
    </w:p>
    <w:p>
      <w:pPr>
        <w:ind w:right="360"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Loss from change in fair value of contingent consideration. </w:t>
      </w:r>
      <w:r>
        <w:rPr>
          <w:rFonts w:ascii="Times New Roman" w:cs="Times New Roman" w:eastAsia="Times New Roman" w:hAnsi="Times New Roman"/>
          <w:sz w:val="14"/>
          <w:szCs w:val="14"/>
          <w:color w:val="auto"/>
        </w:rPr>
        <w:t>In 2024 we recorded a loss of $4.8 million upon remeasurement of contingent consideration due to positive changes in growth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projections following asset appreciation and asset flows in the period.</w:t>
      </w:r>
    </w:p>
    <w:p>
      <w:pPr>
        <w:spacing w:after="0" w:line="35" w:lineRule="exact"/>
        <w:rPr>
          <w:sz w:val="20"/>
          <w:szCs w:val="20"/>
          <w:color w:val="auto"/>
        </w:rPr>
      </w:pPr>
    </w:p>
    <w:p>
      <w:pPr>
        <w:ind w:right="240"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Income tax provision</w:t>
      </w:r>
      <w:r>
        <w:rPr>
          <w:rFonts w:ascii="Times New Roman" w:cs="Times New Roman" w:eastAsia="Times New Roman" w:hAnsi="Times New Roman"/>
          <w:sz w:val="14"/>
          <w:szCs w:val="14"/>
          <w:color w:val="auto"/>
        </w:rPr>
        <w:t>. Our effective income tax rate differed from the 21% statutory rate for the three months ended June 30, 2025 due to permanent differences related to executive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compensation. Our effective income tax rate differed from the 21% statutory rate for the three months ended June 30, 2024 primarily due to permanent differences between book and tax restricted stock expense based on a decrease in our stock price between the restricted stock grant and vesting dates.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Six months ended June 30, 2025 compared to six months ended June 30, 2024</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Total revenues</w:t>
      </w:r>
      <w:r>
        <w:rPr>
          <w:rFonts w:ascii="Times New Roman" w:cs="Times New Roman" w:eastAsia="Times New Roman" w:hAnsi="Times New Roman"/>
          <w:sz w:val="14"/>
          <w:szCs w:val="14"/>
          <w:color w:val="auto"/>
        </w:rPr>
        <w:t>. Total revenues for the six months ended June 30, 2025 were higher than revenues for the six months ended June 30, 2024 due to higher average AUM.</w:t>
      </w:r>
    </w:p>
    <w:p>
      <w:pPr>
        <w:spacing w:after="0" w:line="94" w:lineRule="exact"/>
        <w:rPr>
          <w:sz w:val="20"/>
          <w:szCs w:val="20"/>
          <w:color w:val="auto"/>
        </w:rPr>
      </w:pPr>
    </w:p>
    <w:p>
      <w:pPr>
        <w:ind w:right="540"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Information technology. </w:t>
      </w:r>
      <w:r>
        <w:rPr>
          <w:rFonts w:ascii="Times New Roman" w:cs="Times New Roman" w:eastAsia="Times New Roman" w:hAnsi="Times New Roman"/>
          <w:sz w:val="14"/>
          <w:szCs w:val="14"/>
          <w:color w:val="auto"/>
        </w:rPr>
        <w:t>Information technology costs for the six months ended June 30, 2025 increased $0.7 million compared to the six months ended June 30, 2024 primarily due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additional investment resource tools and software licenses.</w:t>
      </w:r>
    </w:p>
    <w:p>
      <w:pPr>
        <w:spacing w:after="0" w:line="35" w:lineRule="exact"/>
        <w:rPr>
          <w:sz w:val="20"/>
          <w:szCs w:val="20"/>
          <w:color w:val="auto"/>
        </w:rPr>
      </w:pPr>
    </w:p>
    <w:p>
      <w:pPr>
        <w:ind w:right="340"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Loss from change in fair value of contingent consideration. </w:t>
      </w:r>
      <w:r>
        <w:rPr>
          <w:rFonts w:ascii="Times New Roman" w:cs="Times New Roman" w:eastAsia="Times New Roman" w:hAnsi="Times New Roman"/>
          <w:sz w:val="14"/>
          <w:szCs w:val="14"/>
          <w:color w:val="auto"/>
        </w:rPr>
        <w:t>In 2024 we recorded a loss of $1.9 million upon remeasurement of contingent consideration from the 2022 Salient Acquisition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primarily due to positive changes in growth projections and revised asset flow expectations.</w:t>
      </w:r>
    </w:p>
    <w:p>
      <w:pPr>
        <w:spacing w:after="0" w:line="35" w:lineRule="exact"/>
        <w:rPr>
          <w:sz w:val="20"/>
          <w:szCs w:val="20"/>
          <w:color w:val="auto"/>
        </w:rPr>
      </w:pPr>
    </w:p>
    <w:p>
      <w:pPr>
        <w:ind w:right="20" w:firstLine="382"/>
        <w:spacing w:after="0" w:line="271" w:lineRule="auto"/>
        <w:rPr>
          <w:sz w:val="20"/>
          <w:szCs w:val="20"/>
          <w:color w:val="auto"/>
        </w:rPr>
      </w:pPr>
      <w:r>
        <w:rPr>
          <w:rFonts w:ascii="Times New Roman" w:cs="Times New Roman" w:eastAsia="Times New Roman" w:hAnsi="Times New Roman"/>
          <w:sz w:val="14"/>
          <w:szCs w:val="14"/>
          <w:i w:val="1"/>
          <w:iCs w:val="1"/>
          <w:color w:val="auto"/>
        </w:rPr>
        <w:t>Income tax provision</w:t>
      </w:r>
      <w:r>
        <w:rPr>
          <w:rFonts w:ascii="Times New Roman" w:cs="Times New Roman" w:eastAsia="Times New Roman" w:hAnsi="Times New Roman"/>
          <w:sz w:val="14"/>
          <w:szCs w:val="14"/>
          <w:color w:val="auto"/>
        </w:rPr>
        <w:t>. Our effective tax rate for the six months ended June 30, 2025 differed from the 21% statutory rate for 2025 due to permanent differences related to executive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compensation. Our effective tax rate for the six months ended June 30, 2024 differed from the 21% statutory rate due to permanent differences between book and tax restricted stock expense based on a decrease in our stock price between the restricted stock grant and vesting 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Supplemental Financial Information</w:t>
      </w:r>
    </w:p>
    <w:p>
      <w:pPr>
        <w:spacing w:after="0" w:line="96" w:lineRule="exact"/>
        <w:rPr>
          <w:sz w:val="20"/>
          <w:szCs w:val="20"/>
          <w:color w:val="auto"/>
        </w:rPr>
      </w:pPr>
    </w:p>
    <w:p>
      <w:pPr>
        <w:ind w:right="60" w:firstLine="382"/>
        <w:spacing w:after="0" w:line="259" w:lineRule="auto"/>
        <w:rPr>
          <w:sz w:val="20"/>
          <w:szCs w:val="20"/>
          <w:color w:val="auto"/>
        </w:rPr>
      </w:pPr>
      <w:r>
        <w:rPr>
          <w:rFonts w:ascii="Times New Roman" w:cs="Times New Roman" w:eastAsia="Times New Roman" w:hAnsi="Times New Roman"/>
          <w:sz w:val="14"/>
          <w:szCs w:val="14"/>
          <w:color w:val="auto"/>
        </w:rPr>
        <w:t>As supplemental information, we are providing non-GAAP performance measures that we refer to as Economic Earnings (Loss) and Economic EPS. We provide these measures in addition to, not as a substitute for, income (loss) attributable to Westwood Holdings Group, Inc. and earnings (loss) per share, which are reported on a GAAP basis. Our management and Board of Directors review Economic Earnings (Loss) and Economic EPS to evaluate our ongoing performance, allocate resources, and review our dividend policy. We believe that these non-GAAP performance measures, while not substitutes for GAAP income (loss) attributable to Westwood Holdings Group, Inc. or 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61" w:lineRule="exact"/>
        <w:rPr>
          <w:sz w:val="20"/>
          <w:szCs w:val="20"/>
          <w:color w:val="auto"/>
        </w:rPr>
      </w:pPr>
    </w:p>
    <w:p>
      <w:pPr>
        <w:ind w:firstLine="382"/>
        <w:spacing w:after="0" w:line="259" w:lineRule="auto"/>
        <w:rPr>
          <w:sz w:val="20"/>
          <w:szCs w:val="20"/>
          <w:color w:val="auto"/>
        </w:rPr>
      </w:pPr>
      <w:r>
        <w:rPr>
          <w:rFonts w:ascii="Times New Roman" w:cs="Times New Roman" w:eastAsia="Times New Roman" w:hAnsi="Times New Roman"/>
          <w:sz w:val="14"/>
          <w:szCs w:val="14"/>
          <w:color w:val="auto"/>
        </w:rPr>
        <w:t>We define Economic Earnings (Loss) as income (loss) attributable to Westwood Holdings Group, Inc. plus non-cash equity-based compensation expense, amortization of intangible assets and deferred taxes related to goodwill. Although depreciation on fixed assets is a non-cash expense, we do not add it back when calculating Economic Earnings (Loss) because depreciation charges represent an allocation of the decline in the value of the related assets that will ultimately require replacement. Although gains and losses from changes in the fair value of contingent consideration are non-cash, we do not add or subtract those back when calculating Economic Earnings (Loss) because gains and losses on changes in the fair value of contingent consideration are considered regular following an acquisition. In addition, we do not adjust Economic Earnings (Loss) for tax deductions related to restricted stock expense or amortization of intangible assets. Economic EPS represents Economic Earnings (Loss) divided by diluted weighted average shares outstanding.</w:t>
      </w:r>
    </w:p>
    <w:p>
      <w:pPr>
        <w:spacing w:after="0" w:line="61" w:lineRule="exact"/>
        <w:rPr>
          <w:sz w:val="20"/>
          <w:szCs w:val="20"/>
          <w:color w:val="auto"/>
        </w:rPr>
      </w:pPr>
    </w:p>
    <w:p>
      <w:pPr>
        <w:ind w:right="200"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tables (in thousands, except share and per share amounts) provide a reconciliation of income attributable to Westwood Holdings Group, Inc. to Economic Earnings (Loss) and Economic Earnings (Loss) by segment. We have included the tax impact of adjustments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6" w:right="3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4"/>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2"/>
        </w:trPr>
        <w:tc>
          <w:tcPr>
            <w:tcW w:w="46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1080" w:type="dxa"/>
            <w:vAlign w:val="bottom"/>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6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(loss) attributable to Westwood Holdings Group, Inc.</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(2,243)</w:t>
            </w: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1,497</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2,725 %</w:t>
            </w:r>
          </w:p>
        </w:tc>
      </w:tr>
      <w:tr>
        <w:trPr>
          <w:trHeight w:val="168"/>
        </w:trPr>
        <w:tc>
          <w:tcPr>
            <w:tcW w:w="4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80" w:type="dxa"/>
            <w:vAlign w:val="bottom"/>
          </w:tcPr>
          <w:p>
            <w:pPr>
              <w:spacing w:after="0"/>
              <w:rPr>
                <w:sz w:val="14"/>
                <w:szCs w:val="14"/>
                <w:color w:val="auto"/>
              </w:rPr>
            </w:pP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2,912</w:t>
            </w:r>
          </w:p>
        </w:tc>
        <w:tc>
          <w:tcPr>
            <w:tcW w:w="118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(10)</w:t>
            </w:r>
          </w:p>
        </w:tc>
      </w:tr>
      <w:tr>
        <w:trPr>
          <w:trHeight w:val="172"/>
        </w:trPr>
        <w:tc>
          <w:tcPr>
            <w:tcW w:w="4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Intangible amortization</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1,032</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2,074</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Tax benefit from goodwill amortization</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80" w:type="dxa"/>
            <w:vAlign w:val="bottom"/>
          </w:tcPr>
          <w:p>
            <w:pPr>
              <w:spacing w:after="0"/>
              <w:rPr>
                <w:sz w:val="14"/>
                <w:szCs w:val="14"/>
                <w:color w:val="auto"/>
              </w:rPr>
            </w:pP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118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(7)</w:t>
            </w:r>
          </w:p>
        </w:tc>
      </w:tr>
      <w:tr>
        <w:trPr>
          <w:trHeight w:val="170"/>
        </w:trPr>
        <w:tc>
          <w:tcPr>
            <w:tcW w:w="4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Tax impacts of adjustments to GAAP income</w:t>
            </w: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8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(1,155)</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(2,816)</w:t>
            </w:r>
          </w:p>
        </w:tc>
        <w:tc>
          <w:tcPr>
            <w:tcW w:w="11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(59)</w:t>
            </w:r>
          </w:p>
        </w:tc>
      </w:tr>
      <w:tr>
        <w:trPr>
          <w:trHeight w:val="163"/>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Economic Earnings (Loss)</w:t>
            </w: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2,792</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(508)</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5,306</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112 %</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152"/>
        </w:trPr>
        <w:tc>
          <w:tcPr>
            <w:tcW w:w="466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Earnings (loss) per share</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(0.27)</w:t>
            </w: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180" w:type="dxa"/>
            <w:vAlign w:val="bottom"/>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1600 %</w:t>
            </w:r>
          </w:p>
        </w:tc>
      </w:tr>
      <w:tr>
        <w:trPr>
          <w:trHeight w:val="168"/>
        </w:trPr>
        <w:tc>
          <w:tcPr>
            <w:tcW w:w="4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0.17</w:t>
            </w:r>
          </w:p>
        </w:tc>
        <w:tc>
          <w:tcPr>
            <w:tcW w:w="80" w:type="dxa"/>
            <w:vAlign w:val="bottom"/>
          </w:tcPr>
          <w:p>
            <w:pPr>
              <w:spacing w:after="0"/>
              <w:rPr>
                <w:sz w:val="14"/>
                <w:szCs w:val="14"/>
                <w:color w:val="auto"/>
              </w:rPr>
            </w:pP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0.35</w:t>
            </w:r>
          </w:p>
        </w:tc>
        <w:tc>
          <w:tcPr>
            <w:tcW w:w="118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(14)</w:t>
            </w:r>
          </w:p>
        </w:tc>
      </w:tr>
      <w:tr>
        <w:trPr>
          <w:trHeight w:val="172"/>
        </w:trPr>
        <w:tc>
          <w:tcPr>
            <w:tcW w:w="4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Intangible amortization</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0.12</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0.24</w:t>
            </w:r>
          </w:p>
        </w:tc>
        <w:tc>
          <w:tcPr>
            <w:tcW w:w="11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w:t>
            </w:r>
          </w:p>
        </w:tc>
      </w:tr>
      <w:tr>
        <w:trPr>
          <w:trHeight w:val="168"/>
        </w:trPr>
        <w:tc>
          <w:tcPr>
            <w:tcW w:w="4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Tax benefit from goodwill amortization</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8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10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Tax impacts of adjustments to GAAP income</w:t>
            </w: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(0.08)</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8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(0.13)</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(0.33)</w:t>
            </w:r>
          </w:p>
        </w:tc>
        <w:tc>
          <w:tcPr>
            <w:tcW w:w="11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(61)</w:t>
            </w:r>
          </w:p>
        </w:tc>
      </w:tr>
      <w:tr>
        <w:trPr>
          <w:trHeight w:val="163"/>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Economic Earnings (Loss) per share</w:t>
            </w: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0.32</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(0.06)</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152"/>
        </w:trPr>
        <w:tc>
          <w:tcPr>
            <w:tcW w:w="466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Diluted weighted average shares outstanding</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8,813,606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8,218,596</w:t>
            </w: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8,798,092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8,438,431</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202"/>
        </w:trPr>
        <w:tc>
          <w:tcPr>
            <w:tcW w:w="4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7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Economic Earnings by Segment: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8"/>
        </w:trPr>
        <w:tc>
          <w:tcPr>
            <w:tcW w:w="4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Advisory</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5,125</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4,817</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9,971</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7,940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26 %</w:t>
            </w:r>
          </w:p>
        </w:tc>
      </w:tr>
      <w:tr>
        <w:trPr>
          <w:trHeight w:val="172"/>
        </w:trPr>
        <w:tc>
          <w:tcPr>
            <w:tcW w:w="4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Trust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1,005</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1,498</w:t>
            </w:r>
          </w:p>
        </w:tc>
        <w:tc>
          <w:tcPr>
            <w:tcW w:w="11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w:t>
            </w:r>
          </w:p>
        </w:tc>
      </w:tr>
      <w:tr>
        <w:trPr>
          <w:trHeight w:val="168"/>
        </w:trPr>
        <w:tc>
          <w:tcPr>
            <w:tcW w:w="4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Westwood Holdings</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(6,330)</w:t>
            </w:r>
          </w:p>
        </w:tc>
        <w:tc>
          <w:tcPr>
            <w:tcW w:w="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(6,591)</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(6,934)</w:t>
            </w:r>
          </w:p>
        </w:tc>
        <w:tc>
          <w:tcPr>
            <w:tcW w:w="1180" w:type="dxa"/>
            <w:vAlign w:val="bottom"/>
            <w:tcBorders>
              <w:bottom w:val="single" w:sz="8" w:color="CCEEFF"/>
            </w:tcBorders>
            <w:gridSpan w:val="2"/>
          </w:tcPr>
          <w:p>
            <w:pPr>
              <w:jc w:val="right"/>
              <w:ind w:right="56"/>
              <w:spacing w:after="0"/>
              <w:rPr>
                <w:sz w:val="20"/>
                <w:szCs w:val="20"/>
                <w:color w:val="auto"/>
              </w:rPr>
            </w:pPr>
            <w:r>
              <w:rPr>
                <w:rFonts w:ascii="Times New Roman" w:cs="Times New Roman" w:eastAsia="Times New Roman" w:hAnsi="Times New Roman"/>
                <w:sz w:val="13"/>
                <w:szCs w:val="13"/>
                <w:color w:val="auto"/>
              </w:rPr>
              <w:t>(5)</w:t>
            </w:r>
          </w:p>
        </w:tc>
      </w:tr>
      <w:tr>
        <w:trPr>
          <w:trHeight w:val="18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2,504</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112 %</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Liquidity and Capital Resources</w:t>
      </w:r>
    </w:p>
    <w:p>
      <w:pPr>
        <w:spacing w:after="0" w:line="96" w:lineRule="exact"/>
        <w:rPr>
          <w:sz w:val="20"/>
          <w:szCs w:val="20"/>
          <w:color w:val="auto"/>
        </w:rPr>
      </w:pPr>
    </w:p>
    <w:p>
      <w:pPr>
        <w:ind w:right="80" w:firstLine="382"/>
        <w:spacing w:after="0" w:line="264" w:lineRule="auto"/>
        <w:rPr>
          <w:sz w:val="20"/>
          <w:szCs w:val="20"/>
          <w:color w:val="auto"/>
        </w:rPr>
      </w:pPr>
      <w:r>
        <w:rPr>
          <w:rFonts w:ascii="Times New Roman" w:cs="Times New Roman" w:eastAsia="Times New Roman" w:hAnsi="Times New Roman"/>
          <w:sz w:val="14"/>
          <w:szCs w:val="14"/>
          <w:color w:val="auto"/>
        </w:rPr>
        <w:t>Historically we have funded our operations and cash requirements with cash generated from operating activities. We may also use cash from operations to pay dividends to our stockholders or for deferred contingent consideration payments. We had no debt as of June 30, 2025 and December 31, 2024. The changes in net cash provided by operating activities generally reflect changes in earnings plus the effects of non-cash items and changes in working capital, including liquidation of investments used to cover current liabilities. Changes in working capital, especially accounts receivable and accounts payable, are generally the result of timing differences between collection of fees billed and payment of operating expenses.</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had cash and liquid investments of $33.1 million and $44.6 million as of June 30, 2025 and December 31, 2024, respectively.</w:t>
      </w:r>
    </w:p>
    <w:p>
      <w:pPr>
        <w:spacing w:after="0" w:line="94" w:lineRule="exact"/>
        <w:rPr>
          <w:sz w:val="20"/>
          <w:szCs w:val="20"/>
          <w:color w:val="auto"/>
        </w:rPr>
      </w:pPr>
    </w:p>
    <w:p>
      <w:pPr>
        <w:ind w:right="180" w:firstLine="382"/>
        <w:spacing w:after="0" w:line="264" w:lineRule="auto"/>
        <w:rPr>
          <w:sz w:val="20"/>
          <w:szCs w:val="20"/>
          <w:color w:val="auto"/>
        </w:rPr>
      </w:pPr>
      <w:r>
        <w:rPr>
          <w:rFonts w:ascii="Times New Roman" w:cs="Times New Roman" w:eastAsia="Times New Roman" w:hAnsi="Times New Roman"/>
          <w:sz w:val="14"/>
          <w:szCs w:val="14"/>
          <w:color w:val="auto"/>
        </w:rPr>
        <w:t>During the six months ended June 30, 2025, cash flow provided by operating activities was $2.4 million, which included net sales of investments of $8.0 million, reductions in compensation and benefits payable of $5.2 million and contingent consideration of $4.4 million following the final payment for the revenue retention earn-out. During the six months ended June 30, 2024, cash flow provided by operating activities was $11.7 million, which included net sales of current investments of $11.4 million, partially to pay compensation and benefits payable, and a reduction in compensation and benefits payable of $4.2 million.</w:t>
      </w:r>
    </w:p>
    <w:p>
      <w:pPr>
        <w:spacing w:after="0" w:line="56" w:lineRule="exact"/>
        <w:rPr>
          <w:sz w:val="20"/>
          <w:szCs w:val="20"/>
          <w:color w:val="auto"/>
        </w:rPr>
      </w:pPr>
    </w:p>
    <w:p>
      <w:pPr>
        <w:ind w:right="280" w:firstLine="382"/>
        <w:spacing w:after="0" w:line="287" w:lineRule="auto"/>
        <w:rPr>
          <w:sz w:val="20"/>
          <w:szCs w:val="20"/>
          <w:color w:val="auto"/>
        </w:rPr>
      </w:pPr>
      <w:r>
        <w:rPr>
          <w:rFonts w:ascii="Times New Roman" w:cs="Times New Roman" w:eastAsia="Times New Roman" w:hAnsi="Times New Roman"/>
          <w:sz w:val="14"/>
          <w:szCs w:val="14"/>
          <w:color w:val="auto"/>
        </w:rPr>
        <w:t>Cash flow used in investing activities during the six months ended June 30, 2025 was related to the purchase of investments and internally developed software. Cash flow used in investing activities during the six months ended June 30, 2024 was related to the purchase of investments.</w:t>
      </w:r>
    </w:p>
    <w:p>
      <w:pPr>
        <w:spacing w:after="0" w:line="39" w:lineRule="exact"/>
        <w:rPr>
          <w:sz w:val="20"/>
          <w:szCs w:val="20"/>
          <w:color w:val="auto"/>
        </w:rPr>
      </w:pPr>
    </w:p>
    <w:p>
      <w:pPr>
        <w:ind w:right="220" w:firstLine="382"/>
        <w:spacing w:after="0" w:line="270" w:lineRule="auto"/>
        <w:rPr>
          <w:sz w:val="20"/>
          <w:szCs w:val="20"/>
          <w:color w:val="auto"/>
        </w:rPr>
      </w:pPr>
      <w:r>
        <w:rPr>
          <w:rFonts w:ascii="Times New Roman" w:cs="Times New Roman" w:eastAsia="Times New Roman" w:hAnsi="Times New Roman"/>
          <w:sz w:val="14"/>
          <w:szCs w:val="14"/>
          <w:color w:val="auto"/>
        </w:rPr>
        <w:t>Cash flows used in financing activities of $4.4 million for the six months ended June 30, 2025 reflected the payment of dividends, restricted stock returned for the payment of taxes and deferred contingent consideration payments. Cash flows used in financing activities of $6.8 million for the six months ended June 30, 2024 reflected the payment of dividends, deferred contingent consideration payments, purchases of treasury stock and restricted stock returned for the payment of taxes.</w:t>
      </w:r>
    </w:p>
    <w:p>
      <w:pPr>
        <w:spacing w:after="0" w:line="51" w:lineRule="exact"/>
        <w:rPr>
          <w:sz w:val="20"/>
          <w:szCs w:val="20"/>
          <w:color w:val="auto"/>
        </w:rPr>
      </w:pPr>
    </w:p>
    <w:p>
      <w:pPr>
        <w:ind w:right="60" w:firstLine="382"/>
        <w:spacing w:after="0" w:line="287" w:lineRule="auto"/>
        <w:rPr>
          <w:sz w:val="20"/>
          <w:szCs w:val="20"/>
          <w:color w:val="auto"/>
        </w:rPr>
      </w:pPr>
      <w:r>
        <w:rPr>
          <w:rFonts w:ascii="Times New Roman" w:cs="Times New Roman" w:eastAsia="Times New Roman" w:hAnsi="Times New Roman"/>
          <w:sz w:val="14"/>
          <w:szCs w:val="14"/>
          <w:color w:val="auto"/>
        </w:rPr>
        <w:t>Westwood Trust is required to maintain cash and investments in an amount equal to the minimum restricted capital of $4.0 million, as required by the Texas Finance Code. Restricted capital is included in "Cash and cash equivalents" and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6" w:right="319" w:bottom="1440" w:gutter="0" w:footer="0" w:header="0"/>
        </w:sectPr>
      </w:pPr>
    </w:p>
    <w:bookmarkStart w:id="24" w:name="page25"/>
    <w:bookmarkEnd w:id="24"/>
    <w:p>
      <w:pPr>
        <w:ind w:right="380"/>
        <w:spacing w:after="0" w:line="287" w:lineRule="auto"/>
        <w:rPr>
          <w:sz w:val="20"/>
          <w:szCs w:val="20"/>
          <w:color w:val="auto"/>
        </w:rPr>
      </w:pPr>
      <w:r>
        <w:rPr>
          <w:rFonts w:ascii="Times New Roman" w:cs="Times New Roman" w:eastAsia="Times New Roman" w:hAnsi="Times New Roman"/>
          <w:sz w:val="14"/>
          <w:szCs w:val="14"/>
          <w:color w:val="auto"/>
        </w:rPr>
        <w:t>"Investments, at fair value" in the accompanying Condensed Consolidated Balance Sheets. At June 30, 2025, Westwood Trust had approximately $11.9 million in excess of its minimum capital requirement.</w:t>
      </w:r>
    </w:p>
    <w:p>
      <w:pPr>
        <w:spacing w:after="0" w:line="39" w:lineRule="exact"/>
        <w:rPr>
          <w:sz w:val="20"/>
          <w:szCs w:val="20"/>
          <w:color w:val="auto"/>
        </w:rPr>
      </w:pPr>
    </w:p>
    <w:p>
      <w:pPr>
        <w:ind w:right="60" w:firstLine="382"/>
        <w:spacing w:after="0" w:line="261" w:lineRule="auto"/>
        <w:rPr>
          <w:sz w:val="20"/>
          <w:szCs w:val="20"/>
          <w:color w:val="auto"/>
        </w:rPr>
      </w:pPr>
      <w:r>
        <w:rPr>
          <w:rFonts w:ascii="Times New Roman" w:cs="Times New Roman" w:eastAsia="Times New Roman" w:hAnsi="Times New Roman"/>
          <w:sz w:val="14"/>
          <w:szCs w:val="14"/>
          <w:color w:val="auto"/>
        </w:rPr>
        <w:t>Our future liquidity and capital requirements will depend upon numerous factors, including our results of operations, the timing and magnitude of capital expenditures or strategic initiatives, our dividend policy and other business and risk factors described under “Risk Factors” in our Annual Report on Form 10-K for the year ended December 31, 2024. We believe that current cash and short-term investment balances plus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Failure to raise needed capital on attractive terms, if at all, could have a material adverse effect on our business, financial condition and results of operations.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Critical and Significant Accounting Policies and Estimates</w:t>
      </w:r>
    </w:p>
    <w:p>
      <w:pPr>
        <w:spacing w:after="0" w:line="96" w:lineRule="exact"/>
        <w:rPr>
          <w:sz w:val="20"/>
          <w:szCs w:val="20"/>
          <w:color w:val="auto"/>
        </w:rPr>
      </w:pPr>
    </w:p>
    <w:p>
      <w:pPr>
        <w:ind w:right="20" w:firstLine="382"/>
        <w:spacing w:after="0" w:line="264" w:lineRule="auto"/>
        <w:rPr>
          <w:sz w:val="20"/>
          <w:szCs w:val="20"/>
          <w:color w:val="auto"/>
        </w:rPr>
      </w:pPr>
      <w:r>
        <w:rPr>
          <w:rFonts w:ascii="Times New Roman" w:cs="Times New Roman" w:eastAsia="Times New Roman" w:hAnsi="Times New Roman"/>
          <w:sz w:val="14"/>
          <w:szCs w:val="14"/>
          <w:color w:val="auto"/>
        </w:rPr>
        <w:t>There have been no significant changes in our critical or significant accounting policies and estimates since December 31, 2024. Information with respect to our critical accounting policies and estimates that we believe could have the most significant effect on our reported consolidated results and require difficult, subjective or complex judgment by management is described under “Critical Accounting Policies and Estimates” in Part II, Item 7. “Management’s Discussion and Analysis of Financial Condition and Results of Operations” in our Annual Report on Form 10-K for the fiscal year ended December 31,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Accounting Developments</w:t>
      </w:r>
    </w:p>
    <w:p>
      <w:pPr>
        <w:spacing w:after="0" w:line="138" w:lineRule="exact"/>
        <w:rPr>
          <w:sz w:val="20"/>
          <w:szCs w:val="20"/>
          <w:color w:val="auto"/>
        </w:rPr>
      </w:pPr>
    </w:p>
    <w:p>
      <w:pPr>
        <w:ind w:right="40" w:firstLine="382"/>
        <w:spacing w:after="0" w:line="287" w:lineRule="auto"/>
        <w:rPr>
          <w:sz w:val="20"/>
          <w:szCs w:val="20"/>
          <w:color w:val="auto"/>
        </w:rPr>
      </w:pPr>
      <w:r>
        <w:rPr>
          <w:rFonts w:ascii="Times New Roman" w:cs="Times New Roman" w:eastAsia="Times New Roman" w:hAnsi="Times New Roman"/>
          <w:sz w:val="14"/>
          <w:szCs w:val="14"/>
          <w:color w:val="auto"/>
        </w:rPr>
        <w:t>Refer to Note 2 “Summary of Significant Accounting Policies” in our Condensed Consolidated Financial Statements included in Part I, Item 1. “Financial Statements” of this Quarterly Report on Form 10-Q for a description of recently issued accounting guidance.</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3.</w:t>
        <w:tab/>
        <w:t>QUANTITATIVE AND QUALITATIVE DISCLOSURES ABOUT MARKET RISK</w:t>
      </w:r>
    </w:p>
    <w:p>
      <w:pPr>
        <w:spacing w:after="0" w:line="96" w:lineRule="exact"/>
        <w:rPr>
          <w:sz w:val="20"/>
          <w:szCs w:val="20"/>
          <w:color w:val="auto"/>
        </w:rPr>
      </w:pPr>
    </w:p>
    <w:p>
      <w:pPr>
        <w:ind w:right="300" w:firstLine="382"/>
        <w:spacing w:after="0" w:line="287" w:lineRule="auto"/>
        <w:rPr>
          <w:sz w:val="20"/>
          <w:szCs w:val="20"/>
          <w:color w:val="auto"/>
        </w:rPr>
      </w:pPr>
      <w:r>
        <w:rPr>
          <w:rFonts w:ascii="Times New Roman" w:cs="Times New Roman" w:eastAsia="Times New Roman" w:hAnsi="Times New Roman"/>
          <w:sz w:val="14"/>
          <w:szCs w:val="14"/>
          <w:color w:val="auto"/>
        </w:rPr>
        <w:t>There have been no significant changes in our Quantitative and Qualitative Disclosures about Market Risk from those previously reported in our Annual Report on Form 10-K for the year ended December 31, 2024.</w:t>
      </w:r>
    </w:p>
    <w:p>
      <w:pPr>
        <w:spacing w:after="0" w:line="16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4.</w:t>
        <w:tab/>
        <w:t>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96" w:lineRule="exact"/>
        <w:rPr>
          <w:sz w:val="20"/>
          <w:szCs w:val="20"/>
          <w:color w:val="auto"/>
        </w:rPr>
      </w:pPr>
    </w:p>
    <w:p>
      <w:pPr>
        <w:ind w:firstLine="382"/>
        <w:spacing w:after="0" w:line="257" w:lineRule="auto"/>
        <w:rPr>
          <w:sz w:val="20"/>
          <w:szCs w:val="20"/>
          <w:color w:val="auto"/>
        </w:rPr>
      </w:pPr>
      <w:r>
        <w:rPr>
          <w:rFonts w:ascii="Times New Roman" w:cs="Times New Roman" w:eastAsia="Times New Roman" w:hAnsi="Times New Roman"/>
          <w:sz w:val="14"/>
          <w:szCs w:val="14"/>
          <w:color w:val="auto"/>
        </w:rPr>
        <w:t>Our disclosure controls and procedures are designed to ensure that information required to be disclosed in the reports we file or submit under the Securities Exchange Act of 1934, as amended (the “Exchange Act”), (1) is recorded, processed, summarized and reported within the time periods specified in the SEC’s rules and forms and (2) is accumulated and communicated to our management, including our Chief Executive Officer and our Chief Financial Officer, to allow timely decisions regarding required disclosure.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the end of the period covered by this report. Based on this evaluation, our management, including our Chief Executive Officer and our Chief Financial Officer, concluded that, as of the end of the period covered by this report, our disclosure controls and procedures were effective to ensure that information required to be disclosed in the reports we file or submit under the Exchange Act is recorded, processed, summarized and reported within the time periods specified in the SEC’s rules and forms and is accumulated and communicated to management, including our Chief Executive Officer and our Chief Financial Officer, as appropriate, to allow timely decisions regarding required disclosure.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Controls over Financial Reporting</w:t>
      </w:r>
    </w:p>
    <w:p>
      <w:pPr>
        <w:spacing w:after="0" w:line="96" w:lineRule="exact"/>
        <w:rPr>
          <w:sz w:val="20"/>
          <w:szCs w:val="20"/>
          <w:color w:val="auto"/>
        </w:rPr>
      </w:pPr>
    </w:p>
    <w:p>
      <w:pPr>
        <w:ind w:right="100" w:firstLine="382"/>
        <w:spacing w:after="0" w:line="287" w:lineRule="auto"/>
        <w:rPr>
          <w:sz w:val="20"/>
          <w:szCs w:val="20"/>
          <w:color w:val="auto"/>
        </w:rPr>
      </w:pPr>
      <w:r>
        <w:rPr>
          <w:rFonts w:ascii="Times New Roman" w:cs="Times New Roman" w:eastAsia="Times New Roman" w:hAnsi="Times New Roman"/>
          <w:sz w:val="14"/>
          <w:szCs w:val="14"/>
          <w:color w:val="auto"/>
        </w:rPr>
        <w:t>During the quarter ended June 30, 2025, there were no changes in our internal controls over financial reporting (as defined in Rule 13a-15(f) under the Exchange Act) that materially affected, or are reasonably likely to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7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3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w:t>
        <w:tab/>
        <w:t>LEGAL PROCEEDINGS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26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1A.</w:t>
        <w:tab/>
        <w:t>RISK FACTORS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business and future results may be affected by a number of risks and uncertainties that should be considered carefully. In addition, this report also contains forward-looking statements that involve risks and uncertainties. Our actual results could differ materially from those anticipated in such forward-looking statements as a result of certain factors, including the risks described in Part I, Item 1A of the Company’s Annual Report on Form 10-K for the year ended December 31, 2024 and the risks set forth below.</w:t>
      </w:r>
    </w:p>
    <w:p>
      <w:pPr>
        <w:spacing w:after="0" w:line="51" w:lineRule="exact"/>
        <w:rPr>
          <w:sz w:val="20"/>
          <w:szCs w:val="20"/>
          <w:color w:val="auto"/>
        </w:rPr>
      </w:pPr>
    </w:p>
    <w:p>
      <w:pPr>
        <w:ind w:firstLine="382"/>
        <w:spacing w:after="0" w:line="264" w:lineRule="auto"/>
        <w:rPr>
          <w:sz w:val="20"/>
          <w:szCs w:val="20"/>
          <w:color w:val="auto"/>
        </w:rPr>
      </w:pPr>
      <w:r>
        <w:rPr>
          <w:rFonts w:ascii="Times New Roman" w:cs="Times New Roman" w:eastAsia="Times New Roman" w:hAnsi="Times New Roman"/>
          <w:sz w:val="14"/>
          <w:szCs w:val="14"/>
          <w:color w:val="auto"/>
        </w:rPr>
        <w:t>There have been no material changes to the risk factors previously disclosed in the Form 10-K. You should carefully consider the following risks and the risks included in the Company’s Annual Report on Form 10-K, together with all of the other information in this Quarterly Report on Form 10-Q, including our unaudited condensed consolidated financial statements and the related notes included elsewhere in this Quarterly Report on Form 10-Q. The occurrence of any single risk or any combination of risks could materially and adversely affect our business, financial condition, results of operations, cash flows and the trading price of our common stock.</w:t>
      </w:r>
    </w:p>
    <w:p>
      <w:pPr>
        <w:spacing w:after="0" w:line="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2.</w:t>
        <w:tab/>
        <w:t>UNREGISTERED SALES OF EQUITY SECURITIES AND USE OF PROCEEDS</w:t>
      </w:r>
    </w:p>
    <w:p>
      <w:pPr>
        <w:spacing w:after="0" w:line="96" w:lineRule="exact"/>
        <w:rPr>
          <w:sz w:val="20"/>
          <w:szCs w:val="20"/>
          <w:color w:val="auto"/>
        </w:rPr>
      </w:pPr>
    </w:p>
    <w:p>
      <w:pPr>
        <w:ind w:right="360" w:firstLine="382"/>
        <w:spacing w:after="0" w:line="287" w:lineRule="auto"/>
        <w:rPr>
          <w:sz w:val="20"/>
          <w:szCs w:val="20"/>
          <w:color w:val="auto"/>
        </w:rPr>
      </w:pPr>
      <w:r>
        <w:rPr>
          <w:rFonts w:ascii="Times New Roman" w:cs="Times New Roman" w:eastAsia="Times New Roman" w:hAnsi="Times New Roman"/>
          <w:sz w:val="14"/>
          <w:szCs w:val="14"/>
          <w:color w:val="auto"/>
        </w:rPr>
        <w:t>Our share repurchase program has no expiration date and may be discontinued at any time by the Board of Directors. During the three months ended June 30, 2025, the Company did not repurchase any shares of our common stock.</w:t>
      </w:r>
    </w:p>
    <w:p>
      <w:pPr>
        <w:spacing w:after="0" w:line="3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3.</w:t>
        <w:tab/>
        <w:t>DEFAULTS UPON SENIOR SECURITIES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9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4.</w:t>
        <w:tab/>
        <w:t>MINE SAFETY DISCLOSURES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Not applicable.</w:t>
      </w:r>
    </w:p>
    <w:p>
      <w:pPr>
        <w:spacing w:after="0" w:line="9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5.</w:t>
        <w:tab/>
        <w:t>OTHER INFORMATION</w:t>
      </w:r>
    </w:p>
    <w:p>
      <w:pPr>
        <w:spacing w:after="0" w:line="96" w:lineRule="exact"/>
        <w:rPr>
          <w:sz w:val="20"/>
          <w:szCs w:val="20"/>
          <w:color w:val="auto"/>
        </w:rPr>
      </w:pPr>
    </w:p>
    <w:p>
      <w:pPr>
        <w:ind w:right="140" w:firstLine="382"/>
        <w:spacing w:after="0" w:line="287" w:lineRule="auto"/>
        <w:rPr>
          <w:sz w:val="20"/>
          <w:szCs w:val="20"/>
          <w:color w:val="auto"/>
        </w:rPr>
      </w:pPr>
      <w:r>
        <w:rPr>
          <w:rFonts w:ascii="Times New Roman" w:cs="Times New Roman" w:eastAsia="Times New Roman" w:hAnsi="Times New Roman"/>
          <w:sz w:val="14"/>
          <w:szCs w:val="14"/>
          <w:color w:val="auto"/>
        </w:rPr>
        <w:t>During the quarter ended June 30, 2025, none of our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014" w:right="3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6"/>
        </w:trPr>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6.</w:t>
            </w:r>
          </w:p>
        </w:tc>
        <w:tc>
          <w:tcPr>
            <w:tcW w:w="93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EXHIBITS</w:t>
            </w:r>
          </w:p>
        </w:tc>
      </w:tr>
      <w:tr>
        <w:trPr>
          <w:trHeight w:val="244"/>
        </w:trPr>
        <w:tc>
          <w:tcPr>
            <w:tcW w:w="600" w:type="dxa"/>
            <w:vAlign w:val="bottom"/>
          </w:tcPr>
          <w:p>
            <w:pPr>
              <w:spacing w:after="0"/>
              <w:rPr>
                <w:sz w:val="21"/>
                <w:szCs w:val="21"/>
                <w:color w:val="auto"/>
              </w:rPr>
            </w:pPr>
          </w:p>
        </w:tc>
        <w:tc>
          <w:tcPr>
            <w:tcW w:w="9300" w:type="dxa"/>
            <w:vAlign w:val="bottom"/>
          </w:tcPr>
          <w:p>
            <w:pPr>
              <w:ind w:left="680"/>
              <w:spacing w:after="0"/>
              <w:rPr>
                <w:rFonts w:ascii="Times New Roman" w:cs="Times New Roman" w:eastAsia="Times New Roman" w:hAnsi="Times New Roman"/>
                <w:sz w:val="14"/>
                <w:szCs w:val="14"/>
                <w:color w:val="0000FF"/>
              </w:rPr>
            </w:pPr>
            <w:hyperlink r:id="rId40">
              <w:r>
                <w:rPr>
                  <w:rFonts w:ascii="Times New Roman" w:cs="Times New Roman" w:eastAsia="Times New Roman" w:hAnsi="Times New Roman"/>
                  <w:sz w:val="14"/>
                  <w:szCs w:val="14"/>
                  <w:color w:val="0000FF"/>
                </w:rPr>
                <w:t>Securities Purchase Agreement by and among Westwood Holdings Group, Inc., McCarthy Group Advisors, LLC, MGA Holdings, LLC, and The</w:t>
              </w:r>
            </w:hyperlink>
          </w:p>
        </w:tc>
      </w:tr>
      <w:tr>
        <w:trPr>
          <w:trHeight w:val="191"/>
        </w:trPr>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2.1</w:t>
            </w:r>
          </w:p>
        </w:tc>
        <w:tc>
          <w:tcPr>
            <w:tcW w:w="9300" w:type="dxa"/>
            <w:vAlign w:val="bottom"/>
          </w:tcPr>
          <w:p>
            <w:pPr>
              <w:ind w:left="680"/>
              <w:spacing w:after="0"/>
              <w:rPr>
                <w:rFonts w:ascii="Times New Roman" w:cs="Times New Roman" w:eastAsia="Times New Roman" w:hAnsi="Times New Roman"/>
                <w:sz w:val="14"/>
                <w:szCs w:val="14"/>
                <w:color w:val="0000FF"/>
              </w:rPr>
            </w:pPr>
            <w:hyperlink r:id="rId40">
              <w:r>
                <w:rPr>
                  <w:rFonts w:ascii="Times New Roman" w:cs="Times New Roman" w:eastAsia="Times New Roman" w:hAnsi="Times New Roman"/>
                  <w:sz w:val="14"/>
                  <w:szCs w:val="14"/>
                  <w:color w:val="0000FF"/>
                </w:rPr>
                <w:t>Members of MGA Holdings, LLC (incorporated by reference from the Form 10-K filed with the SEC on February 28, 2013)</w:t>
              </w:r>
            </w:hyperlink>
          </w:p>
        </w:tc>
      </w:tr>
      <w:tr>
        <w:trPr>
          <w:trHeight w:val="223"/>
        </w:trPr>
        <w:tc>
          <w:tcPr>
            <w:tcW w:w="600" w:type="dxa"/>
            <w:vAlign w:val="bottom"/>
          </w:tcPr>
          <w:p>
            <w:pPr>
              <w:spacing w:after="0"/>
              <w:rPr>
                <w:sz w:val="19"/>
                <w:szCs w:val="19"/>
                <w:color w:val="auto"/>
              </w:rPr>
            </w:pPr>
          </w:p>
        </w:tc>
        <w:tc>
          <w:tcPr>
            <w:tcW w:w="9300" w:type="dxa"/>
            <w:vAlign w:val="bottom"/>
          </w:tcPr>
          <w:p>
            <w:pPr>
              <w:ind w:left="680"/>
              <w:spacing w:after="0"/>
              <w:rPr>
                <w:rFonts w:ascii="Times New Roman" w:cs="Times New Roman" w:eastAsia="Times New Roman" w:hAnsi="Times New Roman"/>
                <w:sz w:val="14"/>
                <w:szCs w:val="14"/>
                <w:color w:val="0000FF"/>
              </w:rPr>
            </w:pPr>
            <w:hyperlink r:id="rId41">
              <w:r>
                <w:rPr>
                  <w:rFonts w:ascii="Times New Roman" w:cs="Times New Roman" w:eastAsia="Times New Roman" w:hAnsi="Times New Roman"/>
                  <w:sz w:val="14"/>
                  <w:szCs w:val="14"/>
                  <w:color w:val="0000FF"/>
                </w:rPr>
                <w:t>Reorganization Agreement and Agreement and Plan of Merger dated as of January 15, 2015 by and among Westwood Holdings Group, Inc., Westwood</w:t>
              </w:r>
            </w:hyperlink>
          </w:p>
        </w:tc>
      </w:tr>
      <w:tr>
        <w:trPr>
          <w:trHeight w:val="144"/>
        </w:trPr>
        <w:tc>
          <w:tcPr>
            <w:tcW w:w="600" w:type="dxa"/>
            <w:vAlign w:val="bottom"/>
          </w:tcPr>
          <w:p>
            <w:pPr>
              <w:spacing w:after="0"/>
              <w:rPr>
                <w:sz w:val="12"/>
                <w:szCs w:val="12"/>
                <w:color w:val="auto"/>
              </w:rPr>
            </w:pPr>
          </w:p>
        </w:tc>
        <w:tc>
          <w:tcPr>
            <w:tcW w:w="9300" w:type="dxa"/>
            <w:vAlign w:val="bottom"/>
          </w:tcPr>
          <w:p>
            <w:pPr>
              <w:ind w:left="680"/>
              <w:spacing w:after="0" w:line="145" w:lineRule="exact"/>
              <w:rPr>
                <w:rFonts w:ascii="Times New Roman" w:cs="Times New Roman" w:eastAsia="Times New Roman" w:hAnsi="Times New Roman"/>
                <w:sz w:val="14"/>
                <w:szCs w:val="14"/>
                <w:color w:val="0000FF"/>
              </w:rPr>
            </w:pPr>
            <w:hyperlink r:id="rId41">
              <w:r>
                <w:rPr>
                  <w:rFonts w:ascii="Times New Roman" w:cs="Times New Roman" w:eastAsia="Times New Roman" w:hAnsi="Times New Roman"/>
                  <w:sz w:val="14"/>
                  <w:szCs w:val="14"/>
                  <w:color w:val="0000FF"/>
                </w:rPr>
                <w:t>Trust, Woodway Financial Advisors, A Trust Company and the Shareholders of Woodway Financial Advisors, A Trust Company (incorporated by</w:t>
              </w:r>
            </w:hyperlink>
          </w:p>
        </w:tc>
      </w:tr>
      <w:tr>
        <w:trPr>
          <w:trHeight w:val="184"/>
        </w:trPr>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2.2</w:t>
            </w:r>
          </w:p>
        </w:tc>
        <w:tc>
          <w:tcPr>
            <w:tcW w:w="9300" w:type="dxa"/>
            <w:vAlign w:val="bottom"/>
          </w:tcPr>
          <w:p>
            <w:pPr>
              <w:ind w:left="680"/>
              <w:spacing w:after="0"/>
              <w:rPr>
                <w:rFonts w:ascii="Times New Roman" w:cs="Times New Roman" w:eastAsia="Times New Roman" w:hAnsi="Times New Roman"/>
                <w:sz w:val="14"/>
                <w:szCs w:val="14"/>
                <w:color w:val="0000FF"/>
              </w:rPr>
            </w:pPr>
            <w:hyperlink r:id="rId41">
              <w:r>
                <w:rPr>
                  <w:rFonts w:ascii="Times New Roman" w:cs="Times New Roman" w:eastAsia="Times New Roman" w:hAnsi="Times New Roman"/>
                  <w:sz w:val="14"/>
                  <w:szCs w:val="14"/>
                  <w:color w:val="0000FF"/>
                </w:rPr>
                <w:t>reference from the Form 8-K filed with the SEC on January 16, 2015)</w:t>
              </w:r>
            </w:hyperlink>
          </w:p>
        </w:tc>
      </w:tr>
      <w:tr>
        <w:trPr>
          <w:trHeight w:val="223"/>
        </w:trPr>
        <w:tc>
          <w:tcPr>
            <w:tcW w:w="600" w:type="dxa"/>
            <w:vAlign w:val="bottom"/>
          </w:tcPr>
          <w:p>
            <w:pPr>
              <w:spacing w:after="0"/>
              <w:rPr>
                <w:sz w:val="19"/>
                <w:szCs w:val="19"/>
                <w:color w:val="auto"/>
              </w:rPr>
            </w:pPr>
          </w:p>
        </w:tc>
        <w:tc>
          <w:tcPr>
            <w:tcW w:w="9300" w:type="dxa"/>
            <w:vAlign w:val="bottom"/>
          </w:tcPr>
          <w:p>
            <w:pPr>
              <w:ind w:left="680"/>
              <w:spacing w:after="0"/>
              <w:rPr>
                <w:rFonts w:ascii="Times New Roman" w:cs="Times New Roman" w:eastAsia="Times New Roman" w:hAnsi="Times New Roman"/>
                <w:sz w:val="14"/>
                <w:szCs w:val="14"/>
                <w:color w:val="0000FF"/>
              </w:rPr>
            </w:pPr>
            <w:hyperlink r:id="rId42">
              <w:r>
                <w:rPr>
                  <w:rFonts w:ascii="Times New Roman" w:cs="Times New Roman" w:eastAsia="Times New Roman" w:hAnsi="Times New Roman"/>
                  <w:sz w:val="14"/>
                  <w:szCs w:val="14"/>
                  <w:color w:val="0000FF"/>
                </w:rPr>
                <w:t>Purchase Agreement, dated May 25, 2022, by and among Westwood Holdings Group, Inc., Salient Capital Management, LLC, Salient Partners, L.P. and</w:t>
              </w:r>
            </w:hyperlink>
          </w:p>
        </w:tc>
      </w:tr>
      <w:tr>
        <w:trPr>
          <w:trHeight w:val="191"/>
        </w:trPr>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2.3</w:t>
            </w:r>
          </w:p>
        </w:tc>
        <w:tc>
          <w:tcPr>
            <w:tcW w:w="9300" w:type="dxa"/>
            <w:vAlign w:val="bottom"/>
          </w:tcPr>
          <w:p>
            <w:pPr>
              <w:ind w:left="680"/>
              <w:spacing w:after="0"/>
              <w:rPr>
                <w:rFonts w:ascii="Times New Roman" w:cs="Times New Roman" w:eastAsia="Times New Roman" w:hAnsi="Times New Roman"/>
                <w:sz w:val="14"/>
                <w:szCs w:val="14"/>
                <w:color w:val="0000FF"/>
              </w:rPr>
            </w:pPr>
            <w:hyperlink r:id="rId42">
              <w:r>
                <w:rPr>
                  <w:rFonts w:ascii="Times New Roman" w:cs="Times New Roman" w:eastAsia="Times New Roman" w:hAnsi="Times New Roman"/>
                  <w:sz w:val="14"/>
                  <w:szCs w:val="14"/>
                  <w:color w:val="0000FF"/>
                </w:rPr>
                <w:t>the other Seller parties identified on Annex I (incorporated by reference from the Form 8-K filed with the SEC on May 26, 2022)</w:t>
              </w:r>
            </w:hyperlink>
          </w:p>
        </w:tc>
      </w:tr>
      <w:tr>
        <w:trPr>
          <w:trHeight w:val="223"/>
        </w:trPr>
        <w:tc>
          <w:tcPr>
            <w:tcW w:w="600" w:type="dxa"/>
            <w:vAlign w:val="bottom"/>
          </w:tcPr>
          <w:p>
            <w:pPr>
              <w:spacing w:after="0"/>
              <w:rPr>
                <w:sz w:val="19"/>
                <w:szCs w:val="19"/>
                <w:color w:val="auto"/>
              </w:rPr>
            </w:pPr>
          </w:p>
        </w:tc>
        <w:tc>
          <w:tcPr>
            <w:tcW w:w="9300" w:type="dxa"/>
            <w:vAlign w:val="bottom"/>
          </w:tcPr>
          <w:p>
            <w:pPr>
              <w:ind w:left="680"/>
              <w:spacing w:after="0"/>
              <w:rPr>
                <w:rFonts w:ascii="Times New Roman" w:cs="Times New Roman" w:eastAsia="Times New Roman" w:hAnsi="Times New Roman"/>
                <w:sz w:val="14"/>
                <w:szCs w:val="14"/>
                <w:color w:val="0000FF"/>
              </w:rPr>
            </w:pPr>
            <w:hyperlink r:id="rId43">
              <w:r>
                <w:rPr>
                  <w:rFonts w:ascii="Times New Roman" w:cs="Times New Roman" w:eastAsia="Times New Roman" w:hAnsi="Times New Roman"/>
                  <w:sz w:val="14"/>
                  <w:szCs w:val="14"/>
                  <w:color w:val="0000FF"/>
                </w:rPr>
                <w:t>Amended and Restated Certificate of Incorporation of Westwood Holdings Group, Inc. (incorporated by reference from the Form S-8 filed with the SEC</w:t>
              </w:r>
            </w:hyperlink>
          </w:p>
        </w:tc>
      </w:tr>
      <w:tr>
        <w:trPr>
          <w:trHeight w:val="191"/>
        </w:trPr>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9300" w:type="dxa"/>
            <w:vAlign w:val="bottom"/>
          </w:tcPr>
          <w:p>
            <w:pPr>
              <w:ind w:left="680"/>
              <w:spacing w:after="0"/>
              <w:rPr>
                <w:rFonts w:ascii="Times New Roman" w:cs="Times New Roman" w:eastAsia="Times New Roman" w:hAnsi="Times New Roman"/>
                <w:sz w:val="14"/>
                <w:szCs w:val="14"/>
                <w:color w:val="0000FF"/>
              </w:rPr>
            </w:pPr>
            <w:hyperlink r:id="rId43">
              <w:r>
                <w:rPr>
                  <w:rFonts w:ascii="Times New Roman" w:cs="Times New Roman" w:eastAsia="Times New Roman" w:hAnsi="Times New Roman"/>
                  <w:sz w:val="14"/>
                  <w:szCs w:val="14"/>
                  <w:color w:val="0000FF"/>
                </w:rPr>
                <w:t>on September 28, 2022)</w:t>
              </w:r>
            </w:hyperlink>
          </w:p>
        </w:tc>
      </w:tr>
      <w:tr>
        <w:trPr>
          <w:trHeight w:val="223"/>
        </w:trPr>
        <w:tc>
          <w:tcPr>
            <w:tcW w:w="600" w:type="dxa"/>
            <w:vAlign w:val="bottom"/>
          </w:tcPr>
          <w:p>
            <w:pPr>
              <w:spacing w:after="0"/>
              <w:rPr>
                <w:sz w:val="19"/>
                <w:szCs w:val="19"/>
                <w:color w:val="auto"/>
              </w:rPr>
            </w:pPr>
          </w:p>
        </w:tc>
        <w:tc>
          <w:tcPr>
            <w:tcW w:w="9300" w:type="dxa"/>
            <w:vAlign w:val="bottom"/>
          </w:tcPr>
          <w:p>
            <w:pPr>
              <w:ind w:left="680"/>
              <w:spacing w:after="0"/>
              <w:rPr>
                <w:rFonts w:ascii="Times New Roman" w:cs="Times New Roman" w:eastAsia="Times New Roman" w:hAnsi="Times New Roman"/>
                <w:sz w:val="14"/>
                <w:szCs w:val="14"/>
                <w:color w:val="0000FF"/>
              </w:rPr>
            </w:pPr>
            <w:hyperlink r:id="rId44">
              <w:r>
                <w:rPr>
                  <w:rFonts w:ascii="Times New Roman" w:cs="Times New Roman" w:eastAsia="Times New Roman" w:hAnsi="Times New Roman"/>
                  <w:sz w:val="14"/>
                  <w:szCs w:val="14"/>
                  <w:color w:val="0000FF"/>
                </w:rPr>
                <w:t>Certificate of Amendment to Certificate of Formation of Westwood Holdings Group, Inc. (incorporated by reference to the Form 8-K filed with the SEC</w:t>
              </w:r>
            </w:hyperlink>
          </w:p>
        </w:tc>
      </w:tr>
      <w:tr>
        <w:trPr>
          <w:trHeight w:val="191"/>
        </w:trPr>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9300" w:type="dxa"/>
            <w:vAlign w:val="bottom"/>
          </w:tcPr>
          <w:p>
            <w:pPr>
              <w:ind w:left="680"/>
              <w:spacing w:after="0"/>
              <w:rPr>
                <w:rFonts w:ascii="Times New Roman" w:cs="Times New Roman" w:eastAsia="Times New Roman" w:hAnsi="Times New Roman"/>
                <w:sz w:val="14"/>
                <w:szCs w:val="14"/>
                <w:color w:val="0000FF"/>
              </w:rPr>
            </w:pPr>
            <w:hyperlink r:id="rId44">
              <w:r>
                <w:rPr>
                  <w:rFonts w:ascii="Times New Roman" w:cs="Times New Roman" w:eastAsia="Times New Roman" w:hAnsi="Times New Roman"/>
                  <w:sz w:val="14"/>
                  <w:szCs w:val="14"/>
                  <w:color w:val="0000FF"/>
                </w:rPr>
                <w:t>on December 2, 2024)</w:t>
              </w:r>
            </w:hyperlink>
          </w:p>
        </w:tc>
      </w:tr>
      <w:tr>
        <w:trPr>
          <w:trHeight w:val="223"/>
        </w:trPr>
        <w:tc>
          <w:tcPr>
            <w:tcW w:w="600" w:type="dxa"/>
            <w:vAlign w:val="bottom"/>
          </w:tcPr>
          <w:p>
            <w:pPr>
              <w:spacing w:after="0"/>
              <w:rPr>
                <w:sz w:val="19"/>
                <w:szCs w:val="19"/>
                <w:color w:val="auto"/>
              </w:rPr>
            </w:pPr>
          </w:p>
        </w:tc>
        <w:tc>
          <w:tcPr>
            <w:tcW w:w="9300" w:type="dxa"/>
            <w:vAlign w:val="bottom"/>
          </w:tcPr>
          <w:p>
            <w:pPr>
              <w:ind w:left="680"/>
              <w:spacing w:after="0"/>
              <w:rPr>
                <w:rFonts w:ascii="Times New Roman" w:cs="Times New Roman" w:eastAsia="Times New Roman" w:hAnsi="Times New Roman"/>
                <w:sz w:val="14"/>
                <w:szCs w:val="14"/>
                <w:color w:val="0000FF"/>
              </w:rPr>
            </w:pPr>
            <w:hyperlink r:id="rId45">
              <w:r>
                <w:rPr>
                  <w:rFonts w:ascii="Times New Roman" w:cs="Times New Roman" w:eastAsia="Times New Roman" w:hAnsi="Times New Roman"/>
                  <w:sz w:val="14"/>
                  <w:szCs w:val="14"/>
                  <w:color w:val="0000FF"/>
                </w:rPr>
                <w:t>Amended and Restated Bylaws of Westwood Holdings Group, Inc. (incorporated by reference from the Form 8-K filed with the SEC on November 2,</w:t>
              </w:r>
            </w:hyperlink>
          </w:p>
        </w:tc>
      </w:tr>
      <w:tr>
        <w:trPr>
          <w:trHeight w:val="191"/>
        </w:trPr>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w:t>
            </w:r>
          </w:p>
        </w:tc>
        <w:tc>
          <w:tcPr>
            <w:tcW w:w="9300" w:type="dxa"/>
            <w:vAlign w:val="bottom"/>
          </w:tcPr>
          <w:p>
            <w:pPr>
              <w:ind w:left="680"/>
              <w:spacing w:after="0"/>
              <w:rPr>
                <w:rFonts w:ascii="Times New Roman" w:cs="Times New Roman" w:eastAsia="Times New Roman" w:hAnsi="Times New Roman"/>
                <w:sz w:val="14"/>
                <w:szCs w:val="14"/>
                <w:color w:val="0000FF"/>
              </w:rPr>
            </w:pPr>
            <w:hyperlink r:id="rId45">
              <w:r>
                <w:rPr>
                  <w:rFonts w:ascii="Times New Roman" w:cs="Times New Roman" w:eastAsia="Times New Roman" w:hAnsi="Times New Roman"/>
                  <w:sz w:val="14"/>
                  <w:szCs w:val="14"/>
                  <w:color w:val="0000FF"/>
                </w:rPr>
                <w:t>2021)</w:t>
              </w:r>
            </w:hyperlink>
          </w:p>
        </w:tc>
      </w:tr>
      <w:tr>
        <w:trPr>
          <w:trHeight w:val="223"/>
        </w:trPr>
        <w:tc>
          <w:tcPr>
            <w:tcW w:w="600" w:type="dxa"/>
            <w:vAlign w:val="bottom"/>
          </w:tcPr>
          <w:p>
            <w:pPr>
              <w:spacing w:after="0"/>
              <w:rPr>
                <w:sz w:val="19"/>
                <w:szCs w:val="19"/>
                <w:color w:val="auto"/>
              </w:rPr>
            </w:pPr>
          </w:p>
        </w:tc>
        <w:tc>
          <w:tcPr>
            <w:tcW w:w="9300" w:type="dxa"/>
            <w:vAlign w:val="bottom"/>
          </w:tcPr>
          <w:p>
            <w:pPr>
              <w:ind w:left="680"/>
              <w:spacing w:after="0"/>
              <w:rPr>
                <w:rFonts w:ascii="Times New Roman" w:cs="Times New Roman" w:eastAsia="Times New Roman" w:hAnsi="Times New Roman"/>
                <w:sz w:val="14"/>
                <w:szCs w:val="14"/>
                <w:color w:val="0000FF"/>
              </w:rPr>
            </w:pPr>
            <w:hyperlink r:id="rId46">
              <w:r>
                <w:rPr>
                  <w:rFonts w:ascii="Times New Roman" w:cs="Times New Roman" w:eastAsia="Times New Roman" w:hAnsi="Times New Roman"/>
                  <w:sz w:val="14"/>
                  <w:szCs w:val="14"/>
                  <w:color w:val="0000FF"/>
                </w:rPr>
                <w:t>Form of Common Stock Certificate of Westwood Holdings Group, Inc. (incorporated by reference from Amendment No. 2 to Registration Statement on</w:t>
              </w:r>
            </w:hyperlink>
          </w:p>
        </w:tc>
      </w:tr>
      <w:tr>
        <w:trPr>
          <w:trHeight w:val="191"/>
        </w:trPr>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9300" w:type="dxa"/>
            <w:vAlign w:val="bottom"/>
          </w:tcPr>
          <w:p>
            <w:pPr>
              <w:ind w:left="680"/>
              <w:spacing w:after="0"/>
              <w:rPr>
                <w:rFonts w:ascii="Times New Roman" w:cs="Times New Roman" w:eastAsia="Times New Roman" w:hAnsi="Times New Roman"/>
                <w:sz w:val="14"/>
                <w:szCs w:val="14"/>
                <w:color w:val="0000FF"/>
              </w:rPr>
            </w:pPr>
            <w:hyperlink r:id="rId46">
              <w:r>
                <w:rPr>
                  <w:rFonts w:ascii="Times New Roman" w:cs="Times New Roman" w:eastAsia="Times New Roman" w:hAnsi="Times New Roman"/>
                  <w:sz w:val="14"/>
                  <w:szCs w:val="14"/>
                  <w:color w:val="0000FF"/>
                </w:rPr>
                <w:t>Form 10/A filed with the SEC on April 30, 2002)</w:t>
              </w:r>
            </w:hyperlink>
          </w:p>
        </w:tc>
      </w:tr>
      <w:tr>
        <w:trPr>
          <w:trHeight w:val="265"/>
        </w:trPr>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9300" w:type="dxa"/>
            <w:vAlign w:val="bottom"/>
          </w:tcPr>
          <w:p>
            <w:pPr>
              <w:ind w:left="680"/>
              <w:spacing w:after="0"/>
              <w:rPr>
                <w:sz w:val="20"/>
                <w:szCs w:val="20"/>
                <w:color w:val="auto"/>
              </w:rPr>
            </w:pPr>
            <w:r>
              <w:rPr>
                <w:rFonts w:ascii="Times New Roman" w:cs="Times New Roman" w:eastAsia="Times New Roman" w:hAnsi="Times New Roman"/>
                <w:sz w:val="14"/>
                <w:szCs w:val="14"/>
                <w:color w:val="0000FF"/>
              </w:rPr>
              <w:t>Eighteenth Modification of Office Lease between Westwood Management Corp. and Crescent TC Investors LP, dated as of June 24, 2025</w:t>
            </w:r>
          </w:p>
        </w:tc>
      </w:tr>
      <w:tr>
        <w:trPr>
          <w:trHeight w:val="265"/>
        </w:trPr>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9300" w:type="dxa"/>
            <w:vAlign w:val="bottom"/>
          </w:tcPr>
          <w:p>
            <w:pPr>
              <w:ind w:left="680"/>
              <w:spacing w:after="0"/>
              <w:rPr>
                <w:sz w:val="20"/>
                <w:szCs w:val="20"/>
                <w:color w:val="auto"/>
              </w:rPr>
            </w:pPr>
            <w:r>
              <w:rPr>
                <w:rFonts w:ascii="Times New Roman" w:cs="Times New Roman" w:eastAsia="Times New Roman" w:hAnsi="Times New Roman"/>
                <w:sz w:val="14"/>
                <w:szCs w:val="14"/>
                <w:color w:val="0000FF"/>
              </w:rPr>
              <w:t>Certification of Chief Executive Officer Pursuant to Securities Exchange Act Rule 13a-14(a)</w:t>
            </w:r>
          </w:p>
        </w:tc>
      </w:tr>
      <w:tr>
        <w:trPr>
          <w:trHeight w:val="265"/>
        </w:trPr>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9300" w:type="dxa"/>
            <w:vAlign w:val="bottom"/>
          </w:tcPr>
          <w:p>
            <w:pPr>
              <w:ind w:left="680"/>
              <w:spacing w:after="0"/>
              <w:rPr>
                <w:sz w:val="20"/>
                <w:szCs w:val="20"/>
                <w:color w:val="auto"/>
              </w:rPr>
            </w:pPr>
            <w:r>
              <w:rPr>
                <w:rFonts w:ascii="Times New Roman" w:cs="Times New Roman" w:eastAsia="Times New Roman" w:hAnsi="Times New Roman"/>
                <w:sz w:val="14"/>
                <w:szCs w:val="14"/>
                <w:color w:val="0000FF"/>
              </w:rPr>
              <w:t>Certification of Chief Financial Officer Pursuant to Securities Exchange Act Rule 13a-14(a)</w:t>
            </w:r>
          </w:p>
        </w:tc>
      </w:tr>
      <w:tr>
        <w:trPr>
          <w:trHeight w:val="265"/>
        </w:trPr>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9300" w:type="dxa"/>
            <w:vAlign w:val="bottom"/>
          </w:tcPr>
          <w:p>
            <w:pPr>
              <w:ind w:left="680"/>
              <w:spacing w:after="0"/>
              <w:rPr>
                <w:sz w:val="20"/>
                <w:szCs w:val="20"/>
                <w:color w:val="auto"/>
              </w:rPr>
            </w:pPr>
            <w:r>
              <w:rPr>
                <w:rFonts w:ascii="Times New Roman" w:cs="Times New Roman" w:eastAsia="Times New Roman" w:hAnsi="Times New Roman"/>
                <w:sz w:val="14"/>
                <w:szCs w:val="14"/>
                <w:color w:val="0000FF"/>
              </w:rPr>
              <w:t>Certification of Chief Executive Officer Pursuant to 18 U.S.C. Section 1350, as Adopted Pursuant to Section 906 of the Sarbanes-Oxley Act of 2002</w:t>
            </w:r>
          </w:p>
        </w:tc>
      </w:tr>
      <w:tr>
        <w:trPr>
          <w:trHeight w:val="265"/>
        </w:trPr>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32.2**</w:t>
            </w:r>
          </w:p>
        </w:tc>
        <w:tc>
          <w:tcPr>
            <w:tcW w:w="9300" w:type="dxa"/>
            <w:vAlign w:val="bottom"/>
          </w:tcPr>
          <w:p>
            <w:pPr>
              <w:ind w:left="680"/>
              <w:spacing w:after="0"/>
              <w:rPr>
                <w:sz w:val="20"/>
                <w:szCs w:val="20"/>
                <w:color w:val="auto"/>
              </w:rPr>
            </w:pPr>
            <w:r>
              <w:rPr>
                <w:rFonts w:ascii="Times New Roman" w:cs="Times New Roman" w:eastAsia="Times New Roman" w:hAnsi="Times New Roman"/>
                <w:sz w:val="14"/>
                <w:szCs w:val="14"/>
                <w:color w:val="0000FF"/>
              </w:rPr>
              <w:t>Certification of Chief Financial Officer Pursuant to 18 U.S.C. Section 1350, as Adopted Pursuant to Section 906 of the Sarbanes-Oxley Act of 2002</w:t>
            </w:r>
          </w:p>
        </w:tc>
      </w:tr>
      <w:tr>
        <w:trPr>
          <w:trHeight w:val="223"/>
        </w:trPr>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93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The following financial information from Westwood Holdings Group, Inc.'s Quarterly Report on Form 10-Q for the period ended June 30, 2025,</w:t>
            </w:r>
          </w:p>
        </w:tc>
      </w:tr>
      <w:tr>
        <w:trPr>
          <w:trHeight w:val="144"/>
        </w:trPr>
        <w:tc>
          <w:tcPr>
            <w:tcW w:w="600" w:type="dxa"/>
            <w:vAlign w:val="bottom"/>
          </w:tcPr>
          <w:p>
            <w:pPr>
              <w:spacing w:after="0"/>
              <w:rPr>
                <w:sz w:val="12"/>
                <w:szCs w:val="12"/>
                <w:color w:val="auto"/>
              </w:rPr>
            </w:pPr>
          </w:p>
        </w:tc>
        <w:tc>
          <w:tcPr>
            <w:tcW w:w="9300" w:type="dxa"/>
            <w:vAlign w:val="bottom"/>
          </w:tcPr>
          <w:p>
            <w:pPr>
              <w:ind w:left="680"/>
              <w:spacing w:after="0" w:line="145" w:lineRule="exact"/>
              <w:rPr>
                <w:sz w:val="20"/>
                <w:szCs w:val="20"/>
                <w:color w:val="auto"/>
              </w:rPr>
            </w:pPr>
            <w:r>
              <w:rPr>
                <w:rFonts w:ascii="Times New Roman" w:cs="Times New Roman" w:eastAsia="Times New Roman" w:hAnsi="Times New Roman"/>
                <w:sz w:val="14"/>
                <w:szCs w:val="14"/>
                <w:color w:val="auto"/>
              </w:rPr>
              <w:t>formatted in Inline eXtensible Business Reporting Language (iXBRL): (i) Condensed Consolidated Balance Sheets as of June 30, 2025 and December</w:t>
            </w:r>
          </w:p>
        </w:tc>
      </w:tr>
      <w:tr>
        <w:trPr>
          <w:trHeight w:val="142"/>
        </w:trPr>
        <w:tc>
          <w:tcPr>
            <w:tcW w:w="600" w:type="dxa"/>
            <w:vAlign w:val="bottom"/>
          </w:tcPr>
          <w:p>
            <w:pPr>
              <w:spacing w:after="0"/>
              <w:rPr>
                <w:sz w:val="12"/>
                <w:szCs w:val="12"/>
                <w:color w:val="auto"/>
              </w:rPr>
            </w:pPr>
          </w:p>
        </w:tc>
        <w:tc>
          <w:tcPr>
            <w:tcW w:w="9300" w:type="dxa"/>
            <w:vAlign w:val="bottom"/>
          </w:tcPr>
          <w:p>
            <w:pPr>
              <w:ind w:left="680"/>
              <w:spacing w:after="0" w:line="142" w:lineRule="exact"/>
              <w:rPr>
                <w:sz w:val="20"/>
                <w:szCs w:val="20"/>
                <w:color w:val="auto"/>
              </w:rPr>
            </w:pPr>
            <w:r>
              <w:rPr>
                <w:rFonts w:ascii="Times New Roman" w:cs="Times New Roman" w:eastAsia="Times New Roman" w:hAnsi="Times New Roman"/>
                <w:sz w:val="14"/>
                <w:szCs w:val="14"/>
                <w:color w:val="auto"/>
              </w:rPr>
              <w:t>31, 2024; (ii) Condensed Consolidated Statements of Operations for the three and six months ended June 30, 2025 and 2024; (iii) Condensed</w:t>
            </w:r>
          </w:p>
        </w:tc>
      </w:tr>
      <w:tr>
        <w:trPr>
          <w:trHeight w:val="138"/>
        </w:trPr>
        <w:tc>
          <w:tcPr>
            <w:tcW w:w="600" w:type="dxa"/>
            <w:vAlign w:val="bottom"/>
          </w:tcPr>
          <w:p>
            <w:pPr>
              <w:spacing w:after="0"/>
              <w:rPr>
                <w:sz w:val="11"/>
                <w:szCs w:val="11"/>
                <w:color w:val="auto"/>
              </w:rPr>
            </w:pPr>
          </w:p>
        </w:tc>
        <w:tc>
          <w:tcPr>
            <w:tcW w:w="9300" w:type="dxa"/>
            <w:vAlign w:val="bottom"/>
          </w:tcPr>
          <w:p>
            <w:pPr>
              <w:ind w:left="680"/>
              <w:spacing w:after="0" w:line="138" w:lineRule="exact"/>
              <w:rPr>
                <w:sz w:val="20"/>
                <w:szCs w:val="20"/>
                <w:color w:val="auto"/>
              </w:rPr>
            </w:pPr>
            <w:r>
              <w:rPr>
                <w:rFonts w:ascii="Times New Roman" w:cs="Times New Roman" w:eastAsia="Times New Roman" w:hAnsi="Times New Roman"/>
                <w:sz w:val="14"/>
                <w:szCs w:val="14"/>
                <w:color w:val="auto"/>
              </w:rPr>
              <w:t>Consolidated Statements of Stockholders' Equity; (iv) Condensed Consolidated Statements of Cash Flows for the six months ended June 30, 2025 and</w:t>
            </w:r>
          </w:p>
        </w:tc>
      </w:tr>
      <w:tr>
        <w:trPr>
          <w:trHeight w:val="184"/>
        </w:trPr>
        <w:tc>
          <w:tcPr>
            <w:tcW w:w="600" w:type="dxa"/>
            <w:vAlign w:val="bottom"/>
          </w:tcPr>
          <w:p>
            <w:pPr>
              <w:spacing w:after="0"/>
              <w:rPr>
                <w:sz w:val="16"/>
                <w:szCs w:val="16"/>
                <w:color w:val="auto"/>
              </w:rPr>
            </w:pPr>
          </w:p>
        </w:tc>
        <w:tc>
          <w:tcPr>
            <w:tcW w:w="93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2024; and (v) Notes to the Condensed Consolidated Financial Statements.</w:t>
            </w:r>
          </w:p>
        </w:tc>
      </w:tr>
      <w:tr>
        <w:trPr>
          <w:trHeight w:val="272"/>
        </w:trPr>
        <w:tc>
          <w:tcPr>
            <w:tcW w:w="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93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Cover Page Interactive Data File (formatted as iXBRL and contained in Exhibit 101)</w:t>
            </w:r>
          </w:p>
        </w:tc>
      </w:tr>
    </w:tbl>
    <w:p>
      <w:pPr>
        <w:spacing w:after="0" w:line="145"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2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w:t>
        <w:tab/>
        <w:t>Furnished herewith.</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87" w:right="1440" w:bottom="1440" w:gutter="0" w:footer="0" w:header="0"/>
        </w:sectPr>
      </w:pPr>
    </w:p>
    <w:bookmarkStart w:id="27" w:name="page28"/>
    <w:bookmarkEnd w:id="27"/>
    <w:p>
      <w:pPr>
        <w:jc w:val="center"/>
        <w:ind w:right="-519"/>
        <w:spacing w:after="0"/>
        <w:rPr>
          <w:sz w:val="20"/>
          <w:szCs w:val="20"/>
          <w:color w:val="auto"/>
        </w:rPr>
      </w:pPr>
      <w:r>
        <w:rPr>
          <w:rFonts w:ascii="Times New Roman" w:cs="Times New Roman" w:eastAsia="Times New Roman" w:hAnsi="Times New Roman"/>
          <w:sz w:val="14"/>
          <w:szCs w:val="14"/>
          <w:color w:val="auto"/>
        </w:rPr>
        <w:t>SIGNATURES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2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August 8, 2025</w:t>
            </w:r>
          </w:p>
        </w:tc>
        <w:tc>
          <w:tcPr>
            <w:tcW w:w="6160" w:type="dxa"/>
            <w:vAlign w:val="bottom"/>
            <w:gridSpan w:val="2"/>
          </w:tcPr>
          <w:p>
            <w:pPr>
              <w:ind w:left="1700"/>
              <w:spacing w:after="0"/>
              <w:rPr>
                <w:sz w:val="20"/>
                <w:szCs w:val="20"/>
                <w:color w:val="auto"/>
              </w:rPr>
            </w:pPr>
            <w:r>
              <w:rPr>
                <w:rFonts w:ascii="Times New Roman" w:cs="Times New Roman" w:eastAsia="Times New Roman" w:hAnsi="Times New Roman"/>
                <w:sz w:val="14"/>
                <w:szCs w:val="14"/>
                <w:color w:val="auto"/>
              </w:rPr>
              <w:t>WESTWOOD HOLDINGS GROUP, INC.</w:t>
            </w:r>
          </w:p>
        </w:tc>
      </w:tr>
      <w:tr>
        <w:trPr>
          <w:trHeight w:val="382"/>
        </w:trPr>
        <w:tc>
          <w:tcPr>
            <w:tcW w:w="5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32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Brian O. Casey</w:t>
            </w:r>
          </w:p>
        </w:tc>
      </w:tr>
      <w:tr>
        <w:trPr>
          <w:trHeight w:val="167"/>
        </w:trPr>
        <w:tc>
          <w:tcPr>
            <w:tcW w:w="5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Brian O. Casey</w:t>
            </w:r>
          </w:p>
        </w:tc>
      </w:tr>
      <w:tr>
        <w:trPr>
          <w:trHeight w:val="184"/>
        </w:trPr>
        <w:tc>
          <w:tcPr>
            <w:tcW w:w="5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350"/>
        </w:trPr>
        <w:tc>
          <w:tcPr>
            <w:tcW w:w="5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32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By:</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Murray Forbes III</w:t>
            </w:r>
          </w:p>
        </w:tc>
      </w:tr>
      <w:tr>
        <w:trPr>
          <w:trHeight w:val="167"/>
        </w:trPr>
        <w:tc>
          <w:tcPr>
            <w:tcW w:w="5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Murray Forbes III</w:t>
            </w:r>
          </w:p>
        </w:tc>
      </w:tr>
      <w:tr>
        <w:trPr>
          <w:trHeight w:val="184"/>
        </w:trPr>
        <w:tc>
          <w:tcPr>
            <w:tcW w:w="5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660"/>
          </w:cols>
          <w:pgMar w:left="360" w:top="889" w:right="879" w:bottom="1440"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4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3"/>
          <w:szCs w:val="13"/>
          <w:b w:val="1"/>
          <w:bCs w:val="1"/>
          <w:color w:val="auto"/>
        </w:rPr>
        <w:t>CERTIFICATION OF CHIEF EXECUTIVE OFFICER</w:t>
      </w:r>
    </w:p>
    <w:p>
      <w:pPr>
        <w:spacing w:after="0" w:line="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b w:val="1"/>
          <w:bCs w:val="1"/>
          <w:color w:val="auto"/>
        </w:rPr>
        <w:t>PURSUANT TO</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EXCHANGE ACT RULES 13a-14(a)</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Brian O. Casey, certify that:</w:t>
      </w:r>
    </w:p>
    <w:p>
      <w:pPr>
        <w:spacing w:after="0" w:line="360"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report on Form 10-Q of Westwood Holdings Group, Inc.;</w:t>
      </w:r>
    </w:p>
    <w:p>
      <w:pPr>
        <w:spacing w:after="0" w:line="83" w:lineRule="exact"/>
        <w:rPr>
          <w:rFonts w:ascii="Times New Roman" w:cs="Times New Roman" w:eastAsia="Times New Roman" w:hAnsi="Times New Roman"/>
          <w:sz w:val="13"/>
          <w:szCs w:val="13"/>
          <w:color w:val="auto"/>
        </w:rPr>
      </w:pPr>
    </w:p>
    <w:p>
      <w:pPr>
        <w:ind w:left="520" w:right="40" w:hanging="260"/>
        <w:spacing w:after="0" w:line="281" w:lineRule="auto"/>
        <w:tabs>
          <w:tab w:leader="none" w:pos="5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Times New Roman" w:cs="Times New Roman" w:eastAsia="Times New Roman" w:hAnsi="Times New Roman"/>
          <w:sz w:val="13"/>
          <w:szCs w:val="13"/>
          <w:color w:val="auto"/>
        </w:rPr>
      </w:pPr>
    </w:p>
    <w:p>
      <w:pPr>
        <w:ind w:left="520" w:right="140" w:hanging="260"/>
        <w:spacing w:after="0" w:line="281" w:lineRule="auto"/>
        <w:tabs>
          <w:tab w:leader="none" w:pos="5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3"/>
          <w:szCs w:val="13"/>
          <w:color w:val="auto"/>
        </w:rPr>
      </w:pPr>
    </w:p>
    <w:p>
      <w:pPr>
        <w:ind w:left="520" w:right="340" w:hanging="260"/>
        <w:spacing w:after="0" w:line="264" w:lineRule="auto"/>
        <w:tabs>
          <w:tab w:leader="none" w:pos="5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Times New Roman" w:cs="Times New Roman" w:eastAsia="Times New Roman" w:hAnsi="Times New Roman"/>
          <w:sz w:val="13"/>
          <w:szCs w:val="13"/>
          <w:color w:val="auto"/>
        </w:rPr>
      </w:pPr>
    </w:p>
    <w:p>
      <w:pPr>
        <w:ind w:left="1020" w:right="80" w:hanging="251"/>
        <w:spacing w:after="0" w:line="264" w:lineRule="auto"/>
        <w:tabs>
          <w:tab w:leader="none" w:pos="1013"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3" w:lineRule="exact"/>
        <w:rPr>
          <w:rFonts w:ascii="Times New Roman" w:cs="Times New Roman" w:eastAsia="Times New Roman" w:hAnsi="Times New Roman"/>
          <w:sz w:val="13"/>
          <w:szCs w:val="13"/>
          <w:color w:val="auto"/>
        </w:rPr>
      </w:pPr>
    </w:p>
    <w:p>
      <w:pPr>
        <w:ind w:left="1020" w:right="300" w:hanging="251"/>
        <w:spacing w:after="0" w:line="281" w:lineRule="auto"/>
        <w:tabs>
          <w:tab w:leader="none" w:pos="1020"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Times New Roman" w:cs="Times New Roman" w:eastAsia="Times New Roman" w:hAnsi="Times New Roman"/>
          <w:sz w:val="13"/>
          <w:szCs w:val="13"/>
          <w:color w:val="auto"/>
        </w:rPr>
      </w:pPr>
    </w:p>
    <w:p>
      <w:pPr>
        <w:ind w:left="1020" w:right="80" w:hanging="251"/>
        <w:spacing w:after="0" w:line="281" w:lineRule="auto"/>
        <w:tabs>
          <w:tab w:leader="none" w:pos="1013"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Times New Roman" w:cs="Times New Roman" w:eastAsia="Times New Roman" w:hAnsi="Times New Roman"/>
          <w:sz w:val="13"/>
          <w:szCs w:val="13"/>
          <w:color w:val="auto"/>
        </w:rPr>
      </w:pPr>
    </w:p>
    <w:p>
      <w:pPr>
        <w:ind w:left="1020" w:right="140" w:hanging="251"/>
        <w:spacing w:after="0" w:line="264" w:lineRule="auto"/>
        <w:tabs>
          <w:tab w:leader="none" w:pos="1020"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3"/>
          <w:szCs w:val="13"/>
          <w:color w:val="auto"/>
        </w:rPr>
      </w:pPr>
    </w:p>
    <w:p>
      <w:pPr>
        <w:ind w:left="520" w:right="520" w:hanging="260"/>
        <w:spacing w:after="0" w:line="264" w:lineRule="auto"/>
        <w:tabs>
          <w:tab w:leader="none" w:pos="5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3" w:lineRule="exact"/>
        <w:rPr>
          <w:rFonts w:ascii="Times New Roman" w:cs="Times New Roman" w:eastAsia="Times New Roman" w:hAnsi="Times New Roman"/>
          <w:sz w:val="13"/>
          <w:szCs w:val="13"/>
          <w:color w:val="auto"/>
        </w:rPr>
      </w:pPr>
    </w:p>
    <w:p>
      <w:pPr>
        <w:ind w:left="1020" w:right="60" w:hanging="251"/>
        <w:spacing w:after="0" w:line="264" w:lineRule="auto"/>
        <w:tabs>
          <w:tab w:leader="none" w:pos="974"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3"/>
          <w:szCs w:val="13"/>
          <w:color w:val="auto"/>
        </w:rPr>
      </w:pPr>
    </w:p>
    <w:p>
      <w:pPr>
        <w:ind w:left="980" w:hanging="211"/>
        <w:spacing w:after="0"/>
        <w:tabs>
          <w:tab w:leader="none" w:pos="980" w:val="left"/>
        </w:tabs>
        <w:numPr>
          <w:ilvl w:val="1"/>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Dated: August 8, 2025</w:t>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305879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3058795" cy="698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Brian O. Casey</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Chief Executive Officer</w:t>
      </w:r>
    </w:p>
    <w:p>
      <w:pPr>
        <w:sectPr>
          <w:pgSz w:w="11900" w:h="16838" w:orient="portrait"/>
          <w:cols w:equalWidth="0" w:num="1">
            <w:col w:w="11280"/>
          </w:cols>
          <w:pgMar w:left="300" w:top="1188" w:right="31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4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CERTIFICATION OF CHIEF FINANCIAL OFFICER</w:t>
      </w:r>
    </w:p>
    <w:p>
      <w:pPr>
        <w:spacing w:after="0" w:line="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b w:val="1"/>
          <w:bCs w:val="1"/>
          <w:color w:val="auto"/>
        </w:rPr>
        <w:t>PURSUANT TO</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EXCHANGE ACT RULES 13a-14(a)</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Murray Forbes III, certify that:</w:t>
      </w:r>
    </w:p>
    <w:p>
      <w:pPr>
        <w:spacing w:after="0" w:line="360"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report on Form 10-Q of Westwood Holdings Group, Inc.;</w:t>
      </w:r>
    </w:p>
    <w:p>
      <w:pPr>
        <w:spacing w:after="0" w:line="83" w:lineRule="exact"/>
        <w:rPr>
          <w:rFonts w:ascii="Times New Roman" w:cs="Times New Roman" w:eastAsia="Times New Roman" w:hAnsi="Times New Roman"/>
          <w:sz w:val="13"/>
          <w:szCs w:val="13"/>
          <w:color w:val="auto"/>
        </w:rPr>
      </w:pPr>
    </w:p>
    <w:p>
      <w:pPr>
        <w:ind w:left="520" w:right="40" w:hanging="260"/>
        <w:spacing w:after="0" w:line="281" w:lineRule="auto"/>
        <w:tabs>
          <w:tab w:leader="none" w:pos="5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Times New Roman" w:cs="Times New Roman" w:eastAsia="Times New Roman" w:hAnsi="Times New Roman"/>
          <w:sz w:val="13"/>
          <w:szCs w:val="13"/>
          <w:color w:val="auto"/>
        </w:rPr>
      </w:pPr>
    </w:p>
    <w:p>
      <w:pPr>
        <w:ind w:left="520" w:right="140" w:hanging="260"/>
        <w:spacing w:after="0" w:line="281" w:lineRule="auto"/>
        <w:tabs>
          <w:tab w:leader="none" w:pos="5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Times New Roman" w:cs="Times New Roman" w:eastAsia="Times New Roman" w:hAnsi="Times New Roman"/>
          <w:sz w:val="13"/>
          <w:szCs w:val="13"/>
          <w:color w:val="auto"/>
        </w:rPr>
      </w:pPr>
    </w:p>
    <w:p>
      <w:pPr>
        <w:ind w:left="520" w:right="340" w:hanging="260"/>
        <w:spacing w:after="0" w:line="264" w:lineRule="auto"/>
        <w:tabs>
          <w:tab w:leader="none" w:pos="5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Times New Roman" w:cs="Times New Roman" w:eastAsia="Times New Roman" w:hAnsi="Times New Roman"/>
          <w:sz w:val="13"/>
          <w:szCs w:val="13"/>
          <w:color w:val="auto"/>
        </w:rPr>
      </w:pPr>
    </w:p>
    <w:p>
      <w:pPr>
        <w:ind w:left="1020" w:right="80" w:hanging="251"/>
        <w:spacing w:after="0" w:line="264" w:lineRule="auto"/>
        <w:tabs>
          <w:tab w:leader="none" w:pos="1013"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3" w:lineRule="exact"/>
        <w:rPr>
          <w:rFonts w:ascii="Times New Roman" w:cs="Times New Roman" w:eastAsia="Times New Roman" w:hAnsi="Times New Roman"/>
          <w:sz w:val="13"/>
          <w:szCs w:val="13"/>
          <w:color w:val="auto"/>
        </w:rPr>
      </w:pPr>
    </w:p>
    <w:p>
      <w:pPr>
        <w:ind w:left="1020" w:right="300" w:hanging="251"/>
        <w:spacing w:after="0" w:line="281" w:lineRule="auto"/>
        <w:tabs>
          <w:tab w:leader="none" w:pos="1020"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Times New Roman" w:cs="Times New Roman" w:eastAsia="Times New Roman" w:hAnsi="Times New Roman"/>
          <w:sz w:val="13"/>
          <w:szCs w:val="13"/>
          <w:color w:val="auto"/>
        </w:rPr>
      </w:pPr>
    </w:p>
    <w:p>
      <w:pPr>
        <w:ind w:left="1020" w:right="80" w:hanging="251"/>
        <w:spacing w:after="0" w:line="281" w:lineRule="auto"/>
        <w:tabs>
          <w:tab w:leader="none" w:pos="1013"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Times New Roman" w:cs="Times New Roman" w:eastAsia="Times New Roman" w:hAnsi="Times New Roman"/>
          <w:sz w:val="13"/>
          <w:szCs w:val="13"/>
          <w:color w:val="auto"/>
        </w:rPr>
      </w:pPr>
    </w:p>
    <w:p>
      <w:pPr>
        <w:ind w:left="1020" w:right="140" w:hanging="251"/>
        <w:spacing w:after="0" w:line="264" w:lineRule="auto"/>
        <w:tabs>
          <w:tab w:leader="none" w:pos="1020"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3"/>
          <w:szCs w:val="13"/>
          <w:color w:val="auto"/>
        </w:rPr>
      </w:pPr>
    </w:p>
    <w:p>
      <w:pPr>
        <w:ind w:left="520" w:right="560" w:hanging="260"/>
        <w:spacing w:after="0" w:line="264" w:lineRule="auto"/>
        <w:tabs>
          <w:tab w:leader="none" w:pos="486"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3" w:lineRule="exact"/>
        <w:rPr>
          <w:rFonts w:ascii="Times New Roman" w:cs="Times New Roman" w:eastAsia="Times New Roman" w:hAnsi="Times New Roman"/>
          <w:sz w:val="13"/>
          <w:szCs w:val="13"/>
          <w:color w:val="auto"/>
        </w:rPr>
      </w:pPr>
    </w:p>
    <w:p>
      <w:pPr>
        <w:ind w:left="1020" w:right="60" w:hanging="251"/>
        <w:spacing w:after="0" w:line="264" w:lineRule="auto"/>
        <w:tabs>
          <w:tab w:leader="none" w:pos="974"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3"/>
          <w:szCs w:val="13"/>
          <w:color w:val="auto"/>
        </w:rPr>
      </w:pPr>
    </w:p>
    <w:p>
      <w:pPr>
        <w:ind w:left="980" w:hanging="211"/>
        <w:spacing w:after="0"/>
        <w:tabs>
          <w:tab w:leader="none" w:pos="980"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Dated: August 8, 2025</w:t>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305879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3058795" cy="698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Murray Forbes III</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Chief Financial Officer and Treasurer</w:t>
      </w:r>
    </w:p>
    <w:p>
      <w:pPr>
        <w:sectPr>
          <w:pgSz w:w="11900" w:h="16838" w:orient="portrait"/>
          <w:cols w:equalWidth="0" w:num="1">
            <w:col w:w="11280"/>
          </w:cols>
          <w:pgMar w:left="300" w:top="1188" w:right="31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3"/>
          <w:szCs w:val="13"/>
          <w:b w:val="1"/>
          <w:bCs w:val="1"/>
          <w:color w:val="auto"/>
        </w:rPr>
        <w:t>Exhibit 32.1</w:t>
      </w:r>
    </w:p>
    <w:p>
      <w:pPr>
        <w:spacing w:after="0" w:line="16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3"/>
          <w:szCs w:val="13"/>
          <w:b w:val="1"/>
          <w:bCs w:val="1"/>
          <w:color w:val="auto"/>
        </w:rPr>
        <w:t>CERTIFICATION PURSUANT TO</w:t>
      </w:r>
    </w:p>
    <w:p>
      <w:pPr>
        <w:spacing w:after="0" w:line="1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3"/>
          <w:szCs w:val="13"/>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ADOPTED PURSUANT TO</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16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3"/>
          <w:szCs w:val="13"/>
          <w:color w:val="auto"/>
        </w:rPr>
        <w:t>In connection with the Quarterly Report of Westwood Holdings Group, Inc. (the “Company”) on Form 10-Q for the period ended June 30, 2025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57" w:lineRule="exact"/>
        <w:rPr>
          <w:sz w:val="20"/>
          <w:szCs w:val="20"/>
          <w:color w:val="auto"/>
        </w:rPr>
      </w:pPr>
    </w:p>
    <w:p>
      <w:pPr>
        <w:ind w:left="560" w:hanging="173"/>
        <w:spacing w:after="0"/>
        <w:tabs>
          <w:tab w:leader="none" w:pos="5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(15 U.S.C.78m or 78o(d)); and</w:t>
      </w:r>
    </w:p>
    <w:p>
      <w:pPr>
        <w:spacing w:after="0" w:line="94" w:lineRule="exact"/>
        <w:rPr>
          <w:rFonts w:ascii="Times New Roman" w:cs="Times New Roman" w:eastAsia="Times New Roman" w:hAnsi="Times New Roman"/>
          <w:sz w:val="13"/>
          <w:szCs w:val="13"/>
          <w:color w:val="auto"/>
        </w:rPr>
      </w:pPr>
    </w:p>
    <w:p>
      <w:pPr>
        <w:ind w:left="560" w:hanging="173"/>
        <w:spacing w:after="0"/>
        <w:tabs>
          <w:tab w:leader="none" w:pos="56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3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Dated: August 8, 2025</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12700</wp:posOffset>
            </wp:positionV>
            <wp:extent cx="305879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3058795" cy="6985"/>
                    </a:xfrm>
                    <a:prstGeom prst="rect">
                      <a:avLst/>
                    </a:prstGeom>
                    <a:noFill/>
                  </pic:spPr>
                </pic:pic>
              </a:graphicData>
            </a:graphic>
          </wp:anchor>
        </w:drawing>
      </w:r>
    </w:p>
    <w:p>
      <w:pPr>
        <w:spacing w:after="0" w:line="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Brian O. Casey</w:t>
      </w:r>
    </w:p>
    <w:p>
      <w:pPr>
        <w:spacing w:after="0" w:line="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254" w:lineRule="exact"/>
        <w:rPr>
          <w:sz w:val="20"/>
          <w:szCs w:val="20"/>
          <w:color w:val="auto"/>
        </w:rPr>
      </w:pPr>
    </w:p>
    <w:p>
      <w:pPr>
        <w:ind w:right="40" w:firstLine="382"/>
        <w:spacing w:after="0" w:line="306" w:lineRule="auto"/>
        <w:rPr>
          <w:sz w:val="20"/>
          <w:szCs w:val="20"/>
          <w:color w:val="auto"/>
        </w:rPr>
      </w:pPr>
      <w:r>
        <w:rPr>
          <w:rFonts w:ascii="Times New Roman" w:cs="Times New Roman" w:eastAsia="Times New Roman" w:hAnsi="Times New Roman"/>
          <w:sz w:val="12"/>
          <w:szCs w:val="12"/>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80"/>
          </w:cols>
          <w:pgMar w:left="300" w:top="1145" w:right="31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3"/>
          <w:szCs w:val="13"/>
          <w:b w:val="1"/>
          <w:bCs w:val="1"/>
          <w:color w:val="auto"/>
        </w:rPr>
        <w:t>Exhibit 32.2</w:t>
      </w:r>
    </w:p>
    <w:p>
      <w:pPr>
        <w:spacing w:after="0" w:line="16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3"/>
          <w:szCs w:val="13"/>
          <w:b w:val="1"/>
          <w:bCs w:val="1"/>
          <w:color w:val="auto"/>
        </w:rPr>
        <w:t>CERTIFICATION PURSUANT TO</w:t>
      </w:r>
    </w:p>
    <w:p>
      <w:pPr>
        <w:spacing w:after="0" w:line="1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3"/>
          <w:szCs w:val="13"/>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ADOPTED PURSUANT TO</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163" w:lineRule="exact"/>
        <w:rPr>
          <w:sz w:val="20"/>
          <w:szCs w:val="20"/>
          <w:color w:val="auto"/>
        </w:rPr>
      </w:pPr>
    </w:p>
    <w:p>
      <w:pPr>
        <w:ind w:right="180"/>
        <w:spacing w:after="0" w:line="306" w:lineRule="auto"/>
        <w:rPr>
          <w:sz w:val="20"/>
          <w:szCs w:val="20"/>
          <w:color w:val="auto"/>
        </w:rPr>
      </w:pPr>
      <w:r>
        <w:rPr>
          <w:rFonts w:ascii="Times New Roman" w:cs="Times New Roman" w:eastAsia="Times New Roman" w:hAnsi="Times New Roman"/>
          <w:sz w:val="12"/>
          <w:szCs w:val="12"/>
          <w:color w:val="auto"/>
        </w:rPr>
        <w:t>In connection with the Quarterly Report of Westwood Holdings Group, Inc. (the “Company”) on Form 10-Q for the period ended June 30, 2025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spacing w:after="0" w:line="41" w:lineRule="exact"/>
        <w:rPr>
          <w:sz w:val="20"/>
          <w:szCs w:val="20"/>
          <w:color w:val="auto"/>
        </w:rPr>
      </w:pPr>
    </w:p>
    <w:p>
      <w:pPr>
        <w:ind w:left="560" w:hanging="173"/>
        <w:spacing w:after="0"/>
        <w:tabs>
          <w:tab w:leader="none" w:pos="5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(15 U.S.C. 78m or 78o(d)); and</w:t>
      </w:r>
    </w:p>
    <w:p>
      <w:pPr>
        <w:spacing w:after="0" w:line="83" w:lineRule="exact"/>
        <w:rPr>
          <w:rFonts w:ascii="Times New Roman" w:cs="Times New Roman" w:eastAsia="Times New Roman" w:hAnsi="Times New Roman"/>
          <w:sz w:val="13"/>
          <w:szCs w:val="13"/>
          <w:color w:val="auto"/>
        </w:rPr>
      </w:pPr>
    </w:p>
    <w:p>
      <w:pPr>
        <w:ind w:left="560" w:hanging="173"/>
        <w:spacing w:after="0"/>
        <w:tabs>
          <w:tab w:leader="none" w:pos="5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3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Dated: August 8, 2025</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12700</wp:posOffset>
            </wp:positionV>
            <wp:extent cx="305879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3058795" cy="6985"/>
                    </a:xfrm>
                    <a:prstGeom prst="rect">
                      <a:avLst/>
                    </a:prstGeom>
                    <a:noFill/>
                  </pic:spPr>
                </pic:pic>
              </a:graphicData>
            </a:graphic>
          </wp:anchor>
        </w:drawing>
      </w:r>
    </w:p>
    <w:p>
      <w:pPr>
        <w:spacing w:after="0" w:line="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Murray Forbes III</w:t>
      </w:r>
    </w:p>
    <w:p>
      <w:pPr>
        <w:spacing w:after="0" w:line="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Chief Financial Officer and Treasurer</w:t>
      </w:r>
    </w:p>
    <w:p>
      <w:pPr>
        <w:spacing w:after="0" w:line="254" w:lineRule="exact"/>
        <w:rPr>
          <w:sz w:val="20"/>
          <w:szCs w:val="20"/>
          <w:color w:val="auto"/>
        </w:rPr>
      </w:pPr>
    </w:p>
    <w:p>
      <w:pPr>
        <w:ind w:right="40" w:firstLine="382"/>
        <w:spacing w:after="0" w:line="306" w:lineRule="auto"/>
        <w:rPr>
          <w:sz w:val="20"/>
          <w:szCs w:val="20"/>
          <w:color w:val="auto"/>
        </w:rPr>
      </w:pPr>
      <w:r>
        <w:rPr>
          <w:rFonts w:ascii="Times New Roman" w:cs="Times New Roman" w:eastAsia="Times New Roman" w:hAnsi="Times New Roman"/>
          <w:sz w:val="12"/>
          <w:szCs w:val="12"/>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80"/>
      </w:cols>
      <w:pgMar w:left="300" w:top="114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decimal"/>
      <w:start w:val="3"/>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9"/>
    </w:lvl>
  </w:abstractNum>
  <w:abstractNum w:abstractNumId="7">
    <w:nsid w:val="66EF438D"/>
    <w:multiLevelType w:val="hybridMultilevel"/>
    <w:lvl w:ilvl="0">
      <w:lvlJc w:val="left"/>
      <w:lvlText w:val="%1."/>
      <w:numFmt w:val="decimal"/>
      <w:start w:val="11"/>
    </w:lvl>
  </w:abstractNum>
  <w:abstractNum w:abstractNumId="8">
    <w:nsid w:val="140E0F76"/>
    <w:multiLevelType w:val="hybridMultilevel"/>
    <w:lvl w:ilvl="0">
      <w:lvlJc w:val="left"/>
      <w:lvlText w:val="%1."/>
      <w:numFmt w:val="decimal"/>
      <w:start w:val="14"/>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3"/>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40" Type="http://schemas.openxmlformats.org/officeDocument/2006/relationships/hyperlink" Target="https://www.sec.gov/Archives/edgar/data/1165002/000119312513084081/d444159dex21.htm" TargetMode="External"/><Relationship Id="rId41" Type="http://schemas.openxmlformats.org/officeDocument/2006/relationships/hyperlink" Target="https://www.sec.gov/Archives/edgar/data/1165002/000119312515012458/d853486dex21.htm" TargetMode="External"/><Relationship Id="rId42" Type="http://schemas.openxmlformats.org/officeDocument/2006/relationships/hyperlink" Target="https://www.sec.gov/Archives/edgar/data/1165002/000116500222000079/0001165002-22-000079-index.htm" TargetMode="External"/><Relationship Id="rId43" Type="http://schemas.openxmlformats.org/officeDocument/2006/relationships/hyperlink" Target="https://www.sec.gov/Archives/edgar/data/1165002/000116500222000098/0001165002-22-000098-index.htm" TargetMode="External"/><Relationship Id="rId44" Type="http://schemas.openxmlformats.org/officeDocument/2006/relationships/hyperlink" Target="https://www.sec.gov/ix?doc=/Archives/edgar/data/0001165002/000116500224000087/whg-20241202.htm" TargetMode="External"/><Relationship Id="rId45" Type="http://schemas.openxmlformats.org/officeDocument/2006/relationships/hyperlink" Target="https://www.sec.gov/ix?doc=/Archives/edgar/data/0001165002/000116500221000089/whg-20211027.htm" TargetMode="External"/><Relationship Id="rId46" Type="http://schemas.openxmlformats.org/officeDocument/2006/relationships/hyperlink" Target="https://www.sec.gov/Archives/edgar/data/1165002/000093066102001393/d1012ba.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2025-08-08T15:35:35Z</dcterms:created>
  <dcterms:modified xsi:type="dcterms:W3CDTF">2025-08-08T15:35:35Z</dcterms:modified>
</cp:coreProperties>
</file>