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1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961765104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19685</wp:posOffset>
            </wp:positionV>
            <wp:extent cx="1928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October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60" w:hanging="893"/>
        <w:spacing w:after="0"/>
        <w:tabs>
          <w:tab w:leader="none" w:pos="1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360" w:hanging="893"/>
        <w:spacing w:after="0"/>
        <w:tabs>
          <w:tab w:leader="none" w:pos="1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1360" w:hanging="893"/>
        <w:spacing w:after="0"/>
        <w:tabs>
          <w:tab w:leader="none" w:pos="1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0" w:lineRule="exact"/>
        <w:rPr>
          <w:sz w:val="24"/>
          <w:szCs w:val="24"/>
          <w:color w:val="auto"/>
        </w:rPr>
      </w:pPr>
    </w:p>
    <w:p>
      <w:pPr>
        <w:spacing w:after="0" w:line="241"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9" w:right="37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CUSIP No. 961765104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40575" cy="5177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517779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0" w:type="dxa"/>
            <w:vAlign w:val="bottom"/>
            <w:vMerge w:val="restart"/>
          </w:tcPr>
          <w:p>
            <w:pPr>
              <w:jc w:val="right"/>
              <w:ind w:right="101"/>
              <w:spacing w:after="0"/>
              <w:rPr>
                <w:sz w:val="20"/>
                <w:szCs w:val="20"/>
                <w:color w:val="auto"/>
              </w:rPr>
            </w:pPr>
            <w:r>
              <w:rPr>
                <w:rFonts w:ascii="Times New Roman" w:cs="Times New Roman" w:eastAsia="Times New Roman" w:hAnsi="Times New Roman"/>
                <w:sz w:val="32"/>
                <w:szCs w:val="32"/>
                <w:b w:val="1"/>
                <w:bCs w:val="1"/>
                <w:color w:val="auto"/>
              </w:rPr>
              <w:t>1</w:t>
            </w: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vMerge w:val="continue"/>
          </w:tcPr>
          <w:p>
            <w:pPr>
              <w:spacing w:after="0"/>
              <w:rPr>
                <w:sz w:val="20"/>
                <w:szCs w:val="20"/>
                <w:color w:val="auto"/>
              </w:rPr>
            </w:pP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DePrince, Race &amp; Zollo, Inc.</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00" w:type="dxa"/>
            <w:vAlign w:val="bottom"/>
          </w:tcPr>
          <w:p>
            <w:pPr>
              <w:jc w:val="right"/>
              <w:ind w:right="101"/>
              <w:spacing w:after="0" w:line="204" w:lineRule="exact"/>
              <w:rPr>
                <w:sz w:val="20"/>
                <w:szCs w:val="20"/>
                <w:color w:val="auto"/>
              </w:rPr>
            </w:pPr>
            <w:r>
              <w:rPr>
                <w:rFonts w:ascii="Times New Roman" w:cs="Times New Roman" w:eastAsia="Times New Roman" w:hAnsi="Times New Roman"/>
                <w:sz w:val="23"/>
                <w:szCs w:val="23"/>
                <w:b w:val="1"/>
                <w:bCs w:val="1"/>
                <w:color w:val="auto"/>
              </w:rPr>
              <w:t>2</w:t>
            </w:r>
          </w:p>
        </w:tc>
        <w:tc>
          <w:tcPr>
            <w:tcW w:w="742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940" w:type="dxa"/>
            <w:vAlign w:val="bottom"/>
          </w:tcPr>
          <w:p>
            <w:pPr>
              <w:ind w:left="920"/>
              <w:spacing w:after="0" w:line="205"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9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940" w:type="dxa"/>
            <w:vAlign w:val="bottom"/>
          </w:tcPr>
          <w:p>
            <w:pPr>
              <w:ind w:left="9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1160" w:hanging="659"/>
        <w:spacing w:after="0" w:line="180" w:lineRule="auto"/>
        <w:tabs>
          <w:tab w:leader="none" w:pos="1160" w:val="left"/>
        </w:tabs>
        <w:numPr>
          <w:ilvl w:val="0"/>
          <w:numId w:val="3"/>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5"/>
          <w:szCs w:val="15"/>
          <w:color w:val="auto"/>
        </w:rPr>
        <w:t>SEC® USE ONLY</w:t>
      </w:r>
    </w:p>
    <w:p>
      <w:pPr>
        <w:spacing w:after="0" w:line="200" w:lineRule="exact"/>
        <w:rPr>
          <w:sz w:val="20"/>
          <w:szCs w:val="20"/>
          <w:color w:val="auto"/>
        </w:rPr>
      </w:pPr>
    </w:p>
    <w:p>
      <w:pPr>
        <w:spacing w:after="0" w:line="228" w:lineRule="exact"/>
        <w:rPr>
          <w:sz w:val="20"/>
          <w:szCs w:val="20"/>
          <w:color w:val="auto"/>
        </w:rPr>
      </w:pPr>
    </w:p>
    <w:p>
      <w:pPr>
        <w:ind w:left="1160" w:right="6440" w:hanging="659"/>
        <w:spacing w:after="0" w:line="180" w:lineRule="auto"/>
        <w:tabs>
          <w:tab w:leader="none" w:pos="1160" w:val="left"/>
        </w:tabs>
        <w:numPr>
          <w:ilvl w:val="0"/>
          <w:numId w:val="4"/>
        </w:numPr>
        <w:rPr>
          <w:rFonts w:ascii="Times New Roman" w:cs="Times New Roman" w:eastAsia="Times New Roman" w:hAnsi="Times New Roman"/>
          <w:sz w:val="60"/>
          <w:szCs w:val="60"/>
          <w:b w:val="1"/>
          <w:bCs w:val="1"/>
          <w:color w:val="auto"/>
          <w:vertAlign w:val="subscript"/>
        </w:rPr>
      </w:pPr>
      <w:r>
        <w:rPr>
          <w:rFonts w:ascii="Times New Roman" w:cs="Times New Roman" w:eastAsia="Times New Roman" w:hAnsi="Times New Roman"/>
          <w:sz w:val="17"/>
          <w:szCs w:val="17"/>
          <w:color w:val="auto"/>
        </w:rPr>
        <w:t>CITIZENSHIP OR PLACE OF ORGANIZATION Incorporated in the State of Florida</w:t>
      </w:r>
    </w:p>
    <w:p>
      <w:pPr>
        <w:ind w:left="3500" w:hanging="698"/>
        <w:spacing w:after="0" w:line="186" w:lineRule="auto"/>
        <w:tabs>
          <w:tab w:leader="none" w:pos="3500" w:val="left"/>
        </w:tabs>
        <w:numPr>
          <w:ilvl w:val="0"/>
          <w:numId w:val="5"/>
        </w:numPr>
        <w:rPr>
          <w:rFonts w:ascii="Times New Roman" w:cs="Times New Roman" w:eastAsia="Times New Roman" w:hAnsi="Times New Roman"/>
          <w:sz w:val="26"/>
          <w:szCs w:val="26"/>
          <w:b w:val="1"/>
          <w:bCs w:val="1"/>
          <w:color w:val="auto"/>
          <w:vertAlign w:val="subscript"/>
        </w:rPr>
      </w:pPr>
      <w:r>
        <w:rPr>
          <w:rFonts w:ascii="Times New Roman" w:cs="Times New Roman" w:eastAsia="Times New Roman" w:hAnsi="Times New Roman"/>
          <w:sz w:val="14"/>
          <w:szCs w:val="14"/>
          <w:color w:val="auto"/>
        </w:rPr>
        <w:t>SOLE VOTING POWER</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387,565</w:t>
            </w:r>
          </w:p>
        </w:tc>
        <w:tc>
          <w:tcPr>
            <w:tcW w:w="0" w:type="dxa"/>
            <w:vAlign w:val="bottom"/>
          </w:tcPr>
          <w:p>
            <w:pPr>
              <w:spacing w:after="0"/>
              <w:rPr>
                <w:sz w:val="1"/>
                <w:szCs w:val="1"/>
                <w:color w:val="auto"/>
              </w:rPr>
            </w:pPr>
          </w:p>
        </w:tc>
      </w:tr>
      <w:tr>
        <w:trPr>
          <w:trHeight w:val="191"/>
        </w:trPr>
        <w:tc>
          <w:tcPr>
            <w:tcW w:w="2240" w:type="dxa"/>
            <w:vAlign w:val="bottom"/>
            <w:vMerge w:val="continue"/>
          </w:tcPr>
          <w:p>
            <w:pPr>
              <w:spacing w:after="0"/>
              <w:rPr>
                <w:sz w:val="16"/>
                <w:szCs w:val="16"/>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00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2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EACH REPORTING</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980" w:type="dxa"/>
            <w:vAlign w:val="bottom"/>
            <w:tcBorders>
              <w:bottom w:val="single" w:sz="8" w:color="auto"/>
            </w:tcBorders>
          </w:tcPr>
          <w:p>
            <w:pPr>
              <w:spacing w:after="0"/>
              <w:rPr>
                <w:sz w:val="21"/>
                <w:szCs w:val="21"/>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478,282</w:t>
            </w:r>
          </w:p>
        </w:tc>
        <w:tc>
          <w:tcPr>
            <w:tcW w:w="0" w:type="dxa"/>
            <w:vAlign w:val="bottom"/>
          </w:tcPr>
          <w:p>
            <w:pPr>
              <w:spacing w:after="0"/>
              <w:rPr>
                <w:sz w:val="1"/>
                <w:szCs w:val="1"/>
                <w:color w:val="auto"/>
              </w:rPr>
            </w:pPr>
          </w:p>
        </w:tc>
      </w:tr>
      <w:tr>
        <w:trPr>
          <w:trHeight w:val="228"/>
        </w:trPr>
        <w:tc>
          <w:tcPr>
            <w:tcW w:w="2240" w:type="dxa"/>
            <w:vAlign w:val="bottom"/>
          </w:tcPr>
          <w:p>
            <w:pPr>
              <w:spacing w:after="0"/>
              <w:rPr>
                <w:sz w:val="19"/>
                <w:szCs w:val="19"/>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1160" w:hanging="659"/>
        <w:spacing w:after="0" w:line="180" w:lineRule="auto"/>
        <w:tabs>
          <w:tab w:leader="none" w:pos="1160" w:val="left"/>
        </w:tabs>
        <w:numPr>
          <w:ilvl w:val="0"/>
          <w:numId w:val="6"/>
        </w:numPr>
        <w:rPr>
          <w:rFonts w:ascii="Times New Roman" w:cs="Times New Roman" w:eastAsia="Times New Roman" w:hAnsi="Times New Roman"/>
          <w:sz w:val="52"/>
          <w:szCs w:val="52"/>
          <w:b w:val="1"/>
          <w:bCs w:val="1"/>
          <w:color w:val="auto"/>
          <w:vertAlign w:val="subscript"/>
        </w:rPr>
      </w:pPr>
      <w:r>
        <w:rPr>
          <w:rFonts w:ascii="Times New Roman" w:cs="Times New Roman" w:eastAsia="Times New Roman" w:hAnsi="Times New Roman"/>
          <w:sz w:val="16"/>
          <w:szCs w:val="16"/>
          <w:color w:val="auto"/>
        </w:rPr>
        <w:t>AGGREGATE AMOUNT BENEFICIALLY OWNED BY EACH REPORTING PERSON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Borders>
              <w:bottom w:val="single" w:sz="8" w:color="auto"/>
            </w:tcBorders>
          </w:tcPr>
          <w:p>
            <w:pPr>
              <w:spacing w:after="0"/>
              <w:rPr>
                <w:sz w:val="20"/>
                <w:szCs w:val="20"/>
                <w:color w:val="auto"/>
              </w:rPr>
            </w:pPr>
          </w:p>
        </w:tc>
        <w:tc>
          <w:tcPr>
            <w:tcW w:w="10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478,282</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Times New Roman" w:cs="Times New Roman" w:eastAsia="Times New Roman" w:hAnsi="Times New Roman"/>
                <w:sz w:val="18"/>
                <w:szCs w:val="18"/>
                <w:b w:val="1"/>
                <w:bCs w:val="1"/>
                <w:color w:val="auto"/>
              </w:rPr>
              <w:t>10</w:t>
            </w:r>
          </w:p>
        </w:tc>
        <w:tc>
          <w:tcPr>
            <w:tcW w:w="10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72"/>
        </w:trPr>
        <w:tc>
          <w:tcPr>
            <w:tcW w:w="940" w:type="dxa"/>
            <w:vAlign w:val="bottom"/>
          </w:tcPr>
          <w:p>
            <w:pPr>
              <w:spacing w:after="0"/>
              <w:rPr>
                <w:sz w:val="6"/>
                <w:szCs w:val="6"/>
                <w:color w:val="auto"/>
              </w:rPr>
            </w:pPr>
          </w:p>
        </w:tc>
        <w:tc>
          <w:tcPr>
            <w:tcW w:w="10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0"/>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Times New Roman" w:cs="Times New Roman" w:eastAsia="Times New Roman" w:hAnsi="Times New Roman"/>
                <w:sz w:val="18"/>
                <w:szCs w:val="18"/>
                <w:b w:val="1"/>
                <w:bCs w:val="1"/>
                <w:color w:val="auto"/>
              </w:rPr>
              <w:t>11</w:t>
            </w:r>
          </w:p>
        </w:tc>
        <w:tc>
          <w:tcPr>
            <w:tcW w:w="10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72"/>
        </w:trPr>
        <w:tc>
          <w:tcPr>
            <w:tcW w:w="940" w:type="dxa"/>
            <w:vAlign w:val="bottom"/>
          </w:tcPr>
          <w:p>
            <w:pPr>
              <w:spacing w:after="0"/>
              <w:rPr>
                <w:sz w:val="6"/>
                <w:szCs w:val="6"/>
                <w:color w:val="auto"/>
              </w:rPr>
            </w:pPr>
          </w:p>
        </w:tc>
        <w:tc>
          <w:tcPr>
            <w:tcW w:w="10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Times New Roman" w:cs="Times New Roman" w:eastAsia="Times New Roman" w:hAnsi="Times New Roman"/>
                <w:sz w:val="18"/>
                <w:szCs w:val="18"/>
                <w:b w:val="1"/>
                <w:bCs w:val="1"/>
                <w:color w:val="auto"/>
              </w:rPr>
              <w:t>12</w:t>
            </w:r>
          </w:p>
        </w:tc>
        <w:tc>
          <w:tcPr>
            <w:tcW w:w="10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72"/>
        </w:trPr>
        <w:tc>
          <w:tcPr>
            <w:tcW w:w="940" w:type="dxa"/>
            <w:vAlign w:val="bottom"/>
          </w:tcPr>
          <w:p>
            <w:pPr>
              <w:spacing w:after="0"/>
              <w:rPr>
                <w:sz w:val="6"/>
                <w:szCs w:val="6"/>
                <w:color w:val="auto"/>
              </w:rPr>
            </w:pPr>
          </w:p>
        </w:tc>
        <w:tc>
          <w:tcPr>
            <w:tcW w:w="10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IA</w:t>
            </w:r>
          </w:p>
        </w:tc>
        <w:tc>
          <w:tcPr>
            <w:tcW w:w="0" w:type="dxa"/>
            <w:vAlign w:val="bottom"/>
          </w:tcPr>
          <w:p>
            <w:pPr>
              <w:spacing w:after="0"/>
              <w:rPr>
                <w:sz w:val="1"/>
                <w:szCs w:val="1"/>
                <w:color w:val="auto"/>
              </w:rPr>
            </w:pPr>
          </w:p>
        </w:tc>
      </w:tr>
      <w:tr>
        <w:trPr>
          <w:trHeight w:val="56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428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bl>
    <w:p>
      <w:pPr>
        <w:sectPr>
          <w:pgSz w:w="11900" w:h="16838" w:orient="portrait"/>
          <w:cols w:equalWidth="0" w:num="1">
            <w:col w:w="11260"/>
          </w:cols>
          <w:pgMar w:left="320" w:top="738" w:right="3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Westwood Holdings Group, Inc.</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200 Crescent Court, Suite 1200, Dallas TX 75201</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DePrince, Race &amp; Zollo, Inc.</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250 S. Park Avenue, Suite 250, Winter Park FL 32789</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Citizenship:</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USA</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CUSIP Number: 961765104</w:t>
            </w:r>
          </w:p>
        </w:tc>
      </w:tr>
      <w:tr>
        <w:trPr>
          <w:trHeight w:val="574"/>
        </w:trPr>
        <w:tc>
          <w:tcPr>
            <w:tcW w:w="96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ind w:left="42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tc>
      </w:tr>
    </w:tbl>
    <w:p>
      <w:pPr>
        <w:sectPr>
          <w:pgSz w:w="11900" w:h="16838" w:orient="portrait"/>
          <w:cols w:equalWidth="0" w:num="1">
            <w:col w:w="11240"/>
          </w:cols>
          <w:pgMar w:left="320" w:top="738" w:right="339" w:bottom="1440" w:gutter="0" w:footer="0" w:header="0"/>
        </w:sectPr>
      </w:pPr>
    </w:p>
    <w:bookmarkStart w:id="3" w:name="page4"/>
    <w:bookmarkEnd w:id="3"/>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240.13d-1(b) or 240.13d-2(b) or (c), check whether the person filing is a:</w:t>
      </w:r>
    </w:p>
    <w:p>
      <w:pPr>
        <w:spacing w:after="0" w:line="26" w:lineRule="exact"/>
        <w:rPr>
          <w:sz w:val="20"/>
          <w:szCs w:val="20"/>
          <w:color w:val="auto"/>
        </w:rPr>
      </w:pPr>
    </w:p>
    <w:p>
      <w:pPr>
        <w:ind w:left="1600" w:hanging="458"/>
        <w:spacing w:after="0" w:line="207" w:lineRule="exact"/>
        <w:tabs>
          <w:tab w:leader="none" w:pos="16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w:t>
      </w:r>
    </w:p>
    <w:p>
      <w:pPr>
        <w:spacing w:after="0" w:line="15"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w:t>
      </w:r>
    </w:p>
    <w:p>
      <w:pPr>
        <w:spacing w:after="0" w:line="9"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w:t>
      </w:r>
    </w:p>
    <w:p>
      <w:pPr>
        <w:spacing w:after="0" w:line="9"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pacing w:after="0" w:line="9" w:lineRule="exact"/>
        <w:rPr>
          <w:rFonts w:ascii="Times New Roman" w:cs="Times New Roman" w:eastAsia="Times New Roman" w:hAnsi="Times New Roman"/>
          <w:sz w:val="18"/>
          <w:szCs w:val="18"/>
          <w:color w:val="auto"/>
        </w:rPr>
      </w:pPr>
    </w:p>
    <w:p>
      <w:pPr>
        <w:ind w:left="1600" w:hanging="458"/>
        <w:spacing w:after="0"/>
        <w:tabs>
          <w:tab w:leader="none" w:pos="1600" w:val="left"/>
        </w:tabs>
        <w:numPr>
          <w:ilvl w:val="0"/>
          <w:numId w:val="7"/>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An investment adviser in accordance with Rule 13d-1(b)(1)(ii)(E);</w:t>
      </w:r>
    </w:p>
    <w:p>
      <w:pPr>
        <w:spacing w:after="0" w:line="7"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Rule 13d-1(b)(1)(ii)(F);</w:t>
      </w:r>
    </w:p>
    <w:p>
      <w:pPr>
        <w:spacing w:after="0" w:line="10"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Rule 13d-1(b)(1)(ii)(G);</w:t>
      </w:r>
    </w:p>
    <w:p>
      <w:pPr>
        <w:spacing w:after="0" w:line="9"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1920" w:right="80" w:hanging="778"/>
        <w:spacing w:after="0" w:line="215" w:lineRule="exact"/>
        <w:tabs>
          <w:tab w:leader="none" w:pos="1596"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w:t>
      </w:r>
    </w:p>
    <w:p>
      <w:pPr>
        <w:ind w:left="1600" w:hanging="458"/>
        <w:spacing w:after="0" w:line="207" w:lineRule="exact"/>
        <w:tabs>
          <w:tab w:leader="none" w:pos="16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Rule 240.13d-1(b)(1)(ii)(J);</w:t>
      </w:r>
    </w:p>
    <w:p>
      <w:pPr>
        <w:spacing w:after="0" w:line="10"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240.13d-1(b)(1)(ii)(K). If filing as a non-U.S. institution in accordance with Rule 240.13d-1(b)</w:t>
      </w:r>
    </w:p>
    <w:p>
      <w:pPr>
        <w:spacing w:after="0" w:line="9"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(1)(ii)(J), please specify the type of institution: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tbl>
      <w:tblPr>
        <w:tblLayout w:type="fixed"/>
        <w:tblInd w:w="68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 Beneficially Owned:</w:t>
            </w:r>
          </w:p>
        </w:tc>
        <w:tc>
          <w:tcPr>
            <w:tcW w:w="4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478,282</w:t>
            </w: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Percent of Class:</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bl>
    <w:p>
      <w:pPr>
        <w:ind w:left="1140" w:hanging="457"/>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tbl>
      <w:tblPr>
        <w:tblLayout w:type="fixed"/>
        <w:tblInd w:w="114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6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387,565</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6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318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6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478,282</w:t>
            </w:r>
          </w:p>
        </w:tc>
      </w:tr>
    </w:tbl>
    <w:p>
      <w:pPr>
        <w:ind w:left="1580" w:hanging="438"/>
        <w:spacing w:after="0"/>
        <w:tabs>
          <w:tab w:leader="none" w:pos="15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4" w:name="page5"/>
    <w:bookmarkEnd w:id="4"/>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1020"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ind w:left="1020" w:right="2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the control of the issuer of the securities and were not acquired and are not held in connection with or as a participant in any transaction having such purpose or effect for the time being.</w:t>
      </w:r>
    </w:p>
    <w:p>
      <w:pPr>
        <w:spacing w:after="0" w:line="3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38" w:right="399" w:bottom="1440" w:gutter="0" w:footer="0" w:header="0"/>
        </w:sectPr>
      </w:pPr>
    </w:p>
    <w:bookmarkStart w:id="5" w:name="page6"/>
    <w:bookmarkEnd w:id="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10/09/2024</w:t>
      </w:r>
    </w:p>
    <w:p>
      <w:pPr>
        <w:spacing w:after="0" w:line="200" w:lineRule="exact"/>
        <w:rPr>
          <w:sz w:val="20"/>
          <w:szCs w:val="20"/>
          <w:color w:val="auto"/>
        </w:rPr>
      </w:pPr>
    </w:p>
    <w:p>
      <w:pPr>
        <w:spacing w:after="0" w:line="24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Adelbert R. Sanchez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2854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ind w:left="5960"/>
        <w:spacing w:after="0"/>
        <w:tabs>
          <w:tab w:leader="none" w:pos="6620" w:val="left"/>
        </w:tabs>
        <w:rPr>
          <w:sz w:val="20"/>
          <w:szCs w:val="20"/>
          <w:color w:val="auto"/>
        </w:rPr>
      </w:pPr>
      <w:r>
        <w:rPr>
          <w:rFonts w:ascii="Times New Roman" w:cs="Times New Roman" w:eastAsia="Times New Roman" w:hAnsi="Times New Roman"/>
          <w:sz w:val="18"/>
          <w:szCs w:val="18"/>
          <w:color w:val="auto"/>
        </w:rPr>
        <w:t>Name:</w:t>
        <w:tab/>
        <w:t>Adelbert R. Sanchez</w:t>
      </w:r>
    </w:p>
    <w:p>
      <w:pPr>
        <w:spacing w:after="0" w:line="23" w:lineRule="exact"/>
        <w:rPr>
          <w:sz w:val="20"/>
          <w:szCs w:val="20"/>
          <w:color w:val="auto"/>
        </w:rPr>
      </w:pPr>
    </w:p>
    <w:p>
      <w:pPr>
        <w:ind w:left="596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Compliance Officer</w:t>
      </w: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73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5"/>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2024-10-15T05:39:09Z</dcterms:created>
  <dcterms:modified xsi:type="dcterms:W3CDTF">2024-10-15T05:39:09Z</dcterms:modified>
</cp:coreProperties>
</file>